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2D6C3" w14:textId="439A2584" w:rsidR="00425B2F" w:rsidRPr="00300902" w:rsidRDefault="0081369C" w:rsidP="00300902">
      <w:pPr>
        <w:spacing w:line="240" w:lineRule="auto"/>
        <w:contextualSpacing/>
        <w:jc w:val="both"/>
        <w:rPr>
          <w:rFonts w:ascii="Times New Roman" w:hAnsi="Times New Roman" w:cs="Times New Roman"/>
          <w:sz w:val="24"/>
          <w:szCs w:val="24"/>
        </w:rPr>
      </w:pPr>
      <w:r w:rsidRPr="00300902">
        <w:rPr>
          <w:rFonts w:ascii="Times New Roman" w:hAnsi="Times New Roman" w:cs="Times New Roman"/>
          <w:sz w:val="24"/>
          <w:szCs w:val="24"/>
        </w:rPr>
        <w:t>TENDAI MASAMBA</w:t>
      </w:r>
    </w:p>
    <w:p w14:paraId="1ED5C54B" w14:textId="77777777" w:rsidR="00425B2F" w:rsidRPr="00300902" w:rsidRDefault="00425B2F" w:rsidP="00300902">
      <w:pPr>
        <w:spacing w:line="240" w:lineRule="auto"/>
        <w:contextualSpacing/>
        <w:jc w:val="both"/>
        <w:rPr>
          <w:rFonts w:ascii="Times New Roman" w:hAnsi="Times New Roman" w:cs="Times New Roman"/>
          <w:sz w:val="24"/>
          <w:szCs w:val="24"/>
        </w:rPr>
      </w:pPr>
      <w:r w:rsidRPr="00300902">
        <w:rPr>
          <w:rFonts w:ascii="Times New Roman" w:hAnsi="Times New Roman" w:cs="Times New Roman"/>
          <w:sz w:val="24"/>
          <w:szCs w:val="24"/>
        </w:rPr>
        <w:t>Versus</w:t>
      </w:r>
    </w:p>
    <w:p w14:paraId="312A7A0E" w14:textId="5551FB95" w:rsidR="00782CC6" w:rsidRPr="00300902" w:rsidRDefault="0081369C" w:rsidP="00300902">
      <w:pPr>
        <w:spacing w:line="240" w:lineRule="auto"/>
        <w:contextualSpacing/>
        <w:jc w:val="both"/>
        <w:rPr>
          <w:rFonts w:ascii="Times New Roman" w:hAnsi="Times New Roman" w:cs="Times New Roman"/>
          <w:sz w:val="24"/>
          <w:szCs w:val="24"/>
        </w:rPr>
      </w:pPr>
      <w:r w:rsidRPr="00300902">
        <w:rPr>
          <w:rFonts w:ascii="Times New Roman" w:hAnsi="Times New Roman" w:cs="Times New Roman"/>
          <w:sz w:val="24"/>
          <w:szCs w:val="24"/>
        </w:rPr>
        <w:t>PHENOMENAL HOVE</w:t>
      </w:r>
    </w:p>
    <w:p w14:paraId="452D78EB" w14:textId="2062D4CC" w:rsidR="0081369C" w:rsidRPr="00300902" w:rsidRDefault="0081369C" w:rsidP="00300902">
      <w:pPr>
        <w:spacing w:line="240" w:lineRule="auto"/>
        <w:contextualSpacing/>
        <w:jc w:val="both"/>
        <w:rPr>
          <w:rFonts w:ascii="Times New Roman" w:hAnsi="Times New Roman" w:cs="Times New Roman"/>
          <w:sz w:val="24"/>
          <w:szCs w:val="24"/>
        </w:rPr>
      </w:pPr>
      <w:r w:rsidRPr="00300902">
        <w:rPr>
          <w:rFonts w:ascii="Times New Roman" w:hAnsi="Times New Roman" w:cs="Times New Roman"/>
          <w:sz w:val="24"/>
          <w:szCs w:val="24"/>
        </w:rPr>
        <w:t>And</w:t>
      </w:r>
    </w:p>
    <w:p w14:paraId="0A8A6769" w14:textId="7C493E15" w:rsidR="0081369C" w:rsidRPr="00300902" w:rsidRDefault="0081369C" w:rsidP="00300902">
      <w:pPr>
        <w:spacing w:line="240" w:lineRule="auto"/>
        <w:contextualSpacing/>
        <w:jc w:val="both"/>
        <w:rPr>
          <w:rFonts w:ascii="Times New Roman" w:hAnsi="Times New Roman" w:cs="Times New Roman"/>
          <w:sz w:val="24"/>
          <w:szCs w:val="24"/>
        </w:rPr>
      </w:pPr>
      <w:r w:rsidRPr="00300902">
        <w:rPr>
          <w:rFonts w:ascii="Times New Roman" w:hAnsi="Times New Roman" w:cs="Times New Roman"/>
          <w:sz w:val="24"/>
          <w:szCs w:val="24"/>
        </w:rPr>
        <w:t>FELISTAS HOVE</w:t>
      </w:r>
    </w:p>
    <w:p w14:paraId="20DF9CD9" w14:textId="526D43D6" w:rsidR="0081369C" w:rsidRPr="00300902" w:rsidRDefault="0081369C" w:rsidP="00300902">
      <w:pPr>
        <w:spacing w:line="240" w:lineRule="auto"/>
        <w:contextualSpacing/>
        <w:jc w:val="both"/>
        <w:rPr>
          <w:rFonts w:ascii="Times New Roman" w:hAnsi="Times New Roman" w:cs="Times New Roman"/>
          <w:sz w:val="24"/>
          <w:szCs w:val="24"/>
        </w:rPr>
      </w:pPr>
      <w:r w:rsidRPr="00300902">
        <w:rPr>
          <w:rFonts w:ascii="Times New Roman" w:hAnsi="Times New Roman" w:cs="Times New Roman"/>
          <w:sz w:val="24"/>
          <w:szCs w:val="24"/>
        </w:rPr>
        <w:t>(In her capacity as the Executrix Dative of the</w:t>
      </w:r>
    </w:p>
    <w:p w14:paraId="44D039E4" w14:textId="4AFA5E5A" w:rsidR="0081369C" w:rsidRPr="00300902" w:rsidRDefault="0026075B" w:rsidP="00300902">
      <w:pPr>
        <w:spacing w:line="240" w:lineRule="auto"/>
        <w:contextualSpacing/>
        <w:jc w:val="both"/>
        <w:rPr>
          <w:rFonts w:ascii="Times New Roman" w:hAnsi="Times New Roman" w:cs="Times New Roman"/>
          <w:sz w:val="24"/>
          <w:szCs w:val="24"/>
        </w:rPr>
      </w:pPr>
      <w:r w:rsidRPr="00300902">
        <w:rPr>
          <w:rFonts w:ascii="Times New Roman" w:hAnsi="Times New Roman" w:cs="Times New Roman"/>
          <w:sz w:val="24"/>
          <w:szCs w:val="24"/>
        </w:rPr>
        <w:t>Estate Late Cleo</w:t>
      </w:r>
      <w:r w:rsidR="0081369C" w:rsidRPr="00300902">
        <w:rPr>
          <w:rFonts w:ascii="Times New Roman" w:hAnsi="Times New Roman" w:cs="Times New Roman"/>
          <w:sz w:val="24"/>
          <w:szCs w:val="24"/>
        </w:rPr>
        <w:t>pas Hove)</w:t>
      </w:r>
    </w:p>
    <w:p w14:paraId="5A5F9009" w14:textId="18919B01" w:rsidR="009622F2" w:rsidRPr="00300902" w:rsidRDefault="009622F2" w:rsidP="00300902">
      <w:pPr>
        <w:spacing w:line="240" w:lineRule="auto"/>
        <w:contextualSpacing/>
        <w:jc w:val="both"/>
        <w:rPr>
          <w:rFonts w:ascii="Times New Roman" w:hAnsi="Times New Roman" w:cs="Times New Roman"/>
          <w:sz w:val="24"/>
          <w:szCs w:val="24"/>
        </w:rPr>
      </w:pPr>
      <w:r w:rsidRPr="00300902">
        <w:rPr>
          <w:rFonts w:ascii="Times New Roman" w:hAnsi="Times New Roman" w:cs="Times New Roman"/>
          <w:sz w:val="24"/>
          <w:szCs w:val="24"/>
        </w:rPr>
        <w:t>And</w:t>
      </w:r>
    </w:p>
    <w:p w14:paraId="24F42EE9" w14:textId="19C80C78" w:rsidR="009622F2" w:rsidRPr="00300902" w:rsidRDefault="009622F2" w:rsidP="00300902">
      <w:pPr>
        <w:spacing w:line="240" w:lineRule="auto"/>
        <w:contextualSpacing/>
        <w:jc w:val="both"/>
        <w:rPr>
          <w:rFonts w:ascii="Times New Roman" w:hAnsi="Times New Roman" w:cs="Times New Roman"/>
          <w:sz w:val="24"/>
          <w:szCs w:val="24"/>
        </w:rPr>
      </w:pPr>
      <w:r w:rsidRPr="00300902">
        <w:rPr>
          <w:rFonts w:ascii="Times New Roman" w:hAnsi="Times New Roman" w:cs="Times New Roman"/>
          <w:sz w:val="24"/>
          <w:szCs w:val="24"/>
        </w:rPr>
        <w:t>MACKINGTON KUDAKWASHE MURAHWE</w:t>
      </w:r>
    </w:p>
    <w:p w14:paraId="20EDBAA9" w14:textId="37802B25" w:rsidR="009622F2" w:rsidRPr="00300902" w:rsidRDefault="009622F2" w:rsidP="00300902">
      <w:pPr>
        <w:spacing w:line="240" w:lineRule="auto"/>
        <w:contextualSpacing/>
        <w:jc w:val="both"/>
        <w:rPr>
          <w:rFonts w:ascii="Times New Roman" w:hAnsi="Times New Roman" w:cs="Times New Roman"/>
          <w:sz w:val="24"/>
          <w:szCs w:val="24"/>
        </w:rPr>
      </w:pPr>
      <w:r w:rsidRPr="00300902">
        <w:rPr>
          <w:rFonts w:ascii="Times New Roman" w:hAnsi="Times New Roman" w:cs="Times New Roman"/>
          <w:sz w:val="24"/>
          <w:szCs w:val="24"/>
        </w:rPr>
        <w:t>And</w:t>
      </w:r>
    </w:p>
    <w:p w14:paraId="4B04075A" w14:textId="4B1B5063" w:rsidR="009622F2" w:rsidRPr="00300902" w:rsidRDefault="009622F2" w:rsidP="00300902">
      <w:pPr>
        <w:spacing w:line="240" w:lineRule="auto"/>
        <w:contextualSpacing/>
        <w:jc w:val="both"/>
        <w:rPr>
          <w:rFonts w:ascii="Times New Roman" w:hAnsi="Times New Roman" w:cs="Times New Roman"/>
          <w:sz w:val="24"/>
          <w:szCs w:val="24"/>
        </w:rPr>
      </w:pPr>
      <w:r w:rsidRPr="00300902">
        <w:rPr>
          <w:rFonts w:ascii="Times New Roman" w:hAnsi="Times New Roman" w:cs="Times New Roman"/>
          <w:sz w:val="24"/>
          <w:szCs w:val="24"/>
        </w:rPr>
        <w:t>REGISTRAR OF DEEDS, N.O</w:t>
      </w:r>
    </w:p>
    <w:p w14:paraId="71E7D049" w14:textId="1C39B0D7" w:rsidR="009622F2" w:rsidRPr="00300902" w:rsidRDefault="009622F2" w:rsidP="00300902">
      <w:pPr>
        <w:spacing w:line="240" w:lineRule="auto"/>
        <w:contextualSpacing/>
        <w:jc w:val="both"/>
        <w:rPr>
          <w:rFonts w:ascii="Times New Roman" w:hAnsi="Times New Roman" w:cs="Times New Roman"/>
          <w:sz w:val="24"/>
          <w:szCs w:val="24"/>
        </w:rPr>
      </w:pPr>
      <w:r w:rsidRPr="00300902">
        <w:rPr>
          <w:rFonts w:ascii="Times New Roman" w:hAnsi="Times New Roman" w:cs="Times New Roman"/>
          <w:sz w:val="24"/>
          <w:szCs w:val="24"/>
        </w:rPr>
        <w:t>And</w:t>
      </w:r>
    </w:p>
    <w:p w14:paraId="6C41EE89" w14:textId="0E4899B2" w:rsidR="009622F2" w:rsidRPr="00300902" w:rsidRDefault="009622F2" w:rsidP="00300902">
      <w:pPr>
        <w:spacing w:line="240" w:lineRule="auto"/>
        <w:contextualSpacing/>
        <w:jc w:val="both"/>
        <w:rPr>
          <w:rFonts w:ascii="Times New Roman" w:hAnsi="Times New Roman" w:cs="Times New Roman"/>
          <w:sz w:val="24"/>
          <w:szCs w:val="24"/>
        </w:rPr>
      </w:pPr>
      <w:r w:rsidRPr="00300902">
        <w:rPr>
          <w:rFonts w:ascii="Times New Roman" w:hAnsi="Times New Roman" w:cs="Times New Roman"/>
          <w:sz w:val="24"/>
          <w:szCs w:val="24"/>
        </w:rPr>
        <w:t>SHERIFF OF ZIMBABWE</w:t>
      </w:r>
    </w:p>
    <w:p w14:paraId="254B78ED" w14:textId="5094BE51" w:rsidR="008868AD" w:rsidRPr="00300902" w:rsidRDefault="008868AD" w:rsidP="00300902">
      <w:pPr>
        <w:spacing w:line="240" w:lineRule="auto"/>
        <w:contextualSpacing/>
        <w:jc w:val="both"/>
        <w:rPr>
          <w:rFonts w:ascii="Times New Roman" w:hAnsi="Times New Roman" w:cs="Times New Roman"/>
          <w:sz w:val="24"/>
          <w:szCs w:val="24"/>
        </w:rPr>
      </w:pPr>
      <w:r w:rsidRPr="00300902">
        <w:rPr>
          <w:rFonts w:ascii="Times New Roman" w:hAnsi="Times New Roman" w:cs="Times New Roman"/>
          <w:sz w:val="24"/>
          <w:szCs w:val="24"/>
        </w:rPr>
        <w:t>And</w:t>
      </w:r>
      <w:r w:rsidRPr="00300902">
        <w:rPr>
          <w:rFonts w:ascii="Times New Roman" w:hAnsi="Times New Roman" w:cs="Times New Roman"/>
          <w:sz w:val="24"/>
          <w:szCs w:val="24"/>
        </w:rPr>
        <w:br/>
        <w:t>CBZ AGRO YEILD (PRIVATE) LIMITED</w:t>
      </w:r>
    </w:p>
    <w:p w14:paraId="45992947" w14:textId="77777777" w:rsidR="00BA4014" w:rsidRPr="00300902" w:rsidRDefault="00BA4014" w:rsidP="00300902">
      <w:pPr>
        <w:spacing w:line="240" w:lineRule="auto"/>
        <w:contextualSpacing/>
        <w:jc w:val="both"/>
        <w:rPr>
          <w:rFonts w:ascii="Times New Roman" w:hAnsi="Times New Roman" w:cs="Times New Roman"/>
          <w:sz w:val="24"/>
          <w:szCs w:val="24"/>
        </w:rPr>
      </w:pPr>
    </w:p>
    <w:p w14:paraId="1FD1597E" w14:textId="77777777" w:rsidR="00BA4014" w:rsidRPr="00300902" w:rsidRDefault="00BA4014" w:rsidP="00300902">
      <w:pPr>
        <w:spacing w:line="240" w:lineRule="auto"/>
        <w:contextualSpacing/>
        <w:jc w:val="both"/>
        <w:rPr>
          <w:rFonts w:ascii="Times New Roman" w:hAnsi="Times New Roman" w:cs="Times New Roman"/>
          <w:sz w:val="24"/>
          <w:szCs w:val="24"/>
        </w:rPr>
      </w:pPr>
    </w:p>
    <w:p w14:paraId="5C7ECC22" w14:textId="6A5CFFC0" w:rsidR="00144804" w:rsidRPr="00300902" w:rsidRDefault="00782CC6" w:rsidP="00CD05FB">
      <w:pPr>
        <w:spacing w:line="240" w:lineRule="auto"/>
        <w:contextualSpacing/>
        <w:rPr>
          <w:rFonts w:ascii="Times New Roman" w:hAnsi="Times New Roman" w:cs="Times New Roman"/>
          <w:sz w:val="24"/>
          <w:szCs w:val="24"/>
        </w:rPr>
      </w:pPr>
      <w:r w:rsidRPr="00300902">
        <w:rPr>
          <w:rFonts w:ascii="Times New Roman" w:hAnsi="Times New Roman" w:cs="Times New Roman"/>
          <w:sz w:val="24"/>
          <w:szCs w:val="24"/>
        </w:rPr>
        <w:t>HIGH COURT OF ZIMBABWE</w:t>
      </w:r>
      <w:r w:rsidRPr="00300902">
        <w:rPr>
          <w:rFonts w:ascii="Times New Roman" w:hAnsi="Times New Roman" w:cs="Times New Roman"/>
          <w:sz w:val="24"/>
          <w:szCs w:val="24"/>
        </w:rPr>
        <w:br/>
      </w:r>
      <w:r w:rsidR="008531B8" w:rsidRPr="00300902">
        <w:rPr>
          <w:rFonts w:ascii="Times New Roman" w:hAnsi="Times New Roman" w:cs="Times New Roman"/>
          <w:bCs/>
          <w:sz w:val="24"/>
          <w:szCs w:val="24"/>
        </w:rPr>
        <w:t>BACHI MZAWAZI</w:t>
      </w:r>
      <w:r w:rsidR="000E1D20" w:rsidRPr="00300902">
        <w:rPr>
          <w:rFonts w:ascii="Times New Roman" w:hAnsi="Times New Roman" w:cs="Times New Roman"/>
          <w:bCs/>
          <w:sz w:val="24"/>
          <w:szCs w:val="24"/>
        </w:rPr>
        <w:t xml:space="preserve"> </w:t>
      </w:r>
      <w:r w:rsidRPr="00300902">
        <w:rPr>
          <w:rFonts w:ascii="Times New Roman" w:hAnsi="Times New Roman" w:cs="Times New Roman"/>
          <w:bCs/>
          <w:sz w:val="24"/>
          <w:szCs w:val="24"/>
        </w:rPr>
        <w:t>J</w:t>
      </w:r>
      <w:r w:rsidRPr="00300902">
        <w:rPr>
          <w:rFonts w:ascii="Times New Roman" w:hAnsi="Times New Roman" w:cs="Times New Roman"/>
          <w:bCs/>
          <w:sz w:val="24"/>
          <w:szCs w:val="24"/>
        </w:rPr>
        <w:br/>
      </w:r>
      <w:r w:rsidR="00205076" w:rsidRPr="00300902">
        <w:rPr>
          <w:rFonts w:ascii="Times New Roman" w:hAnsi="Times New Roman" w:cs="Times New Roman"/>
          <w:sz w:val="24"/>
          <w:szCs w:val="24"/>
        </w:rPr>
        <w:t>CHINHOY</w:t>
      </w:r>
      <w:r w:rsidR="00621042" w:rsidRPr="00300902">
        <w:rPr>
          <w:rFonts w:ascii="Times New Roman" w:hAnsi="Times New Roman" w:cs="Times New Roman"/>
          <w:sz w:val="24"/>
          <w:szCs w:val="24"/>
        </w:rPr>
        <w:t>I</w:t>
      </w:r>
      <w:r w:rsidR="005268D1" w:rsidRPr="00300902">
        <w:rPr>
          <w:rFonts w:ascii="Times New Roman" w:hAnsi="Times New Roman" w:cs="Times New Roman"/>
          <w:sz w:val="24"/>
          <w:szCs w:val="24"/>
        </w:rPr>
        <w:t xml:space="preserve">, 28 </w:t>
      </w:r>
      <w:r w:rsidR="00144804" w:rsidRPr="00300902">
        <w:rPr>
          <w:rFonts w:ascii="Times New Roman" w:hAnsi="Times New Roman" w:cs="Times New Roman"/>
          <w:sz w:val="24"/>
          <w:szCs w:val="24"/>
        </w:rPr>
        <w:t xml:space="preserve">June </w:t>
      </w:r>
      <w:r w:rsidR="000E3B8D">
        <w:rPr>
          <w:rFonts w:ascii="Times New Roman" w:hAnsi="Times New Roman" w:cs="Times New Roman"/>
          <w:sz w:val="24"/>
          <w:szCs w:val="24"/>
        </w:rPr>
        <w:t xml:space="preserve">– 19 August </w:t>
      </w:r>
      <w:r w:rsidR="00144804" w:rsidRPr="00300902">
        <w:rPr>
          <w:rFonts w:ascii="Times New Roman" w:hAnsi="Times New Roman" w:cs="Times New Roman"/>
          <w:sz w:val="24"/>
          <w:szCs w:val="24"/>
        </w:rPr>
        <w:t>2024</w:t>
      </w:r>
    </w:p>
    <w:p w14:paraId="0F9766F6" w14:textId="77777777" w:rsidR="00144804" w:rsidRPr="00300902" w:rsidRDefault="00144804" w:rsidP="00300902">
      <w:pPr>
        <w:spacing w:line="240" w:lineRule="auto"/>
        <w:contextualSpacing/>
        <w:jc w:val="both"/>
        <w:rPr>
          <w:rFonts w:ascii="Times New Roman" w:hAnsi="Times New Roman" w:cs="Times New Roman"/>
          <w:sz w:val="24"/>
          <w:szCs w:val="24"/>
        </w:rPr>
      </w:pPr>
    </w:p>
    <w:p w14:paraId="75FDB32A" w14:textId="77777777" w:rsidR="00144804" w:rsidRPr="00300902" w:rsidRDefault="00144804" w:rsidP="00300902">
      <w:pPr>
        <w:spacing w:line="240" w:lineRule="auto"/>
        <w:contextualSpacing/>
        <w:jc w:val="both"/>
        <w:rPr>
          <w:rFonts w:ascii="Times New Roman" w:hAnsi="Times New Roman" w:cs="Times New Roman"/>
          <w:sz w:val="24"/>
          <w:szCs w:val="24"/>
        </w:rPr>
      </w:pPr>
    </w:p>
    <w:p w14:paraId="16973E88" w14:textId="646610F1" w:rsidR="00144804" w:rsidRPr="00300902" w:rsidRDefault="00144804" w:rsidP="00300902">
      <w:pPr>
        <w:spacing w:line="240" w:lineRule="auto"/>
        <w:contextualSpacing/>
        <w:jc w:val="both"/>
        <w:rPr>
          <w:rFonts w:ascii="Times New Roman" w:hAnsi="Times New Roman" w:cs="Times New Roman"/>
          <w:sz w:val="24"/>
          <w:szCs w:val="24"/>
        </w:rPr>
      </w:pPr>
      <w:r w:rsidRPr="00300902">
        <w:rPr>
          <w:rFonts w:ascii="Times New Roman" w:hAnsi="Times New Roman" w:cs="Times New Roman"/>
          <w:b/>
          <w:sz w:val="24"/>
          <w:szCs w:val="24"/>
        </w:rPr>
        <w:t>Oppo</w:t>
      </w:r>
      <w:r w:rsidR="00241378" w:rsidRPr="00300902">
        <w:rPr>
          <w:rFonts w:ascii="Times New Roman" w:hAnsi="Times New Roman" w:cs="Times New Roman"/>
          <w:b/>
          <w:sz w:val="24"/>
          <w:szCs w:val="24"/>
        </w:rPr>
        <w:t>sed Civil Application: Special Plea</w:t>
      </w:r>
    </w:p>
    <w:p w14:paraId="08544EE5" w14:textId="77777777" w:rsidR="00144804" w:rsidRPr="00300902" w:rsidRDefault="00144804" w:rsidP="00300902">
      <w:pPr>
        <w:spacing w:line="240" w:lineRule="auto"/>
        <w:contextualSpacing/>
        <w:jc w:val="both"/>
        <w:rPr>
          <w:rFonts w:ascii="Times New Roman" w:hAnsi="Times New Roman" w:cs="Times New Roman"/>
          <w:sz w:val="24"/>
          <w:szCs w:val="24"/>
        </w:rPr>
      </w:pPr>
    </w:p>
    <w:p w14:paraId="715A8F9E" w14:textId="77777777" w:rsidR="00144804" w:rsidRPr="00300902" w:rsidRDefault="00144804" w:rsidP="00300902">
      <w:pPr>
        <w:spacing w:line="240" w:lineRule="auto"/>
        <w:contextualSpacing/>
        <w:jc w:val="both"/>
        <w:rPr>
          <w:rFonts w:ascii="Times New Roman" w:hAnsi="Times New Roman" w:cs="Times New Roman"/>
          <w:sz w:val="24"/>
          <w:szCs w:val="24"/>
        </w:rPr>
      </w:pPr>
    </w:p>
    <w:p w14:paraId="505D6B9C" w14:textId="01FDEFA6" w:rsidR="00144804" w:rsidRPr="00300902" w:rsidRDefault="00144804" w:rsidP="00300902">
      <w:pPr>
        <w:spacing w:line="240" w:lineRule="auto"/>
        <w:contextualSpacing/>
        <w:jc w:val="both"/>
        <w:rPr>
          <w:rFonts w:ascii="Times New Roman" w:hAnsi="Times New Roman" w:cs="Times New Roman"/>
          <w:sz w:val="24"/>
          <w:szCs w:val="24"/>
        </w:rPr>
      </w:pPr>
      <w:r w:rsidRPr="00300902">
        <w:rPr>
          <w:rFonts w:ascii="Times New Roman" w:hAnsi="Times New Roman" w:cs="Times New Roman"/>
          <w:bCs/>
          <w:i/>
          <w:iCs/>
          <w:sz w:val="24"/>
          <w:szCs w:val="24"/>
        </w:rPr>
        <w:t xml:space="preserve">M. </w:t>
      </w:r>
      <w:proofErr w:type="spellStart"/>
      <w:r w:rsidRPr="00300902">
        <w:rPr>
          <w:rFonts w:ascii="Times New Roman" w:hAnsi="Times New Roman" w:cs="Times New Roman"/>
          <w:bCs/>
          <w:i/>
          <w:iCs/>
          <w:sz w:val="24"/>
          <w:szCs w:val="24"/>
        </w:rPr>
        <w:t>Mutsvairo</w:t>
      </w:r>
      <w:proofErr w:type="spellEnd"/>
      <w:r w:rsidRPr="00300902">
        <w:rPr>
          <w:rFonts w:ascii="Times New Roman" w:hAnsi="Times New Roman" w:cs="Times New Roman"/>
          <w:bCs/>
          <w:i/>
          <w:iCs/>
          <w:sz w:val="24"/>
          <w:szCs w:val="24"/>
        </w:rPr>
        <w:t>,</w:t>
      </w:r>
      <w:r w:rsidR="005268D1" w:rsidRPr="00300902">
        <w:rPr>
          <w:rFonts w:ascii="Times New Roman" w:hAnsi="Times New Roman" w:cs="Times New Roman"/>
          <w:bCs/>
          <w:sz w:val="24"/>
          <w:szCs w:val="24"/>
        </w:rPr>
        <w:t xml:space="preserve"> for the </w:t>
      </w:r>
      <w:r w:rsidR="00C23F1F" w:rsidRPr="00300902">
        <w:rPr>
          <w:rFonts w:ascii="Times New Roman" w:hAnsi="Times New Roman" w:cs="Times New Roman"/>
          <w:bCs/>
          <w:sz w:val="24"/>
          <w:szCs w:val="24"/>
        </w:rPr>
        <w:t>plaintiff</w:t>
      </w:r>
    </w:p>
    <w:p w14:paraId="43C0CFBB" w14:textId="05DF52B4" w:rsidR="00144804" w:rsidRPr="00300902" w:rsidRDefault="005268D1" w:rsidP="00300902">
      <w:pPr>
        <w:spacing w:line="240" w:lineRule="auto"/>
        <w:contextualSpacing/>
        <w:jc w:val="both"/>
        <w:rPr>
          <w:rFonts w:ascii="Times New Roman" w:hAnsi="Times New Roman" w:cs="Times New Roman"/>
          <w:bCs/>
          <w:sz w:val="24"/>
          <w:szCs w:val="24"/>
        </w:rPr>
      </w:pPr>
      <w:r w:rsidRPr="00300902">
        <w:rPr>
          <w:rFonts w:ascii="Times New Roman" w:hAnsi="Times New Roman" w:cs="Times New Roman"/>
          <w:bCs/>
          <w:i/>
          <w:sz w:val="24"/>
          <w:szCs w:val="24"/>
        </w:rPr>
        <w:t>D</w:t>
      </w:r>
      <w:r w:rsidR="00C23F1F" w:rsidRPr="00300902">
        <w:rPr>
          <w:rFonts w:ascii="Times New Roman" w:hAnsi="Times New Roman" w:cs="Times New Roman"/>
          <w:bCs/>
          <w:i/>
          <w:sz w:val="24"/>
          <w:szCs w:val="24"/>
        </w:rPr>
        <w:t>.</w:t>
      </w:r>
      <w:r w:rsidRPr="00300902">
        <w:rPr>
          <w:rFonts w:ascii="Times New Roman" w:hAnsi="Times New Roman" w:cs="Times New Roman"/>
          <w:bCs/>
          <w:i/>
          <w:sz w:val="24"/>
          <w:szCs w:val="24"/>
        </w:rPr>
        <w:t xml:space="preserve"> </w:t>
      </w:r>
      <w:proofErr w:type="spellStart"/>
      <w:r w:rsidRPr="00300902">
        <w:rPr>
          <w:rFonts w:ascii="Times New Roman" w:hAnsi="Times New Roman" w:cs="Times New Roman"/>
          <w:bCs/>
          <w:i/>
          <w:sz w:val="24"/>
          <w:szCs w:val="24"/>
        </w:rPr>
        <w:t>Chemhere</w:t>
      </w:r>
      <w:proofErr w:type="spellEnd"/>
      <w:r w:rsidRPr="00300902">
        <w:rPr>
          <w:rFonts w:ascii="Times New Roman" w:hAnsi="Times New Roman" w:cs="Times New Roman"/>
          <w:bCs/>
          <w:sz w:val="24"/>
          <w:szCs w:val="24"/>
        </w:rPr>
        <w:t xml:space="preserve"> for the 6</w:t>
      </w:r>
      <w:r w:rsidRPr="00300902">
        <w:rPr>
          <w:rFonts w:ascii="Times New Roman" w:hAnsi="Times New Roman" w:cs="Times New Roman"/>
          <w:bCs/>
          <w:sz w:val="24"/>
          <w:szCs w:val="24"/>
          <w:vertAlign w:val="superscript"/>
        </w:rPr>
        <w:t>th</w:t>
      </w:r>
      <w:r w:rsidRPr="00300902">
        <w:rPr>
          <w:rFonts w:ascii="Times New Roman" w:hAnsi="Times New Roman" w:cs="Times New Roman"/>
          <w:bCs/>
          <w:sz w:val="24"/>
          <w:szCs w:val="24"/>
        </w:rPr>
        <w:t xml:space="preserve"> defendant</w:t>
      </w:r>
    </w:p>
    <w:p w14:paraId="772DBEFC" w14:textId="4F9BE2A5" w:rsidR="005268D1" w:rsidRPr="00300902" w:rsidRDefault="005268D1" w:rsidP="00300902">
      <w:pPr>
        <w:spacing w:line="240" w:lineRule="auto"/>
        <w:contextualSpacing/>
        <w:jc w:val="both"/>
        <w:rPr>
          <w:rFonts w:ascii="Times New Roman" w:hAnsi="Times New Roman" w:cs="Times New Roman"/>
          <w:bCs/>
          <w:sz w:val="24"/>
          <w:szCs w:val="24"/>
        </w:rPr>
      </w:pPr>
      <w:r w:rsidRPr="00300902">
        <w:rPr>
          <w:rFonts w:ascii="Times New Roman" w:hAnsi="Times New Roman" w:cs="Times New Roman"/>
          <w:bCs/>
          <w:sz w:val="24"/>
          <w:szCs w:val="24"/>
        </w:rPr>
        <w:t>No appearance for the 1</w:t>
      </w:r>
      <w:r w:rsidRPr="00300902">
        <w:rPr>
          <w:rFonts w:ascii="Times New Roman" w:hAnsi="Times New Roman" w:cs="Times New Roman"/>
          <w:bCs/>
          <w:sz w:val="24"/>
          <w:szCs w:val="24"/>
          <w:vertAlign w:val="superscript"/>
        </w:rPr>
        <w:t>st</w:t>
      </w:r>
      <w:r w:rsidRPr="00300902">
        <w:rPr>
          <w:rFonts w:ascii="Times New Roman" w:hAnsi="Times New Roman" w:cs="Times New Roman"/>
          <w:bCs/>
          <w:sz w:val="24"/>
          <w:szCs w:val="24"/>
        </w:rPr>
        <w:t>, 2</w:t>
      </w:r>
      <w:r w:rsidRPr="00300902">
        <w:rPr>
          <w:rFonts w:ascii="Times New Roman" w:hAnsi="Times New Roman" w:cs="Times New Roman"/>
          <w:bCs/>
          <w:sz w:val="24"/>
          <w:szCs w:val="24"/>
          <w:vertAlign w:val="superscript"/>
        </w:rPr>
        <w:t>nd</w:t>
      </w:r>
      <w:r w:rsidRPr="00300902">
        <w:rPr>
          <w:rFonts w:ascii="Times New Roman" w:hAnsi="Times New Roman" w:cs="Times New Roman"/>
          <w:bCs/>
          <w:sz w:val="24"/>
          <w:szCs w:val="24"/>
        </w:rPr>
        <w:t>,3</w:t>
      </w:r>
      <w:r w:rsidRPr="00300902">
        <w:rPr>
          <w:rFonts w:ascii="Times New Roman" w:hAnsi="Times New Roman" w:cs="Times New Roman"/>
          <w:bCs/>
          <w:sz w:val="24"/>
          <w:szCs w:val="24"/>
          <w:vertAlign w:val="superscript"/>
        </w:rPr>
        <w:t>rd</w:t>
      </w:r>
      <w:r w:rsidRPr="00300902">
        <w:rPr>
          <w:rFonts w:ascii="Times New Roman" w:hAnsi="Times New Roman" w:cs="Times New Roman"/>
          <w:bCs/>
          <w:sz w:val="24"/>
          <w:szCs w:val="24"/>
        </w:rPr>
        <w:t>, 4</w:t>
      </w:r>
      <w:r w:rsidRPr="00300902">
        <w:rPr>
          <w:rFonts w:ascii="Times New Roman" w:hAnsi="Times New Roman" w:cs="Times New Roman"/>
          <w:bCs/>
          <w:sz w:val="24"/>
          <w:szCs w:val="24"/>
          <w:vertAlign w:val="superscript"/>
        </w:rPr>
        <w:t>th</w:t>
      </w:r>
      <w:r w:rsidRPr="00300902">
        <w:rPr>
          <w:rFonts w:ascii="Times New Roman" w:hAnsi="Times New Roman" w:cs="Times New Roman"/>
          <w:bCs/>
          <w:sz w:val="24"/>
          <w:szCs w:val="24"/>
        </w:rPr>
        <w:t xml:space="preserve"> and 5</w:t>
      </w:r>
      <w:r w:rsidRPr="00300902">
        <w:rPr>
          <w:rFonts w:ascii="Times New Roman" w:hAnsi="Times New Roman" w:cs="Times New Roman"/>
          <w:bCs/>
          <w:sz w:val="24"/>
          <w:szCs w:val="24"/>
          <w:vertAlign w:val="superscript"/>
        </w:rPr>
        <w:t>th</w:t>
      </w:r>
      <w:r w:rsidRPr="00300902">
        <w:rPr>
          <w:rFonts w:ascii="Times New Roman" w:hAnsi="Times New Roman" w:cs="Times New Roman"/>
          <w:bCs/>
          <w:sz w:val="24"/>
          <w:szCs w:val="24"/>
        </w:rPr>
        <w:t xml:space="preserve"> defendants.</w:t>
      </w:r>
    </w:p>
    <w:p w14:paraId="5E8FE381" w14:textId="77777777" w:rsidR="00D829B0" w:rsidRPr="00300902" w:rsidRDefault="00D829B0" w:rsidP="00300902">
      <w:pPr>
        <w:jc w:val="both"/>
        <w:rPr>
          <w:rFonts w:ascii="Times New Roman" w:hAnsi="Times New Roman" w:cs="Times New Roman"/>
          <w:b/>
          <w:sz w:val="24"/>
          <w:szCs w:val="24"/>
        </w:rPr>
      </w:pPr>
    </w:p>
    <w:p w14:paraId="310EBA83" w14:textId="24AB6F93" w:rsidR="007E5E72" w:rsidRPr="00300902" w:rsidRDefault="00CD15EE" w:rsidP="00300902">
      <w:pPr>
        <w:spacing w:line="360" w:lineRule="auto"/>
        <w:ind w:firstLine="720"/>
        <w:jc w:val="both"/>
        <w:rPr>
          <w:rFonts w:ascii="Times New Roman" w:hAnsi="Times New Roman" w:cs="Times New Roman"/>
          <w:sz w:val="24"/>
          <w:szCs w:val="24"/>
        </w:rPr>
      </w:pPr>
      <w:r w:rsidRPr="00300902">
        <w:rPr>
          <w:rFonts w:ascii="Times New Roman" w:hAnsi="Times New Roman" w:cs="Times New Roman"/>
          <w:b/>
          <w:sz w:val="24"/>
          <w:szCs w:val="24"/>
        </w:rPr>
        <w:t>BACHI MZAWAZI J:</w:t>
      </w:r>
      <w:r w:rsidR="00ED5A34" w:rsidRPr="00300902">
        <w:rPr>
          <w:rFonts w:ascii="Times New Roman" w:hAnsi="Times New Roman" w:cs="Times New Roman"/>
          <w:sz w:val="24"/>
          <w:szCs w:val="24"/>
        </w:rPr>
        <w:t xml:space="preserve"> </w:t>
      </w:r>
      <w:r w:rsidR="00BD5266" w:rsidRPr="00300902">
        <w:rPr>
          <w:rFonts w:ascii="Times New Roman" w:hAnsi="Times New Roman" w:cs="Times New Roman"/>
          <w:sz w:val="24"/>
          <w:szCs w:val="24"/>
        </w:rPr>
        <w:t>The plaintiff in the main action instituted summons a</w:t>
      </w:r>
      <w:r w:rsidR="00E11B81" w:rsidRPr="00300902">
        <w:rPr>
          <w:rFonts w:ascii="Times New Roman" w:hAnsi="Times New Roman" w:cs="Times New Roman"/>
          <w:sz w:val="24"/>
          <w:szCs w:val="24"/>
        </w:rPr>
        <w:t>gainst the respondents seeking a</w:t>
      </w:r>
      <w:r w:rsidR="00BD5266" w:rsidRPr="00300902">
        <w:rPr>
          <w:rFonts w:ascii="Times New Roman" w:hAnsi="Times New Roman" w:cs="Times New Roman"/>
          <w:sz w:val="24"/>
          <w:szCs w:val="24"/>
        </w:rPr>
        <w:t xml:space="preserve"> declarato</w:t>
      </w:r>
      <w:r w:rsidR="00611E98" w:rsidRPr="00300902">
        <w:rPr>
          <w:rFonts w:ascii="Times New Roman" w:hAnsi="Times New Roman" w:cs="Times New Roman"/>
          <w:sz w:val="24"/>
          <w:szCs w:val="24"/>
        </w:rPr>
        <w:t>ry</w:t>
      </w:r>
      <w:r w:rsidR="00AC0789" w:rsidRPr="00300902">
        <w:rPr>
          <w:rFonts w:ascii="Times New Roman" w:hAnsi="Times New Roman" w:cs="Times New Roman"/>
          <w:sz w:val="24"/>
          <w:szCs w:val="24"/>
        </w:rPr>
        <w:t xml:space="preserve"> and consequential</w:t>
      </w:r>
      <w:r w:rsidR="00E11B81" w:rsidRPr="00300902">
        <w:rPr>
          <w:rFonts w:ascii="Times New Roman" w:hAnsi="Times New Roman" w:cs="Times New Roman"/>
          <w:sz w:val="24"/>
          <w:szCs w:val="24"/>
        </w:rPr>
        <w:t xml:space="preserve"> </w:t>
      </w:r>
      <w:r w:rsidR="00611E98" w:rsidRPr="00300902">
        <w:rPr>
          <w:rFonts w:ascii="Times New Roman" w:hAnsi="Times New Roman" w:cs="Times New Roman"/>
          <w:sz w:val="24"/>
          <w:szCs w:val="24"/>
        </w:rPr>
        <w:t>relief. The declaratory claim was for</w:t>
      </w:r>
      <w:r w:rsidR="00BD5266" w:rsidRPr="00300902">
        <w:rPr>
          <w:rFonts w:ascii="Times New Roman" w:hAnsi="Times New Roman" w:cs="Times New Roman"/>
          <w:sz w:val="24"/>
          <w:szCs w:val="24"/>
        </w:rPr>
        <w:t xml:space="preserve"> the nullification of the agreement of </w:t>
      </w:r>
      <w:r w:rsidR="003B4803" w:rsidRPr="00300902">
        <w:rPr>
          <w:rFonts w:ascii="Times New Roman" w:hAnsi="Times New Roman" w:cs="Times New Roman"/>
          <w:sz w:val="24"/>
          <w:szCs w:val="24"/>
        </w:rPr>
        <w:t>sale</w:t>
      </w:r>
      <w:r w:rsidR="00BD5266" w:rsidRPr="00300902">
        <w:rPr>
          <w:rFonts w:ascii="Times New Roman" w:hAnsi="Times New Roman" w:cs="Times New Roman"/>
          <w:sz w:val="24"/>
          <w:szCs w:val="24"/>
        </w:rPr>
        <w:t xml:space="preserve"> between the 1</w:t>
      </w:r>
      <w:r w:rsidR="00BD5266" w:rsidRPr="00300902">
        <w:rPr>
          <w:rFonts w:ascii="Times New Roman" w:hAnsi="Times New Roman" w:cs="Times New Roman"/>
          <w:sz w:val="24"/>
          <w:szCs w:val="24"/>
          <w:vertAlign w:val="superscript"/>
        </w:rPr>
        <w:t>st</w:t>
      </w:r>
      <w:r w:rsidR="00BD5266" w:rsidRPr="00300902">
        <w:rPr>
          <w:rFonts w:ascii="Times New Roman" w:hAnsi="Times New Roman" w:cs="Times New Roman"/>
          <w:sz w:val="24"/>
          <w:szCs w:val="24"/>
        </w:rPr>
        <w:t xml:space="preserve"> and 2</w:t>
      </w:r>
      <w:r w:rsidR="00BD5266" w:rsidRPr="00300902">
        <w:rPr>
          <w:rFonts w:ascii="Times New Roman" w:hAnsi="Times New Roman" w:cs="Times New Roman"/>
          <w:sz w:val="24"/>
          <w:szCs w:val="24"/>
          <w:vertAlign w:val="superscript"/>
        </w:rPr>
        <w:t>nd</w:t>
      </w:r>
      <w:r w:rsidR="00BD5266" w:rsidRPr="00300902">
        <w:rPr>
          <w:rFonts w:ascii="Times New Roman" w:hAnsi="Times New Roman" w:cs="Times New Roman"/>
          <w:sz w:val="24"/>
          <w:szCs w:val="24"/>
        </w:rPr>
        <w:t xml:space="preserve"> defendant</w:t>
      </w:r>
      <w:r w:rsidR="00241378" w:rsidRPr="00300902">
        <w:rPr>
          <w:rFonts w:ascii="Times New Roman" w:hAnsi="Times New Roman" w:cs="Times New Roman"/>
          <w:sz w:val="24"/>
          <w:szCs w:val="24"/>
        </w:rPr>
        <w:t>, as well as, the registration of stand 174 Banket Township, Banket into the 1</w:t>
      </w:r>
      <w:r w:rsidR="00241378" w:rsidRPr="00300902">
        <w:rPr>
          <w:rFonts w:ascii="Times New Roman" w:hAnsi="Times New Roman" w:cs="Times New Roman"/>
          <w:sz w:val="24"/>
          <w:szCs w:val="24"/>
          <w:vertAlign w:val="superscript"/>
        </w:rPr>
        <w:t>st</w:t>
      </w:r>
      <w:r w:rsidR="00241378" w:rsidRPr="00300902">
        <w:rPr>
          <w:rFonts w:ascii="Times New Roman" w:hAnsi="Times New Roman" w:cs="Times New Roman"/>
          <w:sz w:val="24"/>
          <w:szCs w:val="24"/>
        </w:rPr>
        <w:t xml:space="preserve"> defendant’s name. </w:t>
      </w:r>
      <w:r w:rsidR="00584BBD" w:rsidRPr="00300902">
        <w:rPr>
          <w:rFonts w:ascii="Times New Roman" w:hAnsi="Times New Roman" w:cs="Times New Roman"/>
          <w:sz w:val="24"/>
          <w:szCs w:val="24"/>
        </w:rPr>
        <w:t xml:space="preserve">In </w:t>
      </w:r>
      <w:r w:rsidR="00C23F1F" w:rsidRPr="00300902">
        <w:rPr>
          <w:rFonts w:ascii="Times New Roman" w:hAnsi="Times New Roman" w:cs="Times New Roman"/>
          <w:sz w:val="24"/>
          <w:szCs w:val="24"/>
        </w:rPr>
        <w:t>addition,</w:t>
      </w:r>
      <w:r w:rsidR="00584BBD" w:rsidRPr="00300902">
        <w:rPr>
          <w:rFonts w:ascii="Times New Roman" w:hAnsi="Times New Roman" w:cs="Times New Roman"/>
          <w:sz w:val="24"/>
          <w:szCs w:val="24"/>
        </w:rPr>
        <w:t xml:space="preserve"> the plaintiff sought the</w:t>
      </w:r>
      <w:r w:rsidR="00241378" w:rsidRPr="00300902">
        <w:rPr>
          <w:rFonts w:ascii="Times New Roman" w:hAnsi="Times New Roman" w:cs="Times New Roman"/>
          <w:sz w:val="24"/>
          <w:szCs w:val="24"/>
        </w:rPr>
        <w:t xml:space="preserve"> upholding</w:t>
      </w:r>
      <w:r w:rsidR="00584BBD" w:rsidRPr="00300902">
        <w:rPr>
          <w:rFonts w:ascii="Times New Roman" w:hAnsi="Times New Roman" w:cs="Times New Roman"/>
          <w:sz w:val="24"/>
          <w:szCs w:val="24"/>
        </w:rPr>
        <w:t xml:space="preserve"> of</w:t>
      </w:r>
      <w:r w:rsidR="00241378" w:rsidRPr="00300902">
        <w:rPr>
          <w:rFonts w:ascii="Times New Roman" w:hAnsi="Times New Roman" w:cs="Times New Roman"/>
          <w:sz w:val="24"/>
          <w:szCs w:val="24"/>
        </w:rPr>
        <w:t xml:space="preserve"> the plaintiff’s agreement of sale and the restoration of the property </w:t>
      </w:r>
      <w:r w:rsidR="00584BBD" w:rsidRPr="00300902">
        <w:rPr>
          <w:rFonts w:ascii="Times New Roman" w:hAnsi="Times New Roman" w:cs="Times New Roman"/>
          <w:sz w:val="24"/>
          <w:szCs w:val="24"/>
        </w:rPr>
        <w:t xml:space="preserve">into the </w:t>
      </w:r>
      <w:r w:rsidR="00BD5266" w:rsidRPr="00300902">
        <w:rPr>
          <w:rFonts w:ascii="Times New Roman" w:hAnsi="Times New Roman" w:cs="Times New Roman"/>
          <w:sz w:val="24"/>
          <w:szCs w:val="24"/>
        </w:rPr>
        <w:t xml:space="preserve"> </w:t>
      </w:r>
      <w:r w:rsidR="00241378" w:rsidRPr="00300902">
        <w:rPr>
          <w:rFonts w:ascii="Times New Roman" w:hAnsi="Times New Roman" w:cs="Times New Roman"/>
          <w:sz w:val="24"/>
          <w:szCs w:val="24"/>
        </w:rPr>
        <w:t xml:space="preserve"> into the original owner’s name</w:t>
      </w:r>
      <w:r w:rsidR="00584BBD" w:rsidRPr="00300902">
        <w:rPr>
          <w:rFonts w:ascii="Times New Roman" w:hAnsi="Times New Roman" w:cs="Times New Roman"/>
          <w:sz w:val="24"/>
          <w:szCs w:val="24"/>
        </w:rPr>
        <w:t>, Cleopas Hove, upon the reinstatement of</w:t>
      </w:r>
      <w:r w:rsidR="00241378" w:rsidRPr="00300902">
        <w:rPr>
          <w:rFonts w:ascii="Times New Roman" w:hAnsi="Times New Roman" w:cs="Times New Roman"/>
          <w:sz w:val="24"/>
          <w:szCs w:val="24"/>
        </w:rPr>
        <w:t xml:space="preserve"> the late Cleopas Hove’s Deed No 4439/9</w:t>
      </w:r>
      <w:r w:rsidR="00584BBD" w:rsidRPr="00300902">
        <w:rPr>
          <w:rFonts w:ascii="Times New Roman" w:hAnsi="Times New Roman" w:cs="Times New Roman"/>
          <w:sz w:val="24"/>
          <w:szCs w:val="24"/>
        </w:rPr>
        <w:t>7,</w:t>
      </w:r>
      <w:r w:rsidR="00611E98" w:rsidRPr="00300902">
        <w:rPr>
          <w:rFonts w:ascii="Times New Roman" w:hAnsi="Times New Roman" w:cs="Times New Roman"/>
          <w:sz w:val="24"/>
          <w:szCs w:val="24"/>
        </w:rPr>
        <w:t xml:space="preserve"> </w:t>
      </w:r>
      <w:r w:rsidR="00B4692F" w:rsidRPr="00300902">
        <w:rPr>
          <w:rFonts w:ascii="Times New Roman" w:hAnsi="Times New Roman" w:cs="Times New Roman"/>
          <w:sz w:val="24"/>
          <w:szCs w:val="24"/>
        </w:rPr>
        <w:t>alongside</w:t>
      </w:r>
      <w:r w:rsidR="00584BBD" w:rsidRPr="00300902">
        <w:rPr>
          <w:rFonts w:ascii="Times New Roman" w:hAnsi="Times New Roman" w:cs="Times New Roman"/>
          <w:sz w:val="24"/>
          <w:szCs w:val="24"/>
        </w:rPr>
        <w:t xml:space="preserve"> other </w:t>
      </w:r>
      <w:r w:rsidR="00C23F1F" w:rsidRPr="00300902">
        <w:rPr>
          <w:rFonts w:ascii="Times New Roman" w:hAnsi="Times New Roman" w:cs="Times New Roman"/>
          <w:sz w:val="24"/>
          <w:szCs w:val="24"/>
        </w:rPr>
        <w:t>ancillary issues</w:t>
      </w:r>
      <w:r w:rsidR="00E11B81" w:rsidRPr="00300902">
        <w:rPr>
          <w:rFonts w:ascii="Times New Roman" w:hAnsi="Times New Roman" w:cs="Times New Roman"/>
          <w:sz w:val="24"/>
          <w:szCs w:val="24"/>
        </w:rPr>
        <w:t>.</w:t>
      </w:r>
      <w:r w:rsidR="00584BBD" w:rsidRPr="00300902">
        <w:rPr>
          <w:rFonts w:ascii="Times New Roman" w:hAnsi="Times New Roman" w:cs="Times New Roman"/>
          <w:sz w:val="24"/>
          <w:szCs w:val="24"/>
        </w:rPr>
        <w:t xml:space="preserve"> </w:t>
      </w:r>
    </w:p>
    <w:p w14:paraId="5C2542B3" w14:textId="497776CE" w:rsidR="00BD5266" w:rsidRPr="00300902" w:rsidRDefault="00BD5266" w:rsidP="00300902">
      <w:pPr>
        <w:spacing w:line="360" w:lineRule="auto"/>
        <w:ind w:firstLine="720"/>
        <w:jc w:val="both"/>
        <w:rPr>
          <w:rFonts w:ascii="Times New Roman" w:hAnsi="Times New Roman" w:cs="Times New Roman"/>
          <w:sz w:val="24"/>
          <w:szCs w:val="24"/>
        </w:rPr>
      </w:pPr>
      <w:r w:rsidRPr="00300902">
        <w:rPr>
          <w:rFonts w:ascii="Times New Roman" w:hAnsi="Times New Roman" w:cs="Times New Roman"/>
          <w:sz w:val="24"/>
          <w:szCs w:val="24"/>
        </w:rPr>
        <w:t>Only the 3</w:t>
      </w:r>
      <w:r w:rsidRPr="00300902">
        <w:rPr>
          <w:rFonts w:ascii="Times New Roman" w:hAnsi="Times New Roman" w:cs="Times New Roman"/>
          <w:sz w:val="24"/>
          <w:szCs w:val="24"/>
          <w:vertAlign w:val="superscript"/>
        </w:rPr>
        <w:t>rd</w:t>
      </w:r>
      <w:r w:rsidRPr="00300902">
        <w:rPr>
          <w:rFonts w:ascii="Times New Roman" w:hAnsi="Times New Roman" w:cs="Times New Roman"/>
          <w:sz w:val="24"/>
          <w:szCs w:val="24"/>
        </w:rPr>
        <w:t xml:space="preserve"> and 6</w:t>
      </w:r>
      <w:r w:rsidRPr="00300902">
        <w:rPr>
          <w:rFonts w:ascii="Times New Roman" w:hAnsi="Times New Roman" w:cs="Times New Roman"/>
          <w:sz w:val="24"/>
          <w:szCs w:val="24"/>
          <w:vertAlign w:val="superscript"/>
        </w:rPr>
        <w:t>th</w:t>
      </w:r>
      <w:r w:rsidRPr="00300902">
        <w:rPr>
          <w:rFonts w:ascii="Times New Roman" w:hAnsi="Times New Roman" w:cs="Times New Roman"/>
          <w:sz w:val="24"/>
          <w:szCs w:val="24"/>
        </w:rPr>
        <w:t xml:space="preserve"> defendant</w:t>
      </w:r>
      <w:r w:rsidR="00AC0789" w:rsidRPr="00300902">
        <w:rPr>
          <w:rFonts w:ascii="Times New Roman" w:hAnsi="Times New Roman" w:cs="Times New Roman"/>
          <w:sz w:val="24"/>
          <w:szCs w:val="24"/>
        </w:rPr>
        <w:t>s</w:t>
      </w:r>
      <w:r w:rsidRPr="00300902">
        <w:rPr>
          <w:rFonts w:ascii="Times New Roman" w:hAnsi="Times New Roman" w:cs="Times New Roman"/>
          <w:sz w:val="24"/>
          <w:szCs w:val="24"/>
        </w:rPr>
        <w:t xml:space="preserve"> entered their app</w:t>
      </w:r>
      <w:r w:rsidR="003B4803" w:rsidRPr="00300902">
        <w:rPr>
          <w:rFonts w:ascii="Times New Roman" w:hAnsi="Times New Roman" w:cs="Times New Roman"/>
          <w:sz w:val="24"/>
          <w:szCs w:val="24"/>
        </w:rPr>
        <w:t>ea</w:t>
      </w:r>
      <w:r w:rsidRPr="00300902">
        <w:rPr>
          <w:rFonts w:ascii="Times New Roman" w:hAnsi="Times New Roman" w:cs="Times New Roman"/>
          <w:sz w:val="24"/>
          <w:szCs w:val="24"/>
        </w:rPr>
        <w:t>rance</w:t>
      </w:r>
      <w:r w:rsidR="008C1603" w:rsidRPr="00300902">
        <w:rPr>
          <w:rFonts w:ascii="Times New Roman" w:hAnsi="Times New Roman" w:cs="Times New Roman"/>
          <w:sz w:val="24"/>
          <w:szCs w:val="24"/>
        </w:rPr>
        <w:t>s</w:t>
      </w:r>
      <w:r w:rsidRPr="00300902">
        <w:rPr>
          <w:rFonts w:ascii="Times New Roman" w:hAnsi="Times New Roman" w:cs="Times New Roman"/>
          <w:sz w:val="24"/>
          <w:szCs w:val="24"/>
        </w:rPr>
        <w:t xml:space="preserve"> to defend</w:t>
      </w:r>
      <w:r w:rsidR="00584BBD" w:rsidRPr="00300902">
        <w:rPr>
          <w:rFonts w:ascii="Times New Roman" w:hAnsi="Times New Roman" w:cs="Times New Roman"/>
          <w:sz w:val="24"/>
          <w:szCs w:val="24"/>
        </w:rPr>
        <w:t xml:space="preserve"> and pleas</w:t>
      </w:r>
      <w:r w:rsidRPr="00300902">
        <w:rPr>
          <w:rFonts w:ascii="Times New Roman" w:hAnsi="Times New Roman" w:cs="Times New Roman"/>
          <w:sz w:val="24"/>
          <w:szCs w:val="24"/>
        </w:rPr>
        <w:t>. The 6</w:t>
      </w:r>
      <w:r w:rsidRPr="00300902">
        <w:rPr>
          <w:rFonts w:ascii="Times New Roman" w:hAnsi="Times New Roman" w:cs="Times New Roman"/>
          <w:sz w:val="24"/>
          <w:szCs w:val="24"/>
          <w:vertAlign w:val="superscript"/>
        </w:rPr>
        <w:t>th</w:t>
      </w:r>
      <w:r w:rsidRPr="00300902">
        <w:rPr>
          <w:rFonts w:ascii="Times New Roman" w:hAnsi="Times New Roman" w:cs="Times New Roman"/>
          <w:sz w:val="24"/>
          <w:szCs w:val="24"/>
        </w:rPr>
        <w:t xml:space="preserve"> defendant entered his appearance to defend after having been initially </w:t>
      </w:r>
      <w:r w:rsidR="003B4803" w:rsidRPr="00300902">
        <w:rPr>
          <w:rFonts w:ascii="Times New Roman" w:hAnsi="Times New Roman" w:cs="Times New Roman"/>
          <w:sz w:val="24"/>
          <w:szCs w:val="24"/>
        </w:rPr>
        <w:t>excluded</w:t>
      </w:r>
      <w:r w:rsidRPr="00300902">
        <w:rPr>
          <w:rFonts w:ascii="Times New Roman" w:hAnsi="Times New Roman" w:cs="Times New Roman"/>
          <w:sz w:val="24"/>
          <w:szCs w:val="24"/>
        </w:rPr>
        <w:t xml:space="preserve"> in th</w:t>
      </w:r>
      <w:r w:rsidR="00611E98" w:rsidRPr="00300902">
        <w:rPr>
          <w:rFonts w:ascii="Times New Roman" w:hAnsi="Times New Roman" w:cs="Times New Roman"/>
          <w:sz w:val="24"/>
          <w:szCs w:val="24"/>
        </w:rPr>
        <w:t>e main summons and</w:t>
      </w:r>
      <w:r w:rsidR="00584BBD" w:rsidRPr="00300902">
        <w:rPr>
          <w:rFonts w:ascii="Times New Roman" w:hAnsi="Times New Roman" w:cs="Times New Roman"/>
          <w:sz w:val="24"/>
          <w:szCs w:val="24"/>
        </w:rPr>
        <w:t xml:space="preserve"> was</w:t>
      </w:r>
      <w:r w:rsidR="00611E98" w:rsidRPr="00300902">
        <w:rPr>
          <w:rFonts w:ascii="Times New Roman" w:hAnsi="Times New Roman" w:cs="Times New Roman"/>
          <w:sz w:val="24"/>
          <w:szCs w:val="24"/>
        </w:rPr>
        <w:t xml:space="preserve"> then later</w:t>
      </w:r>
      <w:r w:rsidRPr="00300902">
        <w:rPr>
          <w:rFonts w:ascii="Times New Roman" w:hAnsi="Times New Roman" w:cs="Times New Roman"/>
          <w:sz w:val="24"/>
          <w:szCs w:val="24"/>
        </w:rPr>
        <w:t xml:space="preserve"> joined to the proceedings through an order of this court on the 28</w:t>
      </w:r>
      <w:r w:rsidRPr="00300902">
        <w:rPr>
          <w:rFonts w:ascii="Times New Roman" w:hAnsi="Times New Roman" w:cs="Times New Roman"/>
          <w:sz w:val="24"/>
          <w:szCs w:val="24"/>
          <w:vertAlign w:val="superscript"/>
        </w:rPr>
        <w:t>th</w:t>
      </w:r>
      <w:r w:rsidRPr="00300902">
        <w:rPr>
          <w:rFonts w:ascii="Times New Roman" w:hAnsi="Times New Roman" w:cs="Times New Roman"/>
          <w:sz w:val="24"/>
          <w:szCs w:val="24"/>
        </w:rPr>
        <w:t xml:space="preserve"> of January 2024. On the 6</w:t>
      </w:r>
      <w:r w:rsidRPr="00300902">
        <w:rPr>
          <w:rFonts w:ascii="Times New Roman" w:hAnsi="Times New Roman" w:cs="Times New Roman"/>
          <w:sz w:val="24"/>
          <w:szCs w:val="24"/>
          <w:vertAlign w:val="superscript"/>
        </w:rPr>
        <w:t>th</w:t>
      </w:r>
      <w:r w:rsidRPr="00300902">
        <w:rPr>
          <w:rFonts w:ascii="Times New Roman" w:hAnsi="Times New Roman" w:cs="Times New Roman"/>
          <w:sz w:val="24"/>
          <w:szCs w:val="24"/>
        </w:rPr>
        <w:t xml:space="preserve"> of February 2023 the 6</w:t>
      </w:r>
      <w:r w:rsidRPr="00300902">
        <w:rPr>
          <w:rFonts w:ascii="Times New Roman" w:hAnsi="Times New Roman" w:cs="Times New Roman"/>
          <w:sz w:val="24"/>
          <w:szCs w:val="24"/>
          <w:vertAlign w:val="superscript"/>
        </w:rPr>
        <w:t>th</w:t>
      </w:r>
      <w:r w:rsidRPr="00300902">
        <w:rPr>
          <w:rFonts w:ascii="Times New Roman" w:hAnsi="Times New Roman" w:cs="Times New Roman"/>
          <w:sz w:val="24"/>
          <w:szCs w:val="24"/>
        </w:rPr>
        <w:t xml:space="preserve"> defendant</w:t>
      </w:r>
      <w:r w:rsidR="00AC0789" w:rsidRPr="00300902">
        <w:rPr>
          <w:rFonts w:ascii="Times New Roman" w:hAnsi="Times New Roman" w:cs="Times New Roman"/>
          <w:sz w:val="24"/>
          <w:szCs w:val="24"/>
        </w:rPr>
        <w:t xml:space="preserve"> filed</w:t>
      </w:r>
      <w:r w:rsidR="005D3886" w:rsidRPr="00300902">
        <w:rPr>
          <w:rFonts w:ascii="Times New Roman" w:hAnsi="Times New Roman" w:cs="Times New Roman"/>
          <w:sz w:val="24"/>
          <w:szCs w:val="24"/>
        </w:rPr>
        <w:t xml:space="preserve"> a special plea of prescription</w:t>
      </w:r>
      <w:r w:rsidR="008C1603" w:rsidRPr="00300902">
        <w:rPr>
          <w:rFonts w:ascii="Times New Roman" w:hAnsi="Times New Roman" w:cs="Times New Roman"/>
          <w:sz w:val="24"/>
          <w:szCs w:val="24"/>
        </w:rPr>
        <w:t xml:space="preserve"> simultaneously with their plea</w:t>
      </w:r>
      <w:r w:rsidR="005D3886" w:rsidRPr="00300902">
        <w:rPr>
          <w:rFonts w:ascii="Times New Roman" w:hAnsi="Times New Roman" w:cs="Times New Roman"/>
          <w:sz w:val="24"/>
          <w:szCs w:val="24"/>
        </w:rPr>
        <w:t>.</w:t>
      </w:r>
    </w:p>
    <w:p w14:paraId="05DFC0FD" w14:textId="2C220CB0" w:rsidR="005D3886" w:rsidRPr="00300902" w:rsidRDefault="005D3886" w:rsidP="00300902">
      <w:pPr>
        <w:spacing w:line="360" w:lineRule="auto"/>
        <w:ind w:firstLine="720"/>
        <w:jc w:val="both"/>
        <w:rPr>
          <w:rFonts w:ascii="Times New Roman" w:hAnsi="Times New Roman" w:cs="Times New Roman"/>
          <w:sz w:val="24"/>
          <w:szCs w:val="24"/>
        </w:rPr>
      </w:pPr>
      <w:r w:rsidRPr="00300902">
        <w:rPr>
          <w:rFonts w:ascii="Times New Roman" w:hAnsi="Times New Roman" w:cs="Times New Roman"/>
          <w:sz w:val="24"/>
          <w:szCs w:val="24"/>
        </w:rPr>
        <w:t>The 6</w:t>
      </w:r>
      <w:r w:rsidRPr="00300902">
        <w:rPr>
          <w:rFonts w:ascii="Times New Roman" w:hAnsi="Times New Roman" w:cs="Times New Roman"/>
          <w:sz w:val="24"/>
          <w:szCs w:val="24"/>
          <w:vertAlign w:val="superscript"/>
        </w:rPr>
        <w:t>th</w:t>
      </w:r>
      <w:r w:rsidRPr="00300902">
        <w:rPr>
          <w:rFonts w:ascii="Times New Roman" w:hAnsi="Times New Roman" w:cs="Times New Roman"/>
          <w:sz w:val="24"/>
          <w:szCs w:val="24"/>
        </w:rPr>
        <w:t xml:space="preserve"> </w:t>
      </w:r>
      <w:r w:rsidR="003B4803" w:rsidRPr="00300902">
        <w:rPr>
          <w:rFonts w:ascii="Times New Roman" w:hAnsi="Times New Roman" w:cs="Times New Roman"/>
          <w:sz w:val="24"/>
          <w:szCs w:val="24"/>
        </w:rPr>
        <w:t>defendant’s</w:t>
      </w:r>
      <w:r w:rsidR="008C1603" w:rsidRPr="00300902">
        <w:rPr>
          <w:rFonts w:ascii="Times New Roman" w:hAnsi="Times New Roman" w:cs="Times New Roman"/>
          <w:sz w:val="24"/>
          <w:szCs w:val="24"/>
        </w:rPr>
        <w:t xml:space="preserve"> special plea was couched</w:t>
      </w:r>
      <w:r w:rsidRPr="00300902">
        <w:rPr>
          <w:rFonts w:ascii="Times New Roman" w:hAnsi="Times New Roman" w:cs="Times New Roman"/>
          <w:sz w:val="24"/>
          <w:szCs w:val="24"/>
        </w:rPr>
        <w:t xml:space="preserve"> as follows:</w:t>
      </w:r>
    </w:p>
    <w:p w14:paraId="1E1A7AAE" w14:textId="5DB5371B" w:rsidR="005D3886" w:rsidRPr="00300902" w:rsidRDefault="005D3886" w:rsidP="00300902">
      <w:pPr>
        <w:pStyle w:val="ListParagraph"/>
        <w:numPr>
          <w:ilvl w:val="0"/>
          <w:numId w:val="31"/>
        </w:numPr>
        <w:spacing w:line="360" w:lineRule="auto"/>
        <w:jc w:val="both"/>
        <w:rPr>
          <w:rFonts w:ascii="Times New Roman" w:hAnsi="Times New Roman" w:cs="Times New Roman"/>
          <w:sz w:val="24"/>
          <w:szCs w:val="24"/>
        </w:rPr>
      </w:pPr>
      <w:r w:rsidRPr="00300902">
        <w:rPr>
          <w:rFonts w:ascii="Times New Roman" w:hAnsi="Times New Roman" w:cs="Times New Roman"/>
          <w:sz w:val="24"/>
          <w:szCs w:val="24"/>
        </w:rPr>
        <w:lastRenderedPageBreak/>
        <w:t xml:space="preserve">The plaintiff cause of action, if any, for entering his alleged right arising from the </w:t>
      </w:r>
      <w:r w:rsidR="003B4803" w:rsidRPr="00300902">
        <w:rPr>
          <w:rFonts w:ascii="Times New Roman" w:hAnsi="Times New Roman" w:cs="Times New Roman"/>
          <w:sz w:val="24"/>
          <w:szCs w:val="24"/>
        </w:rPr>
        <w:t>agreement</w:t>
      </w:r>
      <w:r w:rsidRPr="00300902">
        <w:rPr>
          <w:rFonts w:ascii="Times New Roman" w:hAnsi="Times New Roman" w:cs="Times New Roman"/>
          <w:sz w:val="24"/>
          <w:szCs w:val="24"/>
        </w:rPr>
        <w:t xml:space="preserve"> of sale arose on the 4</w:t>
      </w:r>
      <w:r w:rsidRPr="00300902">
        <w:rPr>
          <w:rFonts w:ascii="Times New Roman" w:hAnsi="Times New Roman" w:cs="Times New Roman"/>
          <w:sz w:val="24"/>
          <w:szCs w:val="24"/>
          <w:vertAlign w:val="superscript"/>
        </w:rPr>
        <w:t>th</w:t>
      </w:r>
      <w:r w:rsidRPr="00300902">
        <w:rPr>
          <w:rFonts w:ascii="Times New Roman" w:hAnsi="Times New Roman" w:cs="Times New Roman"/>
          <w:sz w:val="24"/>
          <w:szCs w:val="24"/>
        </w:rPr>
        <w:t xml:space="preserve"> of September 2018. Three years have lapsed and the running of prescription was not interrupted.</w:t>
      </w:r>
    </w:p>
    <w:p w14:paraId="5931CD21" w14:textId="77777777" w:rsidR="00611E98" w:rsidRPr="00300902" w:rsidRDefault="00611E98" w:rsidP="00300902">
      <w:pPr>
        <w:pStyle w:val="ListParagraph"/>
        <w:spacing w:line="360" w:lineRule="auto"/>
        <w:ind w:left="1080"/>
        <w:jc w:val="both"/>
        <w:rPr>
          <w:rFonts w:ascii="Times New Roman" w:hAnsi="Times New Roman" w:cs="Times New Roman"/>
          <w:sz w:val="24"/>
          <w:szCs w:val="24"/>
        </w:rPr>
      </w:pPr>
    </w:p>
    <w:p w14:paraId="6F0B9433" w14:textId="10F81365" w:rsidR="00CE0E22" w:rsidRPr="00300902" w:rsidRDefault="00CE0E22" w:rsidP="00300902">
      <w:pPr>
        <w:pStyle w:val="ListParagraph"/>
        <w:numPr>
          <w:ilvl w:val="0"/>
          <w:numId w:val="31"/>
        </w:numPr>
        <w:spacing w:line="360" w:lineRule="auto"/>
        <w:jc w:val="both"/>
        <w:rPr>
          <w:rFonts w:ascii="Times New Roman" w:hAnsi="Times New Roman" w:cs="Times New Roman"/>
          <w:sz w:val="24"/>
          <w:szCs w:val="24"/>
        </w:rPr>
      </w:pPr>
      <w:r w:rsidRPr="00300902">
        <w:rPr>
          <w:rFonts w:ascii="Times New Roman" w:hAnsi="Times New Roman" w:cs="Times New Roman"/>
          <w:sz w:val="24"/>
          <w:szCs w:val="24"/>
        </w:rPr>
        <w:t xml:space="preserve">The </w:t>
      </w:r>
      <w:r w:rsidR="00014D4C" w:rsidRPr="00300902">
        <w:rPr>
          <w:rFonts w:ascii="Times New Roman" w:hAnsi="Times New Roman" w:cs="Times New Roman"/>
          <w:sz w:val="24"/>
          <w:szCs w:val="24"/>
        </w:rPr>
        <w:t>plaintiff’s</w:t>
      </w:r>
      <w:r w:rsidRPr="00300902">
        <w:rPr>
          <w:rFonts w:ascii="Times New Roman" w:hAnsi="Times New Roman" w:cs="Times New Roman"/>
          <w:sz w:val="24"/>
          <w:szCs w:val="24"/>
        </w:rPr>
        <w:t xml:space="preserve"> claim has thereafter prescribed in terms of s15 (d) of the Prescription Act [</w:t>
      </w:r>
      <w:r w:rsidRPr="00300902">
        <w:rPr>
          <w:rFonts w:ascii="Times New Roman" w:hAnsi="Times New Roman" w:cs="Times New Roman"/>
          <w:i/>
          <w:iCs/>
          <w:sz w:val="24"/>
          <w:szCs w:val="24"/>
        </w:rPr>
        <w:t>Chapter 8:11</w:t>
      </w:r>
      <w:r w:rsidRPr="00300902">
        <w:rPr>
          <w:rFonts w:ascii="Times New Roman" w:hAnsi="Times New Roman" w:cs="Times New Roman"/>
          <w:sz w:val="24"/>
          <w:szCs w:val="24"/>
        </w:rPr>
        <w:t>].</w:t>
      </w:r>
    </w:p>
    <w:p w14:paraId="05C29151" w14:textId="5ADC1F36" w:rsidR="005D3886" w:rsidRPr="00300902" w:rsidRDefault="00CE0E22" w:rsidP="00300902">
      <w:pPr>
        <w:spacing w:line="360" w:lineRule="auto"/>
        <w:ind w:firstLine="720"/>
        <w:jc w:val="both"/>
        <w:rPr>
          <w:rFonts w:ascii="Times New Roman" w:hAnsi="Times New Roman" w:cs="Times New Roman"/>
          <w:sz w:val="24"/>
          <w:szCs w:val="24"/>
        </w:rPr>
      </w:pPr>
      <w:r w:rsidRPr="00300902">
        <w:rPr>
          <w:rFonts w:ascii="Times New Roman" w:hAnsi="Times New Roman" w:cs="Times New Roman"/>
          <w:sz w:val="24"/>
          <w:szCs w:val="24"/>
        </w:rPr>
        <w:t>Wherefore, the 6</w:t>
      </w:r>
      <w:r w:rsidRPr="00300902">
        <w:rPr>
          <w:rFonts w:ascii="Times New Roman" w:hAnsi="Times New Roman" w:cs="Times New Roman"/>
          <w:sz w:val="24"/>
          <w:szCs w:val="24"/>
          <w:vertAlign w:val="superscript"/>
        </w:rPr>
        <w:t>th</w:t>
      </w:r>
      <w:r w:rsidRPr="00300902">
        <w:rPr>
          <w:rFonts w:ascii="Times New Roman" w:hAnsi="Times New Roman" w:cs="Times New Roman"/>
          <w:sz w:val="24"/>
          <w:szCs w:val="24"/>
        </w:rPr>
        <w:t xml:space="preserve"> defendant prays that the </w:t>
      </w:r>
      <w:r w:rsidR="00014D4C" w:rsidRPr="00300902">
        <w:rPr>
          <w:rFonts w:ascii="Times New Roman" w:hAnsi="Times New Roman" w:cs="Times New Roman"/>
          <w:sz w:val="24"/>
          <w:szCs w:val="24"/>
        </w:rPr>
        <w:t>plaintiff’s</w:t>
      </w:r>
      <w:r w:rsidRPr="00300902">
        <w:rPr>
          <w:rFonts w:ascii="Times New Roman" w:hAnsi="Times New Roman" w:cs="Times New Roman"/>
          <w:sz w:val="24"/>
          <w:szCs w:val="24"/>
        </w:rPr>
        <w:t xml:space="preserve"> claim be dismissed with costs on a higher scale.</w:t>
      </w:r>
      <w:r w:rsidR="00611E98" w:rsidRPr="00300902">
        <w:rPr>
          <w:rFonts w:ascii="Times New Roman" w:hAnsi="Times New Roman" w:cs="Times New Roman"/>
          <w:sz w:val="24"/>
          <w:szCs w:val="24"/>
        </w:rPr>
        <w:t xml:space="preserve"> </w:t>
      </w:r>
    </w:p>
    <w:p w14:paraId="71276F6D" w14:textId="31E5C226" w:rsidR="0014171E" w:rsidRPr="00300902" w:rsidRDefault="00611E98" w:rsidP="00300902">
      <w:pPr>
        <w:spacing w:line="360" w:lineRule="auto"/>
        <w:ind w:firstLine="720"/>
        <w:jc w:val="both"/>
        <w:rPr>
          <w:rFonts w:ascii="Times New Roman" w:hAnsi="Times New Roman" w:cs="Times New Roman"/>
          <w:sz w:val="24"/>
          <w:szCs w:val="24"/>
        </w:rPr>
      </w:pPr>
      <w:r w:rsidRPr="00300902">
        <w:rPr>
          <w:rFonts w:ascii="Times New Roman" w:hAnsi="Times New Roman" w:cs="Times New Roman"/>
          <w:sz w:val="24"/>
          <w:szCs w:val="24"/>
        </w:rPr>
        <w:t>The summarised facts are that</w:t>
      </w:r>
      <w:r w:rsidR="008C1603" w:rsidRPr="00300902">
        <w:rPr>
          <w:rFonts w:ascii="Times New Roman" w:hAnsi="Times New Roman" w:cs="Times New Roman"/>
          <w:sz w:val="24"/>
          <w:szCs w:val="24"/>
        </w:rPr>
        <w:t>,</w:t>
      </w:r>
      <w:r w:rsidRPr="00300902">
        <w:rPr>
          <w:rFonts w:ascii="Times New Roman" w:hAnsi="Times New Roman" w:cs="Times New Roman"/>
          <w:sz w:val="24"/>
          <w:szCs w:val="24"/>
        </w:rPr>
        <w:t xml:space="preserve"> on the 15</w:t>
      </w:r>
      <w:r w:rsidRPr="00300902">
        <w:rPr>
          <w:rFonts w:ascii="Times New Roman" w:hAnsi="Times New Roman" w:cs="Times New Roman"/>
          <w:sz w:val="24"/>
          <w:szCs w:val="24"/>
          <w:vertAlign w:val="superscript"/>
        </w:rPr>
        <w:t>th</w:t>
      </w:r>
      <w:r w:rsidRPr="00300902">
        <w:rPr>
          <w:rFonts w:ascii="Times New Roman" w:hAnsi="Times New Roman" w:cs="Times New Roman"/>
          <w:sz w:val="24"/>
          <w:szCs w:val="24"/>
        </w:rPr>
        <w:t xml:space="preserve"> of July 2016, the 2</w:t>
      </w:r>
      <w:r w:rsidRPr="00300902">
        <w:rPr>
          <w:rFonts w:ascii="Times New Roman" w:hAnsi="Times New Roman" w:cs="Times New Roman"/>
          <w:sz w:val="24"/>
          <w:szCs w:val="24"/>
          <w:vertAlign w:val="superscript"/>
        </w:rPr>
        <w:t>nd</w:t>
      </w:r>
      <w:r w:rsidRPr="00300902">
        <w:rPr>
          <w:rFonts w:ascii="Times New Roman" w:hAnsi="Times New Roman" w:cs="Times New Roman"/>
          <w:sz w:val="24"/>
          <w:szCs w:val="24"/>
        </w:rPr>
        <w:t xml:space="preserve"> defendant was appointed the executor of estate late </w:t>
      </w:r>
      <w:r w:rsidR="008C1603" w:rsidRPr="00300902">
        <w:rPr>
          <w:rFonts w:ascii="Times New Roman" w:hAnsi="Times New Roman" w:cs="Times New Roman"/>
          <w:sz w:val="24"/>
          <w:szCs w:val="24"/>
        </w:rPr>
        <w:t xml:space="preserve">Cleopas Hove. </w:t>
      </w:r>
      <w:r w:rsidR="00584BBD" w:rsidRPr="00300902">
        <w:rPr>
          <w:rFonts w:ascii="Times New Roman" w:hAnsi="Times New Roman" w:cs="Times New Roman"/>
          <w:sz w:val="24"/>
          <w:szCs w:val="24"/>
        </w:rPr>
        <w:t>Subsequently</w:t>
      </w:r>
      <w:r w:rsidR="008C1603" w:rsidRPr="00300902">
        <w:rPr>
          <w:rFonts w:ascii="Times New Roman" w:hAnsi="Times New Roman" w:cs="Times New Roman"/>
          <w:sz w:val="24"/>
          <w:szCs w:val="24"/>
        </w:rPr>
        <w:t>,</w:t>
      </w:r>
      <w:r w:rsidRPr="00300902">
        <w:rPr>
          <w:rFonts w:ascii="Times New Roman" w:hAnsi="Times New Roman" w:cs="Times New Roman"/>
          <w:sz w:val="24"/>
          <w:szCs w:val="24"/>
        </w:rPr>
        <w:t xml:space="preserve"> on the 17</w:t>
      </w:r>
      <w:r w:rsidR="008C1603" w:rsidRPr="00300902">
        <w:rPr>
          <w:rFonts w:ascii="Times New Roman" w:hAnsi="Times New Roman" w:cs="Times New Roman"/>
          <w:sz w:val="24"/>
          <w:szCs w:val="24"/>
        </w:rPr>
        <w:t>th</w:t>
      </w:r>
      <w:r w:rsidRPr="00300902">
        <w:rPr>
          <w:rFonts w:ascii="Times New Roman" w:hAnsi="Times New Roman" w:cs="Times New Roman"/>
          <w:sz w:val="24"/>
          <w:szCs w:val="24"/>
        </w:rPr>
        <w:t xml:space="preserve"> of </w:t>
      </w:r>
      <w:r w:rsidR="006E1AA3" w:rsidRPr="00300902">
        <w:rPr>
          <w:rFonts w:ascii="Times New Roman" w:hAnsi="Times New Roman" w:cs="Times New Roman"/>
          <w:sz w:val="24"/>
          <w:szCs w:val="24"/>
        </w:rPr>
        <w:t>J</w:t>
      </w:r>
      <w:r w:rsidRPr="00300902">
        <w:rPr>
          <w:rFonts w:ascii="Times New Roman" w:hAnsi="Times New Roman" w:cs="Times New Roman"/>
          <w:sz w:val="24"/>
          <w:szCs w:val="24"/>
        </w:rPr>
        <w:t xml:space="preserve">uly 2018, she was </w:t>
      </w:r>
      <w:r w:rsidR="00C23F1F" w:rsidRPr="00300902">
        <w:rPr>
          <w:rFonts w:ascii="Times New Roman" w:hAnsi="Times New Roman" w:cs="Times New Roman"/>
          <w:sz w:val="24"/>
          <w:szCs w:val="24"/>
        </w:rPr>
        <w:t>granted a</w:t>
      </w:r>
      <w:r w:rsidRPr="00300902">
        <w:rPr>
          <w:rFonts w:ascii="Times New Roman" w:hAnsi="Times New Roman" w:cs="Times New Roman"/>
          <w:sz w:val="24"/>
          <w:szCs w:val="24"/>
        </w:rPr>
        <w:t xml:space="preserve"> consent to dispose of the</w:t>
      </w:r>
      <w:r w:rsidR="008C1603" w:rsidRPr="00300902">
        <w:rPr>
          <w:rFonts w:ascii="Times New Roman" w:hAnsi="Times New Roman" w:cs="Times New Roman"/>
          <w:sz w:val="24"/>
          <w:szCs w:val="24"/>
        </w:rPr>
        <w:t xml:space="preserve"> property by the Master of the H</w:t>
      </w:r>
      <w:r w:rsidRPr="00300902">
        <w:rPr>
          <w:rFonts w:ascii="Times New Roman" w:hAnsi="Times New Roman" w:cs="Times New Roman"/>
          <w:sz w:val="24"/>
          <w:szCs w:val="24"/>
        </w:rPr>
        <w:t>igh Court, in terms of s120 of the Administra</w:t>
      </w:r>
      <w:r w:rsidR="008F5D58" w:rsidRPr="00300902">
        <w:rPr>
          <w:rFonts w:ascii="Times New Roman" w:hAnsi="Times New Roman" w:cs="Times New Roman"/>
          <w:sz w:val="24"/>
          <w:szCs w:val="24"/>
        </w:rPr>
        <w:t>tion of Estates Act, [Chapter6.01</w:t>
      </w:r>
      <w:r w:rsidRPr="00300902">
        <w:rPr>
          <w:rFonts w:ascii="Times New Roman" w:hAnsi="Times New Roman" w:cs="Times New Roman"/>
          <w:sz w:val="24"/>
          <w:szCs w:val="24"/>
        </w:rPr>
        <w:t>]. Sometime around the 4</w:t>
      </w:r>
      <w:r w:rsidRPr="00300902">
        <w:rPr>
          <w:rFonts w:ascii="Times New Roman" w:hAnsi="Times New Roman" w:cs="Times New Roman"/>
          <w:sz w:val="24"/>
          <w:szCs w:val="24"/>
          <w:vertAlign w:val="superscript"/>
        </w:rPr>
        <w:t>th</w:t>
      </w:r>
      <w:r w:rsidRPr="00300902">
        <w:rPr>
          <w:rFonts w:ascii="Times New Roman" w:hAnsi="Times New Roman" w:cs="Times New Roman"/>
          <w:sz w:val="24"/>
          <w:szCs w:val="24"/>
        </w:rPr>
        <w:t xml:space="preserve"> of </w:t>
      </w:r>
      <w:r w:rsidR="006E1AA3" w:rsidRPr="00300902">
        <w:rPr>
          <w:rFonts w:ascii="Times New Roman" w:hAnsi="Times New Roman" w:cs="Times New Roman"/>
          <w:sz w:val="24"/>
          <w:szCs w:val="24"/>
        </w:rPr>
        <w:t>September</w:t>
      </w:r>
      <w:r w:rsidRPr="00300902">
        <w:rPr>
          <w:rFonts w:ascii="Times New Roman" w:hAnsi="Times New Roman" w:cs="Times New Roman"/>
          <w:sz w:val="24"/>
          <w:szCs w:val="24"/>
        </w:rPr>
        <w:t>,</w:t>
      </w:r>
      <w:r w:rsidR="006E1AA3" w:rsidRPr="00300902">
        <w:rPr>
          <w:rFonts w:ascii="Times New Roman" w:hAnsi="Times New Roman" w:cs="Times New Roman"/>
          <w:sz w:val="24"/>
          <w:szCs w:val="24"/>
        </w:rPr>
        <w:t xml:space="preserve"> 2018, the 2</w:t>
      </w:r>
      <w:r w:rsidR="006E1AA3" w:rsidRPr="00300902">
        <w:rPr>
          <w:rFonts w:ascii="Times New Roman" w:hAnsi="Times New Roman" w:cs="Times New Roman"/>
          <w:sz w:val="24"/>
          <w:szCs w:val="24"/>
          <w:vertAlign w:val="superscript"/>
        </w:rPr>
        <w:t>nd</w:t>
      </w:r>
      <w:r w:rsidR="006E1AA3" w:rsidRPr="00300902">
        <w:rPr>
          <w:rFonts w:ascii="Times New Roman" w:hAnsi="Times New Roman" w:cs="Times New Roman"/>
          <w:sz w:val="24"/>
          <w:szCs w:val="24"/>
        </w:rPr>
        <w:t xml:space="preserve"> defendant entered into an agreement of sale </w:t>
      </w:r>
      <w:r w:rsidRPr="00300902">
        <w:rPr>
          <w:rFonts w:ascii="Times New Roman" w:hAnsi="Times New Roman" w:cs="Times New Roman"/>
          <w:sz w:val="24"/>
          <w:szCs w:val="24"/>
        </w:rPr>
        <w:t>of property stand 17</w:t>
      </w:r>
      <w:r w:rsidR="008C1603" w:rsidRPr="00300902">
        <w:rPr>
          <w:rFonts w:ascii="Times New Roman" w:hAnsi="Times New Roman" w:cs="Times New Roman"/>
          <w:sz w:val="24"/>
          <w:szCs w:val="24"/>
        </w:rPr>
        <w:t xml:space="preserve">4 </w:t>
      </w:r>
      <w:r w:rsidR="00CD05FB" w:rsidRPr="00300902">
        <w:rPr>
          <w:rFonts w:ascii="Times New Roman" w:hAnsi="Times New Roman" w:cs="Times New Roman"/>
          <w:sz w:val="24"/>
          <w:szCs w:val="24"/>
        </w:rPr>
        <w:t>Banket, with</w:t>
      </w:r>
      <w:r w:rsidR="006E1AA3" w:rsidRPr="00300902">
        <w:rPr>
          <w:rFonts w:ascii="Times New Roman" w:hAnsi="Times New Roman" w:cs="Times New Roman"/>
          <w:sz w:val="24"/>
          <w:szCs w:val="24"/>
        </w:rPr>
        <w:t xml:space="preserve"> </w:t>
      </w:r>
      <w:r w:rsidRPr="00300902">
        <w:rPr>
          <w:rFonts w:ascii="Times New Roman" w:hAnsi="Times New Roman" w:cs="Times New Roman"/>
          <w:sz w:val="24"/>
          <w:szCs w:val="24"/>
        </w:rPr>
        <w:t>the plaintiff.</w:t>
      </w:r>
      <w:r w:rsidR="006E1AA3" w:rsidRPr="00300902">
        <w:rPr>
          <w:rFonts w:ascii="Times New Roman" w:hAnsi="Times New Roman" w:cs="Times New Roman"/>
          <w:sz w:val="24"/>
          <w:szCs w:val="24"/>
        </w:rPr>
        <w:t xml:space="preserve"> The sum of USD180, 000.00</w:t>
      </w:r>
      <w:r w:rsidR="008C1603" w:rsidRPr="00300902">
        <w:rPr>
          <w:rFonts w:ascii="Times New Roman" w:hAnsi="Times New Roman" w:cs="Times New Roman"/>
          <w:sz w:val="24"/>
          <w:szCs w:val="24"/>
        </w:rPr>
        <w:t>,</w:t>
      </w:r>
      <w:r w:rsidR="006E1AA3" w:rsidRPr="00300902">
        <w:rPr>
          <w:rFonts w:ascii="Times New Roman" w:hAnsi="Times New Roman" w:cs="Times New Roman"/>
          <w:sz w:val="24"/>
          <w:szCs w:val="24"/>
        </w:rPr>
        <w:t xml:space="preserve"> was allegedly</w:t>
      </w:r>
      <w:r w:rsidR="00584BBD" w:rsidRPr="00300902">
        <w:rPr>
          <w:rFonts w:ascii="Times New Roman" w:hAnsi="Times New Roman" w:cs="Times New Roman"/>
          <w:sz w:val="24"/>
          <w:szCs w:val="24"/>
        </w:rPr>
        <w:t>,</w:t>
      </w:r>
      <w:r w:rsidR="006E1AA3" w:rsidRPr="00300902">
        <w:rPr>
          <w:rFonts w:ascii="Times New Roman" w:hAnsi="Times New Roman" w:cs="Times New Roman"/>
          <w:sz w:val="24"/>
          <w:szCs w:val="24"/>
        </w:rPr>
        <w:t xml:space="preserve"> the pa</w:t>
      </w:r>
      <w:r w:rsidR="008C1603" w:rsidRPr="00300902">
        <w:rPr>
          <w:rFonts w:ascii="Times New Roman" w:hAnsi="Times New Roman" w:cs="Times New Roman"/>
          <w:sz w:val="24"/>
          <w:szCs w:val="24"/>
        </w:rPr>
        <w:t xml:space="preserve">id and agreed purchase price for </w:t>
      </w:r>
      <w:r w:rsidR="006E1AA3" w:rsidRPr="00300902">
        <w:rPr>
          <w:rFonts w:ascii="Times New Roman" w:hAnsi="Times New Roman" w:cs="Times New Roman"/>
          <w:sz w:val="24"/>
          <w:szCs w:val="24"/>
        </w:rPr>
        <w:t>the property. In turn</w:t>
      </w:r>
      <w:r w:rsidR="00584BBD" w:rsidRPr="00300902">
        <w:rPr>
          <w:rFonts w:ascii="Times New Roman" w:hAnsi="Times New Roman" w:cs="Times New Roman"/>
          <w:sz w:val="24"/>
          <w:szCs w:val="24"/>
        </w:rPr>
        <w:t>,</w:t>
      </w:r>
      <w:r w:rsidR="006E1AA3" w:rsidRPr="00300902">
        <w:rPr>
          <w:rFonts w:ascii="Times New Roman" w:hAnsi="Times New Roman" w:cs="Times New Roman"/>
          <w:sz w:val="24"/>
          <w:szCs w:val="24"/>
        </w:rPr>
        <w:t xml:space="preserve"> the original title deed was handed over to the plaintiff pending the conveyancing transactions and accompanying payments.</w:t>
      </w:r>
    </w:p>
    <w:p w14:paraId="191FF8DC" w14:textId="090CCB73" w:rsidR="006E1AA3" w:rsidRPr="00300902" w:rsidRDefault="006E1AA3" w:rsidP="00300902">
      <w:pPr>
        <w:spacing w:line="360" w:lineRule="auto"/>
        <w:ind w:firstLine="720"/>
        <w:jc w:val="both"/>
        <w:rPr>
          <w:rFonts w:ascii="Times New Roman" w:hAnsi="Times New Roman" w:cs="Times New Roman"/>
          <w:sz w:val="24"/>
          <w:szCs w:val="24"/>
        </w:rPr>
      </w:pPr>
      <w:r w:rsidRPr="00300902">
        <w:rPr>
          <w:rFonts w:ascii="Times New Roman" w:hAnsi="Times New Roman" w:cs="Times New Roman"/>
          <w:sz w:val="24"/>
          <w:szCs w:val="24"/>
        </w:rPr>
        <w:t>However, before the finalisation of</w:t>
      </w:r>
      <w:r w:rsidR="008C1603" w:rsidRPr="00300902">
        <w:rPr>
          <w:rFonts w:ascii="Times New Roman" w:hAnsi="Times New Roman" w:cs="Times New Roman"/>
          <w:sz w:val="24"/>
          <w:szCs w:val="24"/>
        </w:rPr>
        <w:t xml:space="preserve"> the </w:t>
      </w:r>
      <w:r w:rsidRPr="00300902">
        <w:rPr>
          <w:rFonts w:ascii="Times New Roman" w:hAnsi="Times New Roman" w:cs="Times New Roman"/>
          <w:sz w:val="24"/>
          <w:szCs w:val="24"/>
        </w:rPr>
        <w:t>change of title</w:t>
      </w:r>
      <w:r w:rsidR="008C1603" w:rsidRPr="00300902">
        <w:rPr>
          <w:rFonts w:ascii="Times New Roman" w:hAnsi="Times New Roman" w:cs="Times New Roman"/>
          <w:sz w:val="24"/>
          <w:szCs w:val="24"/>
        </w:rPr>
        <w:t xml:space="preserve"> to the plaintiff</w:t>
      </w:r>
      <w:r w:rsidRPr="00300902">
        <w:rPr>
          <w:rFonts w:ascii="Times New Roman" w:hAnsi="Times New Roman" w:cs="Times New Roman"/>
          <w:sz w:val="24"/>
          <w:szCs w:val="24"/>
        </w:rPr>
        <w:t>, the 2</w:t>
      </w:r>
      <w:r w:rsidRPr="00300902">
        <w:rPr>
          <w:rFonts w:ascii="Times New Roman" w:hAnsi="Times New Roman" w:cs="Times New Roman"/>
          <w:sz w:val="24"/>
          <w:szCs w:val="24"/>
          <w:vertAlign w:val="superscript"/>
        </w:rPr>
        <w:t>nd</w:t>
      </w:r>
      <w:r w:rsidRPr="00300902">
        <w:rPr>
          <w:rFonts w:ascii="Times New Roman" w:hAnsi="Times New Roman" w:cs="Times New Roman"/>
          <w:sz w:val="24"/>
          <w:szCs w:val="24"/>
        </w:rPr>
        <w:t xml:space="preserve"> defendant sold the same property to a third party, the 1</w:t>
      </w:r>
      <w:r w:rsidRPr="00300902">
        <w:rPr>
          <w:rFonts w:ascii="Times New Roman" w:hAnsi="Times New Roman" w:cs="Times New Roman"/>
          <w:sz w:val="24"/>
          <w:szCs w:val="24"/>
          <w:vertAlign w:val="superscript"/>
        </w:rPr>
        <w:t>st</w:t>
      </w:r>
      <w:r w:rsidRPr="00300902">
        <w:rPr>
          <w:rFonts w:ascii="Times New Roman" w:hAnsi="Times New Roman" w:cs="Times New Roman"/>
          <w:sz w:val="24"/>
          <w:szCs w:val="24"/>
        </w:rPr>
        <w:t xml:space="preserve"> defendant</w:t>
      </w:r>
      <w:r w:rsidR="008C1603" w:rsidRPr="00300902">
        <w:rPr>
          <w:rFonts w:ascii="Times New Roman" w:hAnsi="Times New Roman" w:cs="Times New Roman"/>
          <w:sz w:val="24"/>
          <w:szCs w:val="24"/>
        </w:rPr>
        <w:t>,</w:t>
      </w:r>
      <w:r w:rsidRPr="00300902">
        <w:rPr>
          <w:rFonts w:ascii="Times New Roman" w:hAnsi="Times New Roman" w:cs="Times New Roman"/>
          <w:sz w:val="24"/>
          <w:szCs w:val="24"/>
        </w:rPr>
        <w:t xml:space="preserve"> her </w:t>
      </w:r>
      <w:r w:rsidR="00C23F1F" w:rsidRPr="00300902">
        <w:rPr>
          <w:rFonts w:ascii="Times New Roman" w:hAnsi="Times New Roman" w:cs="Times New Roman"/>
          <w:sz w:val="24"/>
          <w:szCs w:val="24"/>
        </w:rPr>
        <w:t>sister-in-law</w:t>
      </w:r>
      <w:r w:rsidRPr="00300902">
        <w:rPr>
          <w:rFonts w:ascii="Times New Roman" w:hAnsi="Times New Roman" w:cs="Times New Roman"/>
          <w:sz w:val="24"/>
          <w:szCs w:val="24"/>
        </w:rPr>
        <w:t>, married to h</w:t>
      </w:r>
      <w:r w:rsidR="007A74DA" w:rsidRPr="00300902">
        <w:rPr>
          <w:rFonts w:ascii="Times New Roman" w:hAnsi="Times New Roman" w:cs="Times New Roman"/>
          <w:sz w:val="24"/>
          <w:szCs w:val="24"/>
        </w:rPr>
        <w:t>er own brother. T</w:t>
      </w:r>
      <w:r w:rsidRPr="00300902">
        <w:rPr>
          <w:rFonts w:ascii="Times New Roman" w:hAnsi="Times New Roman" w:cs="Times New Roman"/>
          <w:sz w:val="24"/>
          <w:szCs w:val="24"/>
        </w:rPr>
        <w:t>he property wa</w:t>
      </w:r>
      <w:r w:rsidR="00833CE7" w:rsidRPr="00300902">
        <w:rPr>
          <w:rFonts w:ascii="Times New Roman" w:hAnsi="Times New Roman" w:cs="Times New Roman"/>
          <w:sz w:val="24"/>
          <w:szCs w:val="24"/>
        </w:rPr>
        <w:t>s expeditiously</w:t>
      </w:r>
      <w:r w:rsidRPr="00300902">
        <w:rPr>
          <w:rFonts w:ascii="Times New Roman" w:hAnsi="Times New Roman" w:cs="Times New Roman"/>
          <w:sz w:val="24"/>
          <w:szCs w:val="24"/>
        </w:rPr>
        <w:t>, transferred into the nam</w:t>
      </w:r>
      <w:r w:rsidR="008C1603" w:rsidRPr="00300902">
        <w:rPr>
          <w:rFonts w:ascii="Times New Roman" w:hAnsi="Times New Roman" w:cs="Times New Roman"/>
          <w:sz w:val="24"/>
          <w:szCs w:val="24"/>
        </w:rPr>
        <w:t xml:space="preserve">es of the second buyer, </w:t>
      </w:r>
      <w:r w:rsidRPr="00300902">
        <w:rPr>
          <w:rFonts w:ascii="Times New Roman" w:hAnsi="Times New Roman" w:cs="Times New Roman"/>
          <w:sz w:val="24"/>
          <w:szCs w:val="24"/>
        </w:rPr>
        <w:t>the 1</w:t>
      </w:r>
      <w:r w:rsidRPr="00300902">
        <w:rPr>
          <w:rFonts w:ascii="Times New Roman" w:hAnsi="Times New Roman" w:cs="Times New Roman"/>
          <w:sz w:val="24"/>
          <w:szCs w:val="24"/>
          <w:vertAlign w:val="superscript"/>
        </w:rPr>
        <w:t>st</w:t>
      </w:r>
      <w:r w:rsidRPr="00300902">
        <w:rPr>
          <w:rFonts w:ascii="Times New Roman" w:hAnsi="Times New Roman" w:cs="Times New Roman"/>
          <w:sz w:val="24"/>
          <w:szCs w:val="24"/>
        </w:rPr>
        <w:t xml:space="preserve"> defendant under title deed number, 4578/2019.</w:t>
      </w:r>
      <w:r w:rsidR="00833CE7" w:rsidRPr="00300902">
        <w:rPr>
          <w:rFonts w:ascii="Times New Roman" w:hAnsi="Times New Roman" w:cs="Times New Roman"/>
          <w:sz w:val="24"/>
          <w:szCs w:val="24"/>
        </w:rPr>
        <w:t xml:space="preserve"> This was done </w:t>
      </w:r>
      <w:r w:rsidR="00584BBD" w:rsidRPr="00300902">
        <w:rPr>
          <w:rFonts w:ascii="Times New Roman" w:hAnsi="Times New Roman" w:cs="Times New Roman"/>
          <w:sz w:val="24"/>
          <w:szCs w:val="24"/>
        </w:rPr>
        <w:t>under the pretext that</w:t>
      </w:r>
      <w:r w:rsidR="008C1603" w:rsidRPr="00300902">
        <w:rPr>
          <w:rFonts w:ascii="Times New Roman" w:hAnsi="Times New Roman" w:cs="Times New Roman"/>
          <w:sz w:val="24"/>
          <w:szCs w:val="24"/>
        </w:rPr>
        <w:t xml:space="preserve"> the original trust deed had been lost and </w:t>
      </w:r>
      <w:r w:rsidR="00833CE7" w:rsidRPr="00300902">
        <w:rPr>
          <w:rFonts w:ascii="Times New Roman" w:hAnsi="Times New Roman" w:cs="Times New Roman"/>
          <w:sz w:val="24"/>
          <w:szCs w:val="24"/>
        </w:rPr>
        <w:t>after an application for a loss of the o</w:t>
      </w:r>
      <w:r w:rsidR="008C1603" w:rsidRPr="00300902">
        <w:rPr>
          <w:rFonts w:ascii="Times New Roman" w:hAnsi="Times New Roman" w:cs="Times New Roman"/>
          <w:sz w:val="24"/>
          <w:szCs w:val="24"/>
        </w:rPr>
        <w:t>riginal title deed had been procedurally made</w:t>
      </w:r>
      <w:r w:rsidR="00833CE7" w:rsidRPr="00300902">
        <w:rPr>
          <w:rFonts w:ascii="Times New Roman" w:hAnsi="Times New Roman" w:cs="Times New Roman"/>
          <w:sz w:val="24"/>
          <w:szCs w:val="24"/>
        </w:rPr>
        <w:t xml:space="preserve"> and granted.</w:t>
      </w:r>
    </w:p>
    <w:p w14:paraId="48510B69" w14:textId="419CE2C5" w:rsidR="00833CE7" w:rsidRPr="00300902" w:rsidRDefault="00833CE7" w:rsidP="00300902">
      <w:pPr>
        <w:spacing w:line="360" w:lineRule="auto"/>
        <w:ind w:firstLine="720"/>
        <w:jc w:val="both"/>
        <w:rPr>
          <w:rFonts w:ascii="Times New Roman" w:hAnsi="Times New Roman" w:cs="Times New Roman"/>
          <w:sz w:val="24"/>
          <w:szCs w:val="24"/>
        </w:rPr>
      </w:pPr>
      <w:r w:rsidRPr="00300902">
        <w:rPr>
          <w:rFonts w:ascii="Times New Roman" w:hAnsi="Times New Roman" w:cs="Times New Roman"/>
          <w:sz w:val="24"/>
          <w:szCs w:val="24"/>
        </w:rPr>
        <w:t>Notably, the process for the acquisition of the lost title titled deed is said to have been duly and diligently done following an advertisement in the Government Gazette, of the 19</w:t>
      </w:r>
      <w:r w:rsidRPr="00300902">
        <w:rPr>
          <w:rFonts w:ascii="Times New Roman" w:hAnsi="Times New Roman" w:cs="Times New Roman"/>
          <w:sz w:val="24"/>
          <w:szCs w:val="24"/>
          <w:vertAlign w:val="superscript"/>
        </w:rPr>
        <w:t>th</w:t>
      </w:r>
      <w:r w:rsidRPr="00300902">
        <w:rPr>
          <w:rFonts w:ascii="Times New Roman" w:hAnsi="Times New Roman" w:cs="Times New Roman"/>
          <w:sz w:val="24"/>
          <w:szCs w:val="24"/>
        </w:rPr>
        <w:t xml:space="preserve"> of August 2019. However, it is adverted that, the t</w:t>
      </w:r>
      <w:r w:rsidR="008C1603" w:rsidRPr="00300902">
        <w:rPr>
          <w:rFonts w:ascii="Times New Roman" w:hAnsi="Times New Roman" w:cs="Times New Roman"/>
          <w:sz w:val="24"/>
          <w:szCs w:val="24"/>
        </w:rPr>
        <w:t>imelines for objections of</w:t>
      </w:r>
      <w:r w:rsidRPr="00300902">
        <w:rPr>
          <w:rFonts w:ascii="Times New Roman" w:hAnsi="Times New Roman" w:cs="Times New Roman"/>
          <w:sz w:val="24"/>
          <w:szCs w:val="24"/>
        </w:rPr>
        <w:t xml:space="preserve"> 14 days which was supposed to commence on the 22</w:t>
      </w:r>
      <w:r w:rsidRPr="00300902">
        <w:rPr>
          <w:rFonts w:ascii="Times New Roman" w:hAnsi="Times New Roman" w:cs="Times New Roman"/>
          <w:sz w:val="24"/>
          <w:szCs w:val="24"/>
          <w:vertAlign w:val="superscript"/>
        </w:rPr>
        <w:t>nd</w:t>
      </w:r>
      <w:r w:rsidRPr="00300902">
        <w:rPr>
          <w:rFonts w:ascii="Times New Roman" w:hAnsi="Times New Roman" w:cs="Times New Roman"/>
          <w:sz w:val="24"/>
          <w:szCs w:val="24"/>
        </w:rPr>
        <w:t xml:space="preserve"> of </w:t>
      </w:r>
      <w:r w:rsidR="008C1603" w:rsidRPr="00300902">
        <w:rPr>
          <w:rFonts w:ascii="Times New Roman" w:hAnsi="Times New Roman" w:cs="Times New Roman"/>
          <w:sz w:val="24"/>
          <w:szCs w:val="24"/>
        </w:rPr>
        <w:t>A</w:t>
      </w:r>
      <w:r w:rsidRPr="00300902">
        <w:rPr>
          <w:rFonts w:ascii="Times New Roman" w:hAnsi="Times New Roman" w:cs="Times New Roman"/>
          <w:sz w:val="24"/>
          <w:szCs w:val="24"/>
        </w:rPr>
        <w:t xml:space="preserve">ugust 2022, </w:t>
      </w:r>
      <w:r w:rsidR="00E11B81" w:rsidRPr="00300902">
        <w:rPr>
          <w:rFonts w:ascii="Times New Roman" w:hAnsi="Times New Roman" w:cs="Times New Roman"/>
          <w:sz w:val="24"/>
          <w:szCs w:val="24"/>
        </w:rPr>
        <w:t xml:space="preserve">was not </w:t>
      </w:r>
      <w:r w:rsidRPr="00300902">
        <w:rPr>
          <w:rFonts w:ascii="Times New Roman" w:hAnsi="Times New Roman" w:cs="Times New Roman"/>
          <w:sz w:val="24"/>
          <w:szCs w:val="24"/>
        </w:rPr>
        <w:t>adhered to.</w:t>
      </w:r>
      <w:r w:rsidR="008C1603" w:rsidRPr="00300902">
        <w:rPr>
          <w:rFonts w:ascii="Times New Roman" w:hAnsi="Times New Roman" w:cs="Times New Roman"/>
          <w:sz w:val="24"/>
          <w:szCs w:val="24"/>
        </w:rPr>
        <w:t xml:space="preserve"> It was</w:t>
      </w:r>
      <w:r w:rsidR="00612DC5" w:rsidRPr="00300902">
        <w:rPr>
          <w:rFonts w:ascii="Times New Roman" w:hAnsi="Times New Roman" w:cs="Times New Roman"/>
          <w:sz w:val="24"/>
          <w:szCs w:val="24"/>
        </w:rPr>
        <w:t xml:space="preserve"> further challenged that</w:t>
      </w:r>
      <w:r w:rsidR="008C1603" w:rsidRPr="00300902">
        <w:rPr>
          <w:rFonts w:ascii="Times New Roman" w:hAnsi="Times New Roman" w:cs="Times New Roman"/>
          <w:sz w:val="24"/>
          <w:szCs w:val="24"/>
        </w:rPr>
        <w:t>,</w:t>
      </w:r>
      <w:r w:rsidR="00612DC5" w:rsidRPr="00300902">
        <w:rPr>
          <w:rFonts w:ascii="Times New Roman" w:hAnsi="Times New Roman" w:cs="Times New Roman"/>
          <w:sz w:val="24"/>
          <w:szCs w:val="24"/>
        </w:rPr>
        <w:t xml:space="preserve"> the need to adverti</w:t>
      </w:r>
      <w:r w:rsidR="008C1603" w:rsidRPr="00300902">
        <w:rPr>
          <w:rFonts w:ascii="Times New Roman" w:hAnsi="Times New Roman" w:cs="Times New Roman"/>
          <w:sz w:val="24"/>
          <w:szCs w:val="24"/>
        </w:rPr>
        <w:t>se the same application in the D</w:t>
      </w:r>
      <w:r w:rsidR="00612DC5" w:rsidRPr="00300902">
        <w:rPr>
          <w:rFonts w:ascii="Times New Roman" w:hAnsi="Times New Roman" w:cs="Times New Roman"/>
          <w:sz w:val="24"/>
          <w:szCs w:val="24"/>
        </w:rPr>
        <w:t>aily local newspaper was subverted.</w:t>
      </w:r>
      <w:r w:rsidR="008C1603" w:rsidRPr="00300902">
        <w:rPr>
          <w:rFonts w:ascii="Times New Roman" w:hAnsi="Times New Roman" w:cs="Times New Roman"/>
          <w:sz w:val="24"/>
          <w:szCs w:val="24"/>
        </w:rPr>
        <w:t xml:space="preserve"> The cumulative effect of the above three observations is according to the plaintiff evidence of fraudulent acts by both the 1</w:t>
      </w:r>
      <w:r w:rsidR="008C1603" w:rsidRPr="00300902">
        <w:rPr>
          <w:rFonts w:ascii="Times New Roman" w:hAnsi="Times New Roman" w:cs="Times New Roman"/>
          <w:sz w:val="24"/>
          <w:szCs w:val="24"/>
          <w:vertAlign w:val="superscript"/>
        </w:rPr>
        <w:t>st</w:t>
      </w:r>
      <w:r w:rsidR="008C1603" w:rsidRPr="00300902">
        <w:rPr>
          <w:rFonts w:ascii="Times New Roman" w:hAnsi="Times New Roman" w:cs="Times New Roman"/>
          <w:sz w:val="24"/>
          <w:szCs w:val="24"/>
        </w:rPr>
        <w:t xml:space="preserve"> and 2</w:t>
      </w:r>
      <w:r w:rsidR="008C1603" w:rsidRPr="00300902">
        <w:rPr>
          <w:rFonts w:ascii="Times New Roman" w:hAnsi="Times New Roman" w:cs="Times New Roman"/>
          <w:sz w:val="24"/>
          <w:szCs w:val="24"/>
          <w:vertAlign w:val="superscript"/>
        </w:rPr>
        <w:t>nd</w:t>
      </w:r>
      <w:r w:rsidR="008C1603" w:rsidRPr="00300902">
        <w:rPr>
          <w:rFonts w:ascii="Times New Roman" w:hAnsi="Times New Roman" w:cs="Times New Roman"/>
          <w:sz w:val="24"/>
          <w:szCs w:val="24"/>
        </w:rPr>
        <w:t xml:space="preserve"> defendants.</w:t>
      </w:r>
    </w:p>
    <w:p w14:paraId="18526676" w14:textId="641D49E6" w:rsidR="003949A2" w:rsidRPr="00300902" w:rsidRDefault="00612DC5" w:rsidP="00300902">
      <w:pPr>
        <w:spacing w:line="360" w:lineRule="auto"/>
        <w:ind w:firstLine="720"/>
        <w:jc w:val="both"/>
        <w:rPr>
          <w:rFonts w:ascii="Times New Roman" w:hAnsi="Times New Roman" w:cs="Times New Roman"/>
          <w:sz w:val="24"/>
          <w:szCs w:val="24"/>
        </w:rPr>
      </w:pPr>
      <w:r w:rsidRPr="00300902">
        <w:rPr>
          <w:rFonts w:ascii="Times New Roman" w:hAnsi="Times New Roman" w:cs="Times New Roman"/>
          <w:sz w:val="24"/>
          <w:szCs w:val="24"/>
        </w:rPr>
        <w:t>Consequently, the 1</w:t>
      </w:r>
      <w:r w:rsidRPr="00300902">
        <w:rPr>
          <w:rFonts w:ascii="Times New Roman" w:hAnsi="Times New Roman" w:cs="Times New Roman"/>
          <w:sz w:val="24"/>
          <w:szCs w:val="24"/>
          <w:vertAlign w:val="superscript"/>
        </w:rPr>
        <w:t>st</w:t>
      </w:r>
      <w:r w:rsidRPr="00300902">
        <w:rPr>
          <w:rFonts w:ascii="Times New Roman" w:hAnsi="Times New Roman" w:cs="Times New Roman"/>
          <w:sz w:val="24"/>
          <w:szCs w:val="24"/>
        </w:rPr>
        <w:t xml:space="preserve"> defendant used the property in contention as collateral security of a debt she owed to the </w:t>
      </w:r>
      <w:r w:rsidR="003467EB" w:rsidRPr="00300902">
        <w:rPr>
          <w:rFonts w:ascii="Times New Roman" w:hAnsi="Times New Roman" w:cs="Times New Roman"/>
          <w:sz w:val="24"/>
          <w:szCs w:val="24"/>
        </w:rPr>
        <w:t>3</w:t>
      </w:r>
      <w:r w:rsidRPr="00300902">
        <w:rPr>
          <w:rFonts w:ascii="Times New Roman" w:hAnsi="Times New Roman" w:cs="Times New Roman"/>
          <w:sz w:val="24"/>
          <w:szCs w:val="24"/>
          <w:vertAlign w:val="superscript"/>
        </w:rPr>
        <w:t>rd</w:t>
      </w:r>
      <w:r w:rsidR="008C1603" w:rsidRPr="00300902">
        <w:rPr>
          <w:rFonts w:ascii="Times New Roman" w:hAnsi="Times New Roman" w:cs="Times New Roman"/>
          <w:sz w:val="24"/>
          <w:szCs w:val="24"/>
        </w:rPr>
        <w:t xml:space="preserve"> defenda</w:t>
      </w:r>
      <w:r w:rsidRPr="00300902">
        <w:rPr>
          <w:rFonts w:ascii="Times New Roman" w:hAnsi="Times New Roman" w:cs="Times New Roman"/>
          <w:sz w:val="24"/>
          <w:szCs w:val="24"/>
        </w:rPr>
        <w:t>nt resulting in the attachment of the property by the 5</w:t>
      </w:r>
      <w:r w:rsidRPr="00300902">
        <w:rPr>
          <w:rFonts w:ascii="Times New Roman" w:hAnsi="Times New Roman" w:cs="Times New Roman"/>
          <w:sz w:val="24"/>
          <w:szCs w:val="24"/>
          <w:vertAlign w:val="superscript"/>
        </w:rPr>
        <w:t>th</w:t>
      </w:r>
      <w:r w:rsidRPr="00300902">
        <w:rPr>
          <w:rFonts w:ascii="Times New Roman" w:hAnsi="Times New Roman" w:cs="Times New Roman"/>
          <w:sz w:val="24"/>
          <w:szCs w:val="24"/>
        </w:rPr>
        <w:t xml:space="preserve"> defendant on the 25</w:t>
      </w:r>
      <w:r w:rsidRPr="00300902">
        <w:rPr>
          <w:rFonts w:ascii="Times New Roman" w:hAnsi="Times New Roman" w:cs="Times New Roman"/>
          <w:sz w:val="24"/>
          <w:szCs w:val="24"/>
          <w:vertAlign w:val="superscript"/>
        </w:rPr>
        <w:t>th</w:t>
      </w:r>
      <w:r w:rsidRPr="00300902">
        <w:rPr>
          <w:rFonts w:ascii="Times New Roman" w:hAnsi="Times New Roman" w:cs="Times New Roman"/>
          <w:sz w:val="24"/>
          <w:szCs w:val="24"/>
        </w:rPr>
        <w:t xml:space="preserve"> of August 2023.</w:t>
      </w:r>
      <w:r w:rsidR="00E11B81" w:rsidRPr="00300902">
        <w:rPr>
          <w:rFonts w:ascii="Times New Roman" w:hAnsi="Times New Roman" w:cs="Times New Roman"/>
          <w:sz w:val="24"/>
          <w:szCs w:val="24"/>
        </w:rPr>
        <w:t xml:space="preserve"> This resulted in the registration of a mortgage bond on </w:t>
      </w:r>
      <w:r w:rsidR="00E11B81" w:rsidRPr="00300902">
        <w:rPr>
          <w:rFonts w:ascii="Times New Roman" w:hAnsi="Times New Roman" w:cs="Times New Roman"/>
          <w:sz w:val="24"/>
          <w:szCs w:val="24"/>
        </w:rPr>
        <w:lastRenderedPageBreak/>
        <w:t>the property in contention.</w:t>
      </w:r>
      <w:r w:rsidRPr="00300902">
        <w:rPr>
          <w:rFonts w:ascii="Times New Roman" w:hAnsi="Times New Roman" w:cs="Times New Roman"/>
          <w:sz w:val="24"/>
          <w:szCs w:val="24"/>
        </w:rPr>
        <w:t xml:space="preserve"> The 6</w:t>
      </w:r>
      <w:r w:rsidRPr="00300902">
        <w:rPr>
          <w:rFonts w:ascii="Times New Roman" w:hAnsi="Times New Roman" w:cs="Times New Roman"/>
          <w:sz w:val="24"/>
          <w:szCs w:val="24"/>
          <w:vertAlign w:val="superscript"/>
        </w:rPr>
        <w:t>th</w:t>
      </w:r>
      <w:r w:rsidR="00E11B81" w:rsidRPr="00300902">
        <w:rPr>
          <w:rFonts w:ascii="Times New Roman" w:hAnsi="Times New Roman" w:cs="Times New Roman"/>
          <w:sz w:val="24"/>
          <w:szCs w:val="24"/>
        </w:rPr>
        <w:t xml:space="preserve"> defendant features as co-</w:t>
      </w:r>
      <w:r w:rsidRPr="00300902">
        <w:rPr>
          <w:rFonts w:ascii="Times New Roman" w:hAnsi="Times New Roman" w:cs="Times New Roman"/>
          <w:sz w:val="24"/>
          <w:szCs w:val="24"/>
        </w:rPr>
        <w:t xml:space="preserve"> financier of the </w:t>
      </w:r>
      <w:r w:rsidR="00E11B81" w:rsidRPr="00300902">
        <w:rPr>
          <w:rFonts w:ascii="Times New Roman" w:hAnsi="Times New Roman" w:cs="Times New Roman"/>
          <w:sz w:val="24"/>
          <w:szCs w:val="24"/>
        </w:rPr>
        <w:t>1st</w:t>
      </w:r>
      <w:r w:rsidR="00AC0F44" w:rsidRPr="00300902">
        <w:rPr>
          <w:rFonts w:ascii="Times New Roman" w:hAnsi="Times New Roman" w:cs="Times New Roman"/>
          <w:sz w:val="24"/>
          <w:szCs w:val="24"/>
        </w:rPr>
        <w:t xml:space="preserve"> defendant</w:t>
      </w:r>
      <w:r w:rsidR="00E11B81" w:rsidRPr="00300902">
        <w:rPr>
          <w:rFonts w:ascii="Times New Roman" w:hAnsi="Times New Roman" w:cs="Times New Roman"/>
          <w:sz w:val="24"/>
          <w:szCs w:val="24"/>
        </w:rPr>
        <w:t xml:space="preserve"> and a preferential creditor. They only came aboard</w:t>
      </w:r>
      <w:r w:rsidRPr="00300902">
        <w:rPr>
          <w:rFonts w:ascii="Times New Roman" w:hAnsi="Times New Roman" w:cs="Times New Roman"/>
          <w:sz w:val="24"/>
          <w:szCs w:val="24"/>
        </w:rPr>
        <w:t xml:space="preserve"> to </w:t>
      </w:r>
      <w:r w:rsidR="00AC0F44" w:rsidRPr="00300902">
        <w:rPr>
          <w:rFonts w:ascii="Times New Roman" w:hAnsi="Times New Roman" w:cs="Times New Roman"/>
          <w:sz w:val="24"/>
          <w:szCs w:val="24"/>
        </w:rPr>
        <w:t>defend</w:t>
      </w:r>
      <w:r w:rsidRPr="00300902">
        <w:rPr>
          <w:rFonts w:ascii="Times New Roman" w:hAnsi="Times New Roman" w:cs="Times New Roman"/>
          <w:sz w:val="24"/>
          <w:szCs w:val="24"/>
        </w:rPr>
        <w:t xml:space="preserve"> their interests through the </w:t>
      </w:r>
      <w:r w:rsidR="000F6A5F" w:rsidRPr="00300902">
        <w:rPr>
          <w:rFonts w:ascii="Times New Roman" w:hAnsi="Times New Roman" w:cs="Times New Roman"/>
          <w:sz w:val="24"/>
          <w:szCs w:val="24"/>
        </w:rPr>
        <w:t>above-mentioned</w:t>
      </w:r>
      <w:r w:rsidRPr="00300902">
        <w:rPr>
          <w:rFonts w:ascii="Times New Roman" w:hAnsi="Times New Roman" w:cs="Times New Roman"/>
          <w:sz w:val="24"/>
          <w:szCs w:val="24"/>
        </w:rPr>
        <w:t xml:space="preserve"> court intervention </w:t>
      </w:r>
      <w:r w:rsidR="003467EB" w:rsidRPr="00300902">
        <w:rPr>
          <w:rFonts w:ascii="Times New Roman" w:hAnsi="Times New Roman" w:cs="Times New Roman"/>
          <w:sz w:val="24"/>
          <w:szCs w:val="24"/>
        </w:rPr>
        <w:t xml:space="preserve">in case HCC230/23, </w:t>
      </w:r>
      <w:r w:rsidRPr="00300902">
        <w:rPr>
          <w:rFonts w:ascii="Times New Roman" w:hAnsi="Times New Roman" w:cs="Times New Roman"/>
          <w:sz w:val="24"/>
          <w:szCs w:val="24"/>
        </w:rPr>
        <w:t xml:space="preserve">after being initially left out </w:t>
      </w:r>
      <w:r w:rsidR="003467EB" w:rsidRPr="00300902">
        <w:rPr>
          <w:rFonts w:ascii="Times New Roman" w:hAnsi="Times New Roman" w:cs="Times New Roman"/>
          <w:sz w:val="24"/>
          <w:szCs w:val="24"/>
        </w:rPr>
        <w:t>in the launching summons claim</w:t>
      </w:r>
      <w:r w:rsidR="00AC0F44" w:rsidRPr="00300902">
        <w:rPr>
          <w:rFonts w:ascii="Times New Roman" w:hAnsi="Times New Roman" w:cs="Times New Roman"/>
          <w:sz w:val="24"/>
          <w:szCs w:val="24"/>
        </w:rPr>
        <w:t xml:space="preserve"> as already noted.</w:t>
      </w:r>
      <w:r w:rsidR="003949A2" w:rsidRPr="00300902">
        <w:rPr>
          <w:rFonts w:ascii="Times New Roman" w:hAnsi="Times New Roman" w:cs="Times New Roman"/>
          <w:sz w:val="24"/>
          <w:szCs w:val="24"/>
        </w:rPr>
        <w:t xml:space="preserve"> </w:t>
      </w:r>
    </w:p>
    <w:p w14:paraId="7E2F3BD6" w14:textId="6A0CDDE6" w:rsidR="00AC0F44" w:rsidRPr="00300902" w:rsidRDefault="00AC0F44" w:rsidP="00300902">
      <w:pPr>
        <w:spacing w:line="360" w:lineRule="auto"/>
        <w:ind w:firstLine="720"/>
        <w:jc w:val="both"/>
        <w:rPr>
          <w:rFonts w:ascii="Times New Roman" w:hAnsi="Times New Roman" w:cs="Times New Roman"/>
          <w:sz w:val="24"/>
          <w:szCs w:val="24"/>
        </w:rPr>
      </w:pPr>
      <w:r w:rsidRPr="00300902">
        <w:rPr>
          <w:rFonts w:ascii="Times New Roman" w:hAnsi="Times New Roman" w:cs="Times New Roman"/>
          <w:sz w:val="24"/>
          <w:szCs w:val="24"/>
        </w:rPr>
        <w:t>It is the 6</w:t>
      </w:r>
      <w:r w:rsidRPr="00300902">
        <w:rPr>
          <w:rFonts w:ascii="Times New Roman" w:hAnsi="Times New Roman" w:cs="Times New Roman"/>
          <w:sz w:val="24"/>
          <w:szCs w:val="24"/>
          <w:vertAlign w:val="superscript"/>
        </w:rPr>
        <w:t>th</w:t>
      </w:r>
      <w:r w:rsidRPr="00300902">
        <w:rPr>
          <w:rFonts w:ascii="Times New Roman" w:hAnsi="Times New Roman" w:cs="Times New Roman"/>
          <w:sz w:val="24"/>
          <w:szCs w:val="24"/>
        </w:rPr>
        <w:t xml:space="preserve"> defendant’s argument</w:t>
      </w:r>
      <w:r w:rsidR="003949A2" w:rsidRPr="00300902">
        <w:rPr>
          <w:rFonts w:ascii="Times New Roman" w:hAnsi="Times New Roman" w:cs="Times New Roman"/>
          <w:sz w:val="24"/>
          <w:szCs w:val="24"/>
        </w:rPr>
        <w:t>, in support of t</w:t>
      </w:r>
      <w:r w:rsidR="00960415" w:rsidRPr="00300902">
        <w:rPr>
          <w:rFonts w:ascii="Times New Roman" w:hAnsi="Times New Roman" w:cs="Times New Roman"/>
          <w:sz w:val="24"/>
          <w:szCs w:val="24"/>
        </w:rPr>
        <w:t>heir special plea in abatement</w:t>
      </w:r>
      <w:r w:rsidR="003949A2" w:rsidRPr="00300902">
        <w:rPr>
          <w:rFonts w:ascii="Times New Roman" w:hAnsi="Times New Roman" w:cs="Times New Roman"/>
          <w:sz w:val="24"/>
          <w:szCs w:val="24"/>
        </w:rPr>
        <w:t xml:space="preserve"> that </w:t>
      </w:r>
      <w:r w:rsidR="00C23F1F" w:rsidRPr="00300902">
        <w:rPr>
          <w:rFonts w:ascii="Times New Roman" w:hAnsi="Times New Roman" w:cs="Times New Roman"/>
          <w:sz w:val="24"/>
          <w:szCs w:val="24"/>
        </w:rPr>
        <w:t>their defence</w:t>
      </w:r>
      <w:r w:rsidR="003467EB" w:rsidRPr="00300902">
        <w:rPr>
          <w:rFonts w:ascii="Times New Roman" w:hAnsi="Times New Roman" w:cs="Times New Roman"/>
          <w:sz w:val="24"/>
          <w:szCs w:val="24"/>
        </w:rPr>
        <w:t xml:space="preserve"> </w:t>
      </w:r>
      <w:r w:rsidR="003949A2" w:rsidRPr="00300902">
        <w:rPr>
          <w:rFonts w:ascii="Times New Roman" w:hAnsi="Times New Roman" w:cs="Times New Roman"/>
          <w:sz w:val="24"/>
          <w:szCs w:val="24"/>
        </w:rPr>
        <w:t xml:space="preserve">of prescription </w:t>
      </w:r>
      <w:r w:rsidR="003467EB" w:rsidRPr="00300902">
        <w:rPr>
          <w:rFonts w:ascii="Times New Roman" w:hAnsi="Times New Roman" w:cs="Times New Roman"/>
          <w:sz w:val="24"/>
          <w:szCs w:val="24"/>
        </w:rPr>
        <w:t>will dispose of the matter once and for all. Of note, the 3</w:t>
      </w:r>
      <w:r w:rsidR="003467EB" w:rsidRPr="00300902">
        <w:rPr>
          <w:rFonts w:ascii="Times New Roman" w:hAnsi="Times New Roman" w:cs="Times New Roman"/>
          <w:sz w:val="24"/>
          <w:szCs w:val="24"/>
          <w:vertAlign w:val="superscript"/>
        </w:rPr>
        <w:t>rd</w:t>
      </w:r>
      <w:r w:rsidR="003467EB" w:rsidRPr="00300902">
        <w:rPr>
          <w:rFonts w:ascii="Times New Roman" w:hAnsi="Times New Roman" w:cs="Times New Roman"/>
          <w:sz w:val="24"/>
          <w:szCs w:val="24"/>
        </w:rPr>
        <w:t xml:space="preserve"> defendant like the rest of the defendants did not file any opposing and or supporting papers to the special plea raised. </w:t>
      </w:r>
      <w:r w:rsidR="003949A2" w:rsidRPr="00300902">
        <w:rPr>
          <w:rFonts w:ascii="Times New Roman" w:hAnsi="Times New Roman" w:cs="Times New Roman"/>
          <w:sz w:val="24"/>
          <w:szCs w:val="24"/>
        </w:rPr>
        <w:t>The court is mindful, that bo</w:t>
      </w:r>
      <w:r w:rsidR="003467EB" w:rsidRPr="00300902">
        <w:rPr>
          <w:rFonts w:ascii="Times New Roman" w:hAnsi="Times New Roman" w:cs="Times New Roman"/>
          <w:sz w:val="24"/>
          <w:szCs w:val="24"/>
        </w:rPr>
        <w:t>th pleas by the 3</w:t>
      </w:r>
      <w:r w:rsidR="003467EB" w:rsidRPr="00300902">
        <w:rPr>
          <w:rFonts w:ascii="Times New Roman" w:hAnsi="Times New Roman" w:cs="Times New Roman"/>
          <w:sz w:val="24"/>
          <w:szCs w:val="24"/>
          <w:vertAlign w:val="superscript"/>
        </w:rPr>
        <w:t>rd</w:t>
      </w:r>
      <w:r w:rsidR="003467EB" w:rsidRPr="00300902">
        <w:rPr>
          <w:rFonts w:ascii="Times New Roman" w:hAnsi="Times New Roman" w:cs="Times New Roman"/>
          <w:sz w:val="24"/>
          <w:szCs w:val="24"/>
        </w:rPr>
        <w:t xml:space="preserve"> and 6</w:t>
      </w:r>
      <w:r w:rsidR="003467EB" w:rsidRPr="00300902">
        <w:rPr>
          <w:rFonts w:ascii="Times New Roman" w:hAnsi="Times New Roman" w:cs="Times New Roman"/>
          <w:sz w:val="24"/>
          <w:szCs w:val="24"/>
          <w:vertAlign w:val="superscript"/>
        </w:rPr>
        <w:t>th</w:t>
      </w:r>
      <w:r w:rsidR="003467EB" w:rsidRPr="00300902">
        <w:rPr>
          <w:rFonts w:ascii="Times New Roman" w:hAnsi="Times New Roman" w:cs="Times New Roman"/>
          <w:sz w:val="24"/>
          <w:szCs w:val="24"/>
        </w:rPr>
        <w:t xml:space="preserve"> defendants raised a lot of legal questions that are better left for the main action arguments. </w:t>
      </w:r>
      <w:r w:rsidR="003467EB" w:rsidRPr="00300902">
        <w:rPr>
          <w:rFonts w:ascii="Times New Roman" w:hAnsi="Times New Roman" w:cs="Times New Roman"/>
          <w:iCs/>
          <w:sz w:val="24"/>
          <w:szCs w:val="24"/>
        </w:rPr>
        <w:t>In</w:t>
      </w:r>
      <w:r w:rsidR="003467EB" w:rsidRPr="00300902">
        <w:rPr>
          <w:rFonts w:ascii="Times New Roman" w:hAnsi="Times New Roman" w:cs="Times New Roman"/>
          <w:i/>
          <w:sz w:val="24"/>
          <w:szCs w:val="24"/>
        </w:rPr>
        <w:t xml:space="preserve"> </w:t>
      </w:r>
      <w:proofErr w:type="spellStart"/>
      <w:r w:rsidR="003467EB" w:rsidRPr="00300902">
        <w:rPr>
          <w:rFonts w:ascii="Times New Roman" w:hAnsi="Times New Roman" w:cs="Times New Roman"/>
          <w:i/>
          <w:sz w:val="24"/>
          <w:szCs w:val="24"/>
        </w:rPr>
        <w:t>casu</w:t>
      </w:r>
      <w:proofErr w:type="spellEnd"/>
      <w:r w:rsidR="003467EB" w:rsidRPr="00300902">
        <w:rPr>
          <w:rFonts w:ascii="Times New Roman" w:hAnsi="Times New Roman" w:cs="Times New Roman"/>
          <w:i/>
          <w:sz w:val="24"/>
          <w:szCs w:val="24"/>
        </w:rPr>
        <w:t>,</w:t>
      </w:r>
      <w:r w:rsidR="003467EB" w:rsidRPr="00300902">
        <w:rPr>
          <w:rFonts w:ascii="Times New Roman" w:hAnsi="Times New Roman" w:cs="Times New Roman"/>
          <w:sz w:val="24"/>
          <w:szCs w:val="24"/>
        </w:rPr>
        <w:t xml:space="preserve"> </w:t>
      </w:r>
      <w:r w:rsidR="003949A2" w:rsidRPr="00300902">
        <w:rPr>
          <w:rFonts w:ascii="Times New Roman" w:hAnsi="Times New Roman" w:cs="Times New Roman"/>
          <w:sz w:val="24"/>
          <w:szCs w:val="24"/>
        </w:rPr>
        <w:t>this court</w:t>
      </w:r>
      <w:r w:rsidR="004D7909" w:rsidRPr="00300902">
        <w:rPr>
          <w:rFonts w:ascii="Times New Roman" w:hAnsi="Times New Roman" w:cs="Times New Roman"/>
          <w:sz w:val="24"/>
          <w:szCs w:val="24"/>
        </w:rPr>
        <w:t xml:space="preserve"> proceed</w:t>
      </w:r>
      <w:r w:rsidR="003949A2" w:rsidRPr="00300902">
        <w:rPr>
          <w:rFonts w:ascii="Times New Roman" w:hAnsi="Times New Roman" w:cs="Times New Roman"/>
          <w:sz w:val="24"/>
          <w:szCs w:val="24"/>
        </w:rPr>
        <w:t>s</w:t>
      </w:r>
      <w:r w:rsidR="004D7909" w:rsidRPr="00300902">
        <w:rPr>
          <w:rFonts w:ascii="Times New Roman" w:hAnsi="Times New Roman" w:cs="Times New Roman"/>
          <w:sz w:val="24"/>
          <w:szCs w:val="24"/>
        </w:rPr>
        <w:t xml:space="preserve"> with</w:t>
      </w:r>
      <w:r w:rsidR="00616334" w:rsidRPr="00300902">
        <w:rPr>
          <w:rFonts w:ascii="Times New Roman" w:hAnsi="Times New Roman" w:cs="Times New Roman"/>
          <w:sz w:val="24"/>
          <w:szCs w:val="24"/>
        </w:rPr>
        <w:t>, and is</w:t>
      </w:r>
      <w:r w:rsidR="004D7909" w:rsidRPr="00300902">
        <w:rPr>
          <w:rFonts w:ascii="Times New Roman" w:hAnsi="Times New Roman" w:cs="Times New Roman"/>
          <w:sz w:val="24"/>
          <w:szCs w:val="24"/>
        </w:rPr>
        <w:t xml:space="preserve"> restricted to the determination on the interlocutory issue</w:t>
      </w:r>
      <w:r w:rsidR="00960415" w:rsidRPr="00300902">
        <w:rPr>
          <w:rFonts w:ascii="Times New Roman" w:hAnsi="Times New Roman" w:cs="Times New Roman"/>
          <w:sz w:val="24"/>
          <w:szCs w:val="24"/>
        </w:rPr>
        <w:t xml:space="preserve"> of prescription</w:t>
      </w:r>
      <w:r w:rsidR="004D7909" w:rsidRPr="00300902">
        <w:rPr>
          <w:rFonts w:ascii="Times New Roman" w:hAnsi="Times New Roman" w:cs="Times New Roman"/>
          <w:sz w:val="24"/>
          <w:szCs w:val="24"/>
        </w:rPr>
        <w:t xml:space="preserve"> raised.</w:t>
      </w:r>
    </w:p>
    <w:p w14:paraId="08517974" w14:textId="52A8EEF8" w:rsidR="00616334" w:rsidRPr="00300902" w:rsidRDefault="003949A2" w:rsidP="00300902">
      <w:pPr>
        <w:spacing w:line="360" w:lineRule="auto"/>
        <w:ind w:firstLine="720"/>
        <w:jc w:val="both"/>
        <w:rPr>
          <w:rFonts w:ascii="Times New Roman" w:hAnsi="Times New Roman" w:cs="Times New Roman"/>
          <w:sz w:val="24"/>
          <w:szCs w:val="24"/>
        </w:rPr>
      </w:pPr>
      <w:r w:rsidRPr="00300902">
        <w:rPr>
          <w:rFonts w:ascii="Times New Roman" w:hAnsi="Times New Roman" w:cs="Times New Roman"/>
          <w:sz w:val="24"/>
          <w:szCs w:val="24"/>
        </w:rPr>
        <w:t>T</w:t>
      </w:r>
      <w:r w:rsidR="004D7909" w:rsidRPr="00300902">
        <w:rPr>
          <w:rFonts w:ascii="Times New Roman" w:hAnsi="Times New Roman" w:cs="Times New Roman"/>
          <w:sz w:val="24"/>
          <w:szCs w:val="24"/>
        </w:rPr>
        <w:t>he 6</w:t>
      </w:r>
      <w:r w:rsidR="004D7909" w:rsidRPr="00300902">
        <w:rPr>
          <w:rFonts w:ascii="Times New Roman" w:hAnsi="Times New Roman" w:cs="Times New Roman"/>
          <w:sz w:val="24"/>
          <w:szCs w:val="24"/>
          <w:vertAlign w:val="superscript"/>
        </w:rPr>
        <w:t>th</w:t>
      </w:r>
      <w:r w:rsidR="004D7909" w:rsidRPr="00300902">
        <w:rPr>
          <w:rFonts w:ascii="Times New Roman" w:hAnsi="Times New Roman" w:cs="Times New Roman"/>
          <w:sz w:val="24"/>
          <w:szCs w:val="24"/>
        </w:rPr>
        <w:t xml:space="preserve"> defendant contends that,</w:t>
      </w:r>
      <w:r w:rsidR="00AC0F44" w:rsidRPr="00300902">
        <w:rPr>
          <w:rFonts w:ascii="Times New Roman" w:hAnsi="Times New Roman" w:cs="Times New Roman"/>
          <w:sz w:val="24"/>
          <w:szCs w:val="24"/>
        </w:rPr>
        <w:t xml:space="preserve"> the</w:t>
      </w:r>
      <w:r w:rsidR="004D7909" w:rsidRPr="00300902">
        <w:rPr>
          <w:rFonts w:ascii="Times New Roman" w:hAnsi="Times New Roman" w:cs="Times New Roman"/>
          <w:sz w:val="24"/>
          <w:szCs w:val="24"/>
        </w:rPr>
        <w:t xml:space="preserve"> plaintiff’s cause of action arose on the 4</w:t>
      </w:r>
      <w:r w:rsidR="004D7909" w:rsidRPr="00300902">
        <w:rPr>
          <w:rFonts w:ascii="Times New Roman" w:hAnsi="Times New Roman" w:cs="Times New Roman"/>
          <w:sz w:val="24"/>
          <w:szCs w:val="24"/>
          <w:vertAlign w:val="superscript"/>
        </w:rPr>
        <w:t>th</w:t>
      </w:r>
      <w:r w:rsidR="004D7909" w:rsidRPr="00300902">
        <w:rPr>
          <w:rFonts w:ascii="Times New Roman" w:hAnsi="Times New Roman" w:cs="Times New Roman"/>
          <w:sz w:val="24"/>
          <w:szCs w:val="24"/>
        </w:rPr>
        <w:t xml:space="preserve"> of September 2018</w:t>
      </w:r>
      <w:r w:rsidR="007A74DA" w:rsidRPr="00300902">
        <w:rPr>
          <w:rFonts w:ascii="Times New Roman" w:hAnsi="Times New Roman" w:cs="Times New Roman"/>
          <w:sz w:val="24"/>
          <w:szCs w:val="24"/>
        </w:rPr>
        <w:t>,</w:t>
      </w:r>
      <w:r w:rsidR="004D7909" w:rsidRPr="00300902">
        <w:rPr>
          <w:rFonts w:ascii="Times New Roman" w:hAnsi="Times New Roman" w:cs="Times New Roman"/>
          <w:sz w:val="24"/>
          <w:szCs w:val="24"/>
        </w:rPr>
        <w:t xml:space="preserve"> at</w:t>
      </w:r>
      <w:r w:rsidR="00AC0F44" w:rsidRPr="00300902">
        <w:rPr>
          <w:rFonts w:ascii="Times New Roman" w:hAnsi="Times New Roman" w:cs="Times New Roman"/>
          <w:sz w:val="24"/>
          <w:szCs w:val="24"/>
        </w:rPr>
        <w:t xml:space="preserve"> the </w:t>
      </w:r>
      <w:r w:rsidR="004D7909" w:rsidRPr="00300902">
        <w:rPr>
          <w:rFonts w:ascii="Times New Roman" w:hAnsi="Times New Roman" w:cs="Times New Roman"/>
          <w:sz w:val="24"/>
          <w:szCs w:val="24"/>
        </w:rPr>
        <w:t>conclusion of the agreement of sa</w:t>
      </w:r>
      <w:r w:rsidR="00616334" w:rsidRPr="00300902">
        <w:rPr>
          <w:rFonts w:ascii="Times New Roman" w:hAnsi="Times New Roman" w:cs="Times New Roman"/>
          <w:sz w:val="24"/>
          <w:szCs w:val="24"/>
        </w:rPr>
        <w:t>le. C</w:t>
      </w:r>
      <w:r w:rsidR="004D7909" w:rsidRPr="00300902">
        <w:rPr>
          <w:rFonts w:ascii="Times New Roman" w:hAnsi="Times New Roman" w:cs="Times New Roman"/>
          <w:sz w:val="24"/>
          <w:szCs w:val="24"/>
        </w:rPr>
        <w:t>alculating from that date, the cause of action</w:t>
      </w:r>
      <w:r w:rsidR="00616334" w:rsidRPr="00300902">
        <w:rPr>
          <w:rFonts w:ascii="Times New Roman" w:hAnsi="Times New Roman" w:cs="Times New Roman"/>
          <w:sz w:val="24"/>
          <w:szCs w:val="24"/>
        </w:rPr>
        <w:t xml:space="preserve"> expired in 2021. Thus,</w:t>
      </w:r>
      <w:r w:rsidR="004D7909" w:rsidRPr="00300902">
        <w:rPr>
          <w:rFonts w:ascii="Times New Roman" w:hAnsi="Times New Roman" w:cs="Times New Roman"/>
          <w:sz w:val="24"/>
          <w:szCs w:val="24"/>
        </w:rPr>
        <w:t xml:space="preserve"> prescription, was not interrupted as it can only be interrupted by an express or tacit acknowledgment of debt.</w:t>
      </w:r>
      <w:r w:rsidR="00AC0F44" w:rsidRPr="00300902">
        <w:rPr>
          <w:rFonts w:ascii="Times New Roman" w:hAnsi="Times New Roman" w:cs="Times New Roman"/>
          <w:sz w:val="24"/>
          <w:szCs w:val="24"/>
        </w:rPr>
        <w:t xml:space="preserve"> </w:t>
      </w:r>
      <w:r w:rsidR="008868AD" w:rsidRPr="00300902">
        <w:rPr>
          <w:rFonts w:ascii="Times New Roman" w:hAnsi="Times New Roman" w:cs="Times New Roman"/>
          <w:sz w:val="24"/>
          <w:szCs w:val="24"/>
        </w:rPr>
        <w:t>They assert that it was imperative for the plaintiff to demand transfer and place the 2</w:t>
      </w:r>
      <w:r w:rsidR="008868AD" w:rsidRPr="00300902">
        <w:rPr>
          <w:rFonts w:ascii="Times New Roman" w:hAnsi="Times New Roman" w:cs="Times New Roman"/>
          <w:sz w:val="24"/>
          <w:szCs w:val="24"/>
          <w:vertAlign w:val="superscript"/>
        </w:rPr>
        <w:t>nd</w:t>
      </w:r>
      <w:r w:rsidR="008868AD" w:rsidRPr="00300902">
        <w:rPr>
          <w:rFonts w:ascii="Times New Roman" w:hAnsi="Times New Roman" w:cs="Times New Roman"/>
          <w:sz w:val="24"/>
          <w:szCs w:val="24"/>
        </w:rPr>
        <w:t xml:space="preserve"> defendant (who is interestingly now deceased but estate executor not cited) </w:t>
      </w:r>
      <w:r w:rsidR="008868AD" w:rsidRPr="00300902">
        <w:rPr>
          <w:rFonts w:ascii="Times New Roman" w:hAnsi="Times New Roman" w:cs="Times New Roman"/>
          <w:i/>
          <w:sz w:val="24"/>
          <w:szCs w:val="24"/>
        </w:rPr>
        <w:t xml:space="preserve">in mora, </w:t>
      </w:r>
      <w:r w:rsidR="008868AD" w:rsidRPr="00300902">
        <w:rPr>
          <w:rFonts w:ascii="Times New Roman" w:hAnsi="Times New Roman" w:cs="Times New Roman"/>
          <w:sz w:val="24"/>
          <w:szCs w:val="24"/>
        </w:rPr>
        <w:t>if indeed</w:t>
      </w:r>
      <w:r w:rsidR="008868AD" w:rsidRPr="00300902">
        <w:rPr>
          <w:rFonts w:ascii="Times New Roman" w:hAnsi="Times New Roman" w:cs="Times New Roman"/>
          <w:i/>
          <w:sz w:val="24"/>
          <w:szCs w:val="24"/>
        </w:rPr>
        <w:t xml:space="preserve"> </w:t>
      </w:r>
      <w:r w:rsidR="008868AD" w:rsidRPr="00300902">
        <w:rPr>
          <w:rFonts w:ascii="Times New Roman" w:hAnsi="Times New Roman" w:cs="Times New Roman"/>
          <w:sz w:val="24"/>
          <w:szCs w:val="24"/>
        </w:rPr>
        <w:t>he was genuine</w:t>
      </w:r>
      <w:r w:rsidR="008868AD" w:rsidRPr="00300902">
        <w:rPr>
          <w:rFonts w:ascii="Times New Roman" w:hAnsi="Times New Roman" w:cs="Times New Roman"/>
          <w:i/>
          <w:sz w:val="24"/>
          <w:szCs w:val="24"/>
        </w:rPr>
        <w:t>.</w:t>
      </w:r>
      <w:r w:rsidR="008868AD" w:rsidRPr="00300902">
        <w:rPr>
          <w:rFonts w:ascii="Times New Roman" w:hAnsi="Times New Roman" w:cs="Times New Roman"/>
          <w:sz w:val="24"/>
          <w:szCs w:val="24"/>
        </w:rPr>
        <w:t xml:space="preserve">  </w:t>
      </w:r>
      <w:r w:rsidR="00AC0F44" w:rsidRPr="00300902">
        <w:rPr>
          <w:rFonts w:ascii="Times New Roman" w:hAnsi="Times New Roman" w:cs="Times New Roman"/>
          <w:sz w:val="24"/>
          <w:szCs w:val="24"/>
        </w:rPr>
        <w:t>As such, the plaintiff’s lack of vigilance and sluggishness occasioned the delay in acquiring rights and title to the property in dispute. In that regard, the law is not for the sluggard.</w:t>
      </w:r>
      <w:r w:rsidR="008868AD" w:rsidRPr="00300902">
        <w:rPr>
          <w:rFonts w:ascii="Times New Roman" w:hAnsi="Times New Roman" w:cs="Times New Roman"/>
          <w:sz w:val="24"/>
          <w:szCs w:val="24"/>
        </w:rPr>
        <w:t xml:space="preserve"> </w:t>
      </w:r>
      <w:r w:rsidR="00471677" w:rsidRPr="00300902">
        <w:rPr>
          <w:rFonts w:ascii="Times New Roman" w:hAnsi="Times New Roman" w:cs="Times New Roman"/>
          <w:sz w:val="24"/>
          <w:szCs w:val="24"/>
        </w:rPr>
        <w:t xml:space="preserve">This is </w:t>
      </w:r>
      <w:r w:rsidR="00AD7606" w:rsidRPr="00300902">
        <w:rPr>
          <w:rFonts w:ascii="Times New Roman" w:hAnsi="Times New Roman" w:cs="Times New Roman"/>
          <w:sz w:val="24"/>
          <w:szCs w:val="24"/>
        </w:rPr>
        <w:t>amidst</w:t>
      </w:r>
      <w:r w:rsidR="008868AD" w:rsidRPr="00300902">
        <w:rPr>
          <w:rFonts w:ascii="Times New Roman" w:hAnsi="Times New Roman" w:cs="Times New Roman"/>
          <w:sz w:val="24"/>
          <w:szCs w:val="24"/>
        </w:rPr>
        <w:t xml:space="preserve"> corresponding slurs of</w:t>
      </w:r>
      <w:r w:rsidR="00471677" w:rsidRPr="00300902">
        <w:rPr>
          <w:rFonts w:ascii="Times New Roman" w:hAnsi="Times New Roman" w:cs="Times New Roman"/>
          <w:sz w:val="24"/>
          <w:szCs w:val="24"/>
        </w:rPr>
        <w:t xml:space="preserve"> fraud and collusion </w:t>
      </w:r>
      <w:r w:rsidR="00AD7606" w:rsidRPr="00300902">
        <w:rPr>
          <w:rFonts w:ascii="Times New Roman" w:hAnsi="Times New Roman" w:cs="Times New Roman"/>
          <w:sz w:val="24"/>
          <w:szCs w:val="24"/>
        </w:rPr>
        <w:t xml:space="preserve">allegations </w:t>
      </w:r>
      <w:r w:rsidR="00471677" w:rsidRPr="00300902">
        <w:rPr>
          <w:rFonts w:ascii="Times New Roman" w:hAnsi="Times New Roman" w:cs="Times New Roman"/>
          <w:sz w:val="24"/>
          <w:szCs w:val="24"/>
        </w:rPr>
        <w:t>against the plaintiff and some of the defendants</w:t>
      </w:r>
      <w:r w:rsidR="008868AD" w:rsidRPr="00300902">
        <w:rPr>
          <w:rFonts w:ascii="Times New Roman" w:hAnsi="Times New Roman" w:cs="Times New Roman"/>
          <w:sz w:val="24"/>
          <w:szCs w:val="24"/>
        </w:rPr>
        <w:t>.</w:t>
      </w:r>
    </w:p>
    <w:p w14:paraId="026E44A5" w14:textId="44D9C73B" w:rsidR="003467EB" w:rsidRPr="00300902" w:rsidRDefault="00616334" w:rsidP="00300902">
      <w:pPr>
        <w:spacing w:line="360" w:lineRule="auto"/>
        <w:ind w:firstLine="720"/>
        <w:jc w:val="both"/>
        <w:rPr>
          <w:rFonts w:ascii="Times New Roman" w:hAnsi="Times New Roman" w:cs="Times New Roman"/>
          <w:sz w:val="24"/>
          <w:szCs w:val="24"/>
        </w:rPr>
      </w:pPr>
      <w:r w:rsidRPr="00300902">
        <w:rPr>
          <w:rFonts w:ascii="Times New Roman" w:hAnsi="Times New Roman" w:cs="Times New Roman"/>
          <w:sz w:val="24"/>
          <w:szCs w:val="24"/>
        </w:rPr>
        <w:t>The 6</w:t>
      </w:r>
      <w:r w:rsidRPr="00300902">
        <w:rPr>
          <w:rFonts w:ascii="Times New Roman" w:hAnsi="Times New Roman" w:cs="Times New Roman"/>
          <w:sz w:val="24"/>
          <w:szCs w:val="24"/>
          <w:vertAlign w:val="superscript"/>
        </w:rPr>
        <w:t>th</w:t>
      </w:r>
      <w:r w:rsidR="00960415" w:rsidRPr="00300902">
        <w:rPr>
          <w:rFonts w:ascii="Times New Roman" w:hAnsi="Times New Roman" w:cs="Times New Roman"/>
          <w:sz w:val="24"/>
          <w:szCs w:val="24"/>
        </w:rPr>
        <w:t xml:space="preserve"> defe</w:t>
      </w:r>
      <w:r w:rsidRPr="00300902">
        <w:rPr>
          <w:rFonts w:ascii="Times New Roman" w:hAnsi="Times New Roman" w:cs="Times New Roman"/>
          <w:sz w:val="24"/>
          <w:szCs w:val="24"/>
        </w:rPr>
        <w:t xml:space="preserve">ndant concedes that the plaintiff has no cause of action directly against it however, as an interested party, being </w:t>
      </w:r>
      <w:r w:rsidR="00CD05FB" w:rsidRPr="00300902">
        <w:rPr>
          <w:rFonts w:ascii="Times New Roman" w:hAnsi="Times New Roman" w:cs="Times New Roman"/>
          <w:sz w:val="24"/>
          <w:szCs w:val="24"/>
        </w:rPr>
        <w:t>a preferential creditor,</w:t>
      </w:r>
      <w:r w:rsidRPr="00300902">
        <w:rPr>
          <w:rFonts w:ascii="Times New Roman" w:hAnsi="Times New Roman" w:cs="Times New Roman"/>
          <w:sz w:val="24"/>
          <w:szCs w:val="24"/>
        </w:rPr>
        <w:t xml:space="preserve"> they have the right to raise a point of law of prescription even if it has not been raised by the 1</w:t>
      </w:r>
      <w:r w:rsidRPr="00300902">
        <w:rPr>
          <w:rFonts w:ascii="Times New Roman" w:hAnsi="Times New Roman" w:cs="Times New Roman"/>
          <w:sz w:val="24"/>
          <w:szCs w:val="24"/>
          <w:vertAlign w:val="superscript"/>
        </w:rPr>
        <w:t>st</w:t>
      </w:r>
      <w:r w:rsidRPr="00300902">
        <w:rPr>
          <w:rFonts w:ascii="Times New Roman" w:hAnsi="Times New Roman" w:cs="Times New Roman"/>
          <w:sz w:val="24"/>
          <w:szCs w:val="24"/>
        </w:rPr>
        <w:t xml:space="preserve"> and 2</w:t>
      </w:r>
      <w:r w:rsidRPr="00300902">
        <w:rPr>
          <w:rFonts w:ascii="Times New Roman" w:hAnsi="Times New Roman" w:cs="Times New Roman"/>
          <w:sz w:val="24"/>
          <w:szCs w:val="24"/>
          <w:vertAlign w:val="superscript"/>
        </w:rPr>
        <w:t>nd</w:t>
      </w:r>
      <w:r w:rsidRPr="00300902">
        <w:rPr>
          <w:rFonts w:ascii="Times New Roman" w:hAnsi="Times New Roman" w:cs="Times New Roman"/>
          <w:sz w:val="24"/>
          <w:szCs w:val="24"/>
        </w:rPr>
        <w:t xml:space="preserve"> defendants. It has the right to defend its interests at all costs, so they argue.</w:t>
      </w:r>
      <w:r w:rsidR="004D7909" w:rsidRPr="00300902">
        <w:rPr>
          <w:rFonts w:ascii="Times New Roman" w:hAnsi="Times New Roman" w:cs="Times New Roman"/>
          <w:sz w:val="24"/>
          <w:szCs w:val="24"/>
        </w:rPr>
        <w:t xml:space="preserve"> </w:t>
      </w:r>
      <w:r w:rsidR="008868AD" w:rsidRPr="00300902">
        <w:rPr>
          <w:rFonts w:ascii="Times New Roman" w:hAnsi="Times New Roman" w:cs="Times New Roman"/>
          <w:sz w:val="24"/>
          <w:szCs w:val="24"/>
        </w:rPr>
        <w:t xml:space="preserve"> </w:t>
      </w:r>
      <w:r w:rsidR="00CD05FB" w:rsidRPr="00300902">
        <w:rPr>
          <w:rFonts w:ascii="Times New Roman" w:hAnsi="Times New Roman" w:cs="Times New Roman"/>
          <w:sz w:val="24"/>
          <w:szCs w:val="24"/>
        </w:rPr>
        <w:t>The 6</w:t>
      </w:r>
      <w:r w:rsidR="008868AD" w:rsidRPr="00300902">
        <w:rPr>
          <w:rFonts w:ascii="Times New Roman" w:hAnsi="Times New Roman" w:cs="Times New Roman"/>
          <w:sz w:val="24"/>
          <w:szCs w:val="24"/>
          <w:vertAlign w:val="superscript"/>
        </w:rPr>
        <w:t>th</w:t>
      </w:r>
      <w:r w:rsidR="008868AD" w:rsidRPr="00300902">
        <w:rPr>
          <w:rFonts w:ascii="Times New Roman" w:hAnsi="Times New Roman" w:cs="Times New Roman"/>
          <w:sz w:val="24"/>
          <w:szCs w:val="24"/>
        </w:rPr>
        <w:t xml:space="preserve"> defendant</w:t>
      </w:r>
      <w:r w:rsidR="00CE479B" w:rsidRPr="00300902">
        <w:rPr>
          <w:rFonts w:ascii="Times New Roman" w:hAnsi="Times New Roman" w:cs="Times New Roman"/>
          <w:sz w:val="24"/>
          <w:szCs w:val="24"/>
        </w:rPr>
        <w:t xml:space="preserve"> cited the cases of </w:t>
      </w:r>
      <w:proofErr w:type="spellStart"/>
      <w:r w:rsidR="00CE479B" w:rsidRPr="00300902">
        <w:rPr>
          <w:rFonts w:ascii="Times New Roman" w:hAnsi="Times New Roman" w:cs="Times New Roman"/>
          <w:i/>
          <w:sz w:val="24"/>
          <w:szCs w:val="24"/>
        </w:rPr>
        <w:t>Asharia</w:t>
      </w:r>
      <w:proofErr w:type="spellEnd"/>
      <w:r w:rsidR="00CE479B" w:rsidRPr="00300902">
        <w:rPr>
          <w:rFonts w:ascii="Times New Roman" w:hAnsi="Times New Roman" w:cs="Times New Roman"/>
          <w:i/>
          <w:sz w:val="24"/>
          <w:szCs w:val="24"/>
        </w:rPr>
        <w:t xml:space="preserve"> v Patel &amp; </w:t>
      </w:r>
      <w:proofErr w:type="spellStart"/>
      <w:r w:rsidR="00CE479B" w:rsidRPr="00300902">
        <w:rPr>
          <w:rFonts w:ascii="Times New Roman" w:hAnsi="Times New Roman" w:cs="Times New Roman"/>
          <w:i/>
          <w:sz w:val="24"/>
          <w:szCs w:val="24"/>
        </w:rPr>
        <w:t>Ors</w:t>
      </w:r>
      <w:proofErr w:type="spellEnd"/>
      <w:r w:rsidR="00CE479B" w:rsidRPr="00300902">
        <w:rPr>
          <w:rFonts w:ascii="Times New Roman" w:hAnsi="Times New Roman" w:cs="Times New Roman"/>
          <w:sz w:val="24"/>
          <w:szCs w:val="24"/>
        </w:rPr>
        <w:t xml:space="preserve"> 1991 (2) ZLR 276(S) and </w:t>
      </w:r>
      <w:r w:rsidR="00CE479B" w:rsidRPr="00300902">
        <w:rPr>
          <w:rFonts w:ascii="Times New Roman" w:hAnsi="Times New Roman" w:cs="Times New Roman"/>
          <w:i/>
          <w:sz w:val="24"/>
          <w:szCs w:val="24"/>
        </w:rPr>
        <w:t xml:space="preserve">van Brooker v </w:t>
      </w:r>
      <w:proofErr w:type="spellStart"/>
      <w:r w:rsidR="00CE479B" w:rsidRPr="00300902">
        <w:rPr>
          <w:rFonts w:ascii="Times New Roman" w:hAnsi="Times New Roman" w:cs="Times New Roman"/>
          <w:i/>
          <w:sz w:val="24"/>
          <w:szCs w:val="24"/>
        </w:rPr>
        <w:t>Mudhanda</w:t>
      </w:r>
      <w:proofErr w:type="spellEnd"/>
      <w:r w:rsidR="00CE479B" w:rsidRPr="00300902">
        <w:rPr>
          <w:rFonts w:ascii="Times New Roman" w:hAnsi="Times New Roman" w:cs="Times New Roman"/>
          <w:sz w:val="24"/>
          <w:szCs w:val="24"/>
        </w:rPr>
        <w:t xml:space="preserve"> SC457/8 of 2015, judgment number SC5/18, </w:t>
      </w:r>
      <w:proofErr w:type="spellStart"/>
      <w:r w:rsidR="00960415" w:rsidRPr="00300902">
        <w:rPr>
          <w:rFonts w:ascii="Times New Roman" w:hAnsi="Times New Roman" w:cs="Times New Roman"/>
          <w:i/>
          <w:sz w:val="24"/>
          <w:szCs w:val="24"/>
        </w:rPr>
        <w:t>Nguluwe</w:t>
      </w:r>
      <w:proofErr w:type="spellEnd"/>
      <w:r w:rsidR="00960415" w:rsidRPr="00300902">
        <w:rPr>
          <w:rFonts w:ascii="Times New Roman" w:hAnsi="Times New Roman" w:cs="Times New Roman"/>
          <w:i/>
          <w:sz w:val="24"/>
          <w:szCs w:val="24"/>
        </w:rPr>
        <w:t xml:space="preserve"> v Dewa</w:t>
      </w:r>
      <w:r w:rsidR="00960415" w:rsidRPr="00300902">
        <w:rPr>
          <w:rFonts w:ascii="Times New Roman" w:hAnsi="Times New Roman" w:cs="Times New Roman"/>
          <w:color w:val="000000"/>
          <w:sz w:val="24"/>
          <w:szCs w:val="24"/>
        </w:rPr>
        <w:t xml:space="preserve"> &amp; 4 </w:t>
      </w:r>
      <w:proofErr w:type="spellStart"/>
      <w:r w:rsidR="00960415" w:rsidRPr="00300902">
        <w:rPr>
          <w:rFonts w:ascii="Times New Roman" w:hAnsi="Times New Roman" w:cs="Times New Roman"/>
          <w:color w:val="000000"/>
          <w:sz w:val="24"/>
          <w:szCs w:val="24"/>
        </w:rPr>
        <w:t>Ors</w:t>
      </w:r>
      <w:proofErr w:type="spellEnd"/>
      <w:r w:rsidR="00960415" w:rsidRPr="00300902">
        <w:rPr>
          <w:rFonts w:ascii="Times New Roman" w:hAnsi="Times New Roman" w:cs="Times New Roman"/>
          <w:color w:val="000000"/>
          <w:sz w:val="24"/>
          <w:szCs w:val="24"/>
        </w:rPr>
        <w:t xml:space="preserve"> 387/2023, </w:t>
      </w:r>
      <w:r w:rsidR="00CE479B" w:rsidRPr="00300902">
        <w:rPr>
          <w:rFonts w:ascii="Times New Roman" w:hAnsi="Times New Roman" w:cs="Times New Roman"/>
          <w:sz w:val="24"/>
          <w:szCs w:val="24"/>
        </w:rPr>
        <w:t>amongst several other cases in support of their cause.</w:t>
      </w:r>
    </w:p>
    <w:p w14:paraId="6A2FF4D0" w14:textId="5E0E4BB6" w:rsidR="003949A2" w:rsidRPr="00300902" w:rsidRDefault="00CE479B" w:rsidP="00300902">
      <w:pPr>
        <w:spacing w:line="360" w:lineRule="auto"/>
        <w:ind w:firstLine="720"/>
        <w:jc w:val="both"/>
        <w:rPr>
          <w:rFonts w:ascii="Times New Roman" w:hAnsi="Times New Roman" w:cs="Times New Roman"/>
          <w:sz w:val="24"/>
          <w:szCs w:val="24"/>
        </w:rPr>
      </w:pPr>
      <w:r w:rsidRPr="00300902">
        <w:rPr>
          <w:rFonts w:ascii="Times New Roman" w:hAnsi="Times New Roman" w:cs="Times New Roman"/>
          <w:sz w:val="24"/>
          <w:szCs w:val="24"/>
        </w:rPr>
        <w:t>In response</w:t>
      </w:r>
      <w:r w:rsidR="008868AD" w:rsidRPr="00300902">
        <w:rPr>
          <w:rFonts w:ascii="Times New Roman" w:hAnsi="Times New Roman" w:cs="Times New Roman"/>
          <w:sz w:val="24"/>
          <w:szCs w:val="24"/>
        </w:rPr>
        <w:t>,</w:t>
      </w:r>
      <w:r w:rsidRPr="00300902">
        <w:rPr>
          <w:rFonts w:ascii="Times New Roman" w:hAnsi="Times New Roman" w:cs="Times New Roman"/>
          <w:sz w:val="24"/>
          <w:szCs w:val="24"/>
        </w:rPr>
        <w:t xml:space="preserve"> the plaintiff raised a point of law that their cause of action, which is a declaratory claim cannot prescribe. On the merits</w:t>
      </w:r>
      <w:r w:rsidR="00960415" w:rsidRPr="00300902">
        <w:rPr>
          <w:rFonts w:ascii="Times New Roman" w:hAnsi="Times New Roman" w:cs="Times New Roman"/>
          <w:sz w:val="24"/>
          <w:szCs w:val="24"/>
        </w:rPr>
        <w:t>,</w:t>
      </w:r>
      <w:r w:rsidRPr="00300902">
        <w:rPr>
          <w:rFonts w:ascii="Times New Roman" w:hAnsi="Times New Roman" w:cs="Times New Roman"/>
          <w:sz w:val="24"/>
          <w:szCs w:val="24"/>
        </w:rPr>
        <w:t xml:space="preserve"> they</w:t>
      </w:r>
      <w:r w:rsidR="003949A2" w:rsidRPr="00300902">
        <w:rPr>
          <w:rFonts w:ascii="Times New Roman" w:hAnsi="Times New Roman" w:cs="Times New Roman"/>
          <w:sz w:val="24"/>
          <w:szCs w:val="24"/>
        </w:rPr>
        <w:t xml:space="preserve"> advanced submissions in the main and alternative.</w:t>
      </w:r>
      <w:r w:rsidRPr="00300902">
        <w:rPr>
          <w:rFonts w:ascii="Times New Roman" w:hAnsi="Times New Roman" w:cs="Times New Roman"/>
          <w:sz w:val="24"/>
          <w:szCs w:val="24"/>
        </w:rPr>
        <w:t xml:space="preserve"> </w:t>
      </w:r>
      <w:r w:rsidR="00960415" w:rsidRPr="00300902">
        <w:rPr>
          <w:rFonts w:ascii="Times New Roman" w:hAnsi="Times New Roman" w:cs="Times New Roman"/>
          <w:sz w:val="24"/>
          <w:szCs w:val="24"/>
        </w:rPr>
        <w:t>In the main,</w:t>
      </w:r>
      <w:r w:rsidR="003949A2" w:rsidRPr="00300902">
        <w:rPr>
          <w:rFonts w:ascii="Times New Roman" w:hAnsi="Times New Roman" w:cs="Times New Roman"/>
          <w:sz w:val="24"/>
          <w:szCs w:val="24"/>
        </w:rPr>
        <w:t xml:space="preserve"> they advert </w:t>
      </w:r>
      <w:r w:rsidRPr="00300902">
        <w:rPr>
          <w:rFonts w:ascii="Times New Roman" w:hAnsi="Times New Roman" w:cs="Times New Roman"/>
          <w:sz w:val="24"/>
          <w:szCs w:val="24"/>
        </w:rPr>
        <w:t>that,</w:t>
      </w:r>
      <w:r w:rsidR="00471677" w:rsidRPr="00300902">
        <w:rPr>
          <w:rFonts w:ascii="Times New Roman" w:hAnsi="Times New Roman" w:cs="Times New Roman"/>
          <w:sz w:val="24"/>
          <w:szCs w:val="24"/>
        </w:rPr>
        <w:t xml:space="preserve"> the cause of action arose after the plaintiff who had </w:t>
      </w:r>
      <w:r w:rsidR="00471677" w:rsidRPr="00300902">
        <w:rPr>
          <w:rFonts w:ascii="Times New Roman" w:hAnsi="Times New Roman" w:cs="Times New Roman"/>
          <w:sz w:val="24"/>
          <w:szCs w:val="24"/>
        </w:rPr>
        <w:lastRenderedPageBreak/>
        <w:t>taken delivery of the property came across a notice of sale of his alleged property, in August 2023. This jolted him into action resulting in the summons initiating this action.</w:t>
      </w:r>
    </w:p>
    <w:p w14:paraId="5612C10C" w14:textId="7FA1EB2F" w:rsidR="003949A2" w:rsidRPr="00300902" w:rsidRDefault="003949A2" w:rsidP="00300902">
      <w:pPr>
        <w:spacing w:line="360" w:lineRule="auto"/>
        <w:ind w:firstLine="720"/>
        <w:jc w:val="both"/>
        <w:rPr>
          <w:rFonts w:ascii="Times New Roman" w:hAnsi="Times New Roman" w:cs="Times New Roman"/>
          <w:sz w:val="24"/>
          <w:szCs w:val="24"/>
        </w:rPr>
      </w:pPr>
      <w:r w:rsidRPr="00300902">
        <w:rPr>
          <w:rFonts w:ascii="Times New Roman" w:hAnsi="Times New Roman" w:cs="Times New Roman"/>
          <w:sz w:val="24"/>
          <w:szCs w:val="24"/>
        </w:rPr>
        <w:t>Further, the plaintiff asserts that, clause 5 of their agree</w:t>
      </w:r>
      <w:r w:rsidR="00960415" w:rsidRPr="00300902">
        <w:rPr>
          <w:rFonts w:ascii="Times New Roman" w:hAnsi="Times New Roman" w:cs="Times New Roman"/>
          <w:sz w:val="24"/>
          <w:szCs w:val="24"/>
        </w:rPr>
        <w:t>ment of sale, did not fix a date</w:t>
      </w:r>
      <w:r w:rsidRPr="00300902">
        <w:rPr>
          <w:rFonts w:ascii="Times New Roman" w:hAnsi="Times New Roman" w:cs="Times New Roman"/>
          <w:sz w:val="24"/>
          <w:szCs w:val="24"/>
        </w:rPr>
        <w:t xml:space="preserve"> for the transfer of property.</w:t>
      </w:r>
      <w:r w:rsidR="00DD7B97" w:rsidRPr="00300902">
        <w:rPr>
          <w:rFonts w:ascii="Times New Roman" w:hAnsi="Times New Roman" w:cs="Times New Roman"/>
          <w:sz w:val="24"/>
          <w:szCs w:val="24"/>
        </w:rPr>
        <w:t xml:space="preserve"> Thus, t</w:t>
      </w:r>
      <w:r w:rsidR="00960415" w:rsidRPr="00300902">
        <w:rPr>
          <w:rFonts w:ascii="Times New Roman" w:hAnsi="Times New Roman" w:cs="Times New Roman"/>
          <w:sz w:val="24"/>
          <w:szCs w:val="24"/>
        </w:rPr>
        <w:t xml:space="preserve">he plaintiff did not </w:t>
      </w:r>
      <w:r w:rsidR="000F6A5F" w:rsidRPr="00300902">
        <w:rPr>
          <w:rFonts w:ascii="Times New Roman" w:hAnsi="Times New Roman" w:cs="Times New Roman"/>
          <w:sz w:val="24"/>
          <w:szCs w:val="24"/>
        </w:rPr>
        <w:t>demand transfer</w:t>
      </w:r>
      <w:r w:rsidRPr="00300902">
        <w:rPr>
          <w:rFonts w:ascii="Times New Roman" w:hAnsi="Times New Roman" w:cs="Times New Roman"/>
          <w:sz w:val="24"/>
          <w:szCs w:val="24"/>
        </w:rPr>
        <w:t xml:space="preserve"> from the seller, thereby putting her </w:t>
      </w:r>
      <w:r w:rsidRPr="00300902">
        <w:rPr>
          <w:rFonts w:ascii="Times New Roman" w:hAnsi="Times New Roman" w:cs="Times New Roman"/>
          <w:i/>
          <w:sz w:val="24"/>
          <w:szCs w:val="24"/>
        </w:rPr>
        <w:t>in mora</w:t>
      </w:r>
      <w:r w:rsidR="009423A6" w:rsidRPr="00300902">
        <w:rPr>
          <w:rFonts w:ascii="Times New Roman" w:hAnsi="Times New Roman" w:cs="Times New Roman"/>
          <w:i/>
          <w:sz w:val="24"/>
          <w:szCs w:val="24"/>
        </w:rPr>
        <w:t xml:space="preserve">. </w:t>
      </w:r>
      <w:r w:rsidR="009423A6" w:rsidRPr="00300902">
        <w:rPr>
          <w:rFonts w:ascii="Times New Roman" w:hAnsi="Times New Roman" w:cs="Times New Roman"/>
          <w:sz w:val="24"/>
          <w:szCs w:val="24"/>
        </w:rPr>
        <w:t>From their point of view prescription would have commenced from the time they would have put the 2</w:t>
      </w:r>
      <w:r w:rsidR="009423A6" w:rsidRPr="00300902">
        <w:rPr>
          <w:rFonts w:ascii="Times New Roman" w:hAnsi="Times New Roman" w:cs="Times New Roman"/>
          <w:sz w:val="24"/>
          <w:szCs w:val="24"/>
          <w:vertAlign w:val="superscript"/>
        </w:rPr>
        <w:t>nd</w:t>
      </w:r>
      <w:r w:rsidR="009423A6" w:rsidRPr="00300902">
        <w:rPr>
          <w:rFonts w:ascii="Times New Roman" w:hAnsi="Times New Roman" w:cs="Times New Roman"/>
          <w:sz w:val="24"/>
          <w:szCs w:val="24"/>
        </w:rPr>
        <w:t xml:space="preserve"> defendant </w:t>
      </w:r>
      <w:r w:rsidR="009423A6" w:rsidRPr="00300902">
        <w:rPr>
          <w:rFonts w:ascii="Times New Roman" w:hAnsi="Times New Roman" w:cs="Times New Roman"/>
          <w:i/>
          <w:sz w:val="24"/>
          <w:szCs w:val="24"/>
        </w:rPr>
        <w:t>in mora</w:t>
      </w:r>
      <w:r w:rsidR="009423A6" w:rsidRPr="00300902">
        <w:rPr>
          <w:rFonts w:ascii="Times New Roman" w:hAnsi="Times New Roman" w:cs="Times New Roman"/>
          <w:sz w:val="24"/>
          <w:szCs w:val="24"/>
        </w:rPr>
        <w:t>. As such, the cause of action would have been triggered by the Plaintiff’s action of demanding transfer. Since, Plaintiff had not done so, then prescription cannot be said to have started to run.</w:t>
      </w:r>
    </w:p>
    <w:p w14:paraId="28A3AFD0" w14:textId="01C855D3" w:rsidR="00FF1B70" w:rsidRPr="00300902" w:rsidRDefault="009423A6" w:rsidP="00300902">
      <w:pPr>
        <w:spacing w:line="360" w:lineRule="auto"/>
        <w:ind w:firstLine="720"/>
        <w:jc w:val="both"/>
        <w:rPr>
          <w:rFonts w:ascii="Times New Roman" w:hAnsi="Times New Roman" w:cs="Times New Roman"/>
          <w:sz w:val="24"/>
          <w:szCs w:val="24"/>
        </w:rPr>
      </w:pPr>
      <w:r w:rsidRPr="00300902">
        <w:rPr>
          <w:rFonts w:ascii="Times New Roman" w:hAnsi="Times New Roman" w:cs="Times New Roman"/>
          <w:sz w:val="24"/>
          <w:szCs w:val="24"/>
        </w:rPr>
        <w:t xml:space="preserve">In the alternative, the plaintiff stated </w:t>
      </w:r>
      <w:r w:rsidR="00471677" w:rsidRPr="00300902">
        <w:rPr>
          <w:rFonts w:ascii="Times New Roman" w:hAnsi="Times New Roman" w:cs="Times New Roman"/>
          <w:sz w:val="24"/>
          <w:szCs w:val="24"/>
        </w:rPr>
        <w:t>that in any event, the right person entitled to raise any eyebrows</w:t>
      </w:r>
      <w:r w:rsidRPr="00300902">
        <w:rPr>
          <w:rFonts w:ascii="Times New Roman" w:hAnsi="Times New Roman" w:cs="Times New Roman"/>
          <w:sz w:val="24"/>
          <w:szCs w:val="24"/>
        </w:rPr>
        <w:t xml:space="preserve"> or prescription</w:t>
      </w:r>
      <w:r w:rsidR="00471677" w:rsidRPr="00300902">
        <w:rPr>
          <w:rFonts w:ascii="Times New Roman" w:hAnsi="Times New Roman" w:cs="Times New Roman"/>
          <w:sz w:val="24"/>
          <w:szCs w:val="24"/>
        </w:rPr>
        <w:t xml:space="preserve"> is the 1</w:t>
      </w:r>
      <w:r w:rsidR="00471677" w:rsidRPr="00300902">
        <w:rPr>
          <w:rFonts w:ascii="Times New Roman" w:hAnsi="Times New Roman" w:cs="Times New Roman"/>
          <w:sz w:val="24"/>
          <w:szCs w:val="24"/>
          <w:vertAlign w:val="superscript"/>
        </w:rPr>
        <w:t>st</w:t>
      </w:r>
      <w:r w:rsidR="00471677" w:rsidRPr="00300902">
        <w:rPr>
          <w:rFonts w:ascii="Times New Roman" w:hAnsi="Times New Roman" w:cs="Times New Roman"/>
          <w:sz w:val="24"/>
          <w:szCs w:val="24"/>
        </w:rPr>
        <w:t xml:space="preserve"> defendant who did not file an appearance to defend the matter.</w:t>
      </w:r>
      <w:r w:rsidR="00FF1B70" w:rsidRPr="00300902">
        <w:rPr>
          <w:rFonts w:ascii="Times New Roman" w:hAnsi="Times New Roman" w:cs="Times New Roman"/>
          <w:sz w:val="24"/>
          <w:szCs w:val="24"/>
        </w:rPr>
        <w:t xml:space="preserve"> The</w:t>
      </w:r>
      <w:r w:rsidR="00960415" w:rsidRPr="00300902">
        <w:rPr>
          <w:rFonts w:ascii="Times New Roman" w:hAnsi="Times New Roman" w:cs="Times New Roman"/>
          <w:sz w:val="24"/>
          <w:szCs w:val="24"/>
        </w:rPr>
        <w:t xml:space="preserve">y argue that, the </w:t>
      </w:r>
      <w:r w:rsidR="00FF1B70" w:rsidRPr="00300902">
        <w:rPr>
          <w:rFonts w:ascii="Times New Roman" w:hAnsi="Times New Roman" w:cs="Times New Roman"/>
          <w:sz w:val="24"/>
          <w:szCs w:val="24"/>
        </w:rPr>
        <w:t>6</w:t>
      </w:r>
      <w:r w:rsidR="00FF1B70" w:rsidRPr="00300902">
        <w:rPr>
          <w:rFonts w:ascii="Times New Roman" w:hAnsi="Times New Roman" w:cs="Times New Roman"/>
          <w:sz w:val="24"/>
          <w:szCs w:val="24"/>
          <w:vertAlign w:val="superscript"/>
        </w:rPr>
        <w:t>th</w:t>
      </w:r>
      <w:r w:rsidR="00960415" w:rsidRPr="00300902">
        <w:rPr>
          <w:rFonts w:ascii="Times New Roman" w:hAnsi="Times New Roman" w:cs="Times New Roman"/>
          <w:sz w:val="24"/>
          <w:szCs w:val="24"/>
        </w:rPr>
        <w:t xml:space="preserve"> defendant only</w:t>
      </w:r>
      <w:r w:rsidR="00FF1B70" w:rsidRPr="00300902">
        <w:rPr>
          <w:rFonts w:ascii="Times New Roman" w:hAnsi="Times New Roman" w:cs="Times New Roman"/>
          <w:sz w:val="24"/>
          <w:szCs w:val="24"/>
        </w:rPr>
        <w:t xml:space="preserve"> came into the picture in January 2023, when it registered the mortgage bond for a loan advanced to the 1</w:t>
      </w:r>
      <w:r w:rsidR="00FF1B70" w:rsidRPr="00300902">
        <w:rPr>
          <w:rFonts w:ascii="Times New Roman" w:hAnsi="Times New Roman" w:cs="Times New Roman"/>
          <w:sz w:val="24"/>
          <w:szCs w:val="24"/>
          <w:vertAlign w:val="superscript"/>
        </w:rPr>
        <w:t>st</w:t>
      </w:r>
      <w:r w:rsidR="00FF1B70" w:rsidRPr="00300902">
        <w:rPr>
          <w:rFonts w:ascii="Times New Roman" w:hAnsi="Times New Roman" w:cs="Times New Roman"/>
          <w:sz w:val="24"/>
          <w:szCs w:val="24"/>
        </w:rPr>
        <w:t xml:space="preserve"> defendant. They were only incorporated into the lawsuit later</w:t>
      </w:r>
      <w:r w:rsidR="00960415" w:rsidRPr="00300902">
        <w:rPr>
          <w:rFonts w:ascii="Times New Roman" w:hAnsi="Times New Roman" w:cs="Times New Roman"/>
          <w:sz w:val="24"/>
          <w:szCs w:val="24"/>
        </w:rPr>
        <w:t xml:space="preserve"> in the day, therefore, </w:t>
      </w:r>
      <w:r w:rsidR="00FF1B70" w:rsidRPr="00300902">
        <w:rPr>
          <w:rFonts w:ascii="Times New Roman" w:hAnsi="Times New Roman" w:cs="Times New Roman"/>
          <w:sz w:val="24"/>
          <w:szCs w:val="24"/>
        </w:rPr>
        <w:t>the defence of prescription is not available to the 6</w:t>
      </w:r>
      <w:r w:rsidR="00FF1B70" w:rsidRPr="00300902">
        <w:rPr>
          <w:rFonts w:ascii="Times New Roman" w:hAnsi="Times New Roman" w:cs="Times New Roman"/>
          <w:sz w:val="24"/>
          <w:szCs w:val="24"/>
          <w:vertAlign w:val="superscript"/>
        </w:rPr>
        <w:t>th</w:t>
      </w:r>
      <w:r w:rsidR="00FF1B70" w:rsidRPr="00300902">
        <w:rPr>
          <w:rFonts w:ascii="Times New Roman" w:hAnsi="Times New Roman" w:cs="Times New Roman"/>
          <w:sz w:val="24"/>
          <w:szCs w:val="24"/>
        </w:rPr>
        <w:t xml:space="preserve"> defendant, as far as the plaintiff is concerned </w:t>
      </w:r>
    </w:p>
    <w:p w14:paraId="2D812727" w14:textId="2D80AB41" w:rsidR="008868AD" w:rsidRPr="00300902" w:rsidRDefault="00FF1B70" w:rsidP="00300902">
      <w:pPr>
        <w:spacing w:line="360" w:lineRule="auto"/>
        <w:ind w:firstLine="720"/>
        <w:jc w:val="both"/>
        <w:rPr>
          <w:rFonts w:ascii="Times New Roman" w:hAnsi="Times New Roman" w:cs="Times New Roman"/>
          <w:sz w:val="24"/>
          <w:szCs w:val="24"/>
        </w:rPr>
      </w:pPr>
      <w:r w:rsidRPr="00300902">
        <w:rPr>
          <w:rFonts w:ascii="Times New Roman" w:hAnsi="Times New Roman" w:cs="Times New Roman"/>
          <w:sz w:val="24"/>
          <w:szCs w:val="24"/>
        </w:rPr>
        <w:t>Against that background</w:t>
      </w:r>
      <w:r w:rsidR="00DD4B83" w:rsidRPr="00300902">
        <w:rPr>
          <w:rFonts w:ascii="Times New Roman" w:hAnsi="Times New Roman" w:cs="Times New Roman"/>
          <w:sz w:val="24"/>
          <w:szCs w:val="24"/>
        </w:rPr>
        <w:t>, the plaintiff’s</w:t>
      </w:r>
      <w:r w:rsidR="008F5D58" w:rsidRPr="00300902">
        <w:rPr>
          <w:rFonts w:ascii="Times New Roman" w:hAnsi="Times New Roman" w:cs="Times New Roman"/>
          <w:sz w:val="24"/>
          <w:szCs w:val="24"/>
        </w:rPr>
        <w:t xml:space="preserve"> r</w:t>
      </w:r>
      <w:r w:rsidR="009423A6" w:rsidRPr="00300902">
        <w:rPr>
          <w:rFonts w:ascii="Times New Roman" w:hAnsi="Times New Roman" w:cs="Times New Roman"/>
          <w:sz w:val="24"/>
          <w:szCs w:val="24"/>
        </w:rPr>
        <w:t>ight to sue</w:t>
      </w:r>
      <w:r w:rsidR="00960415" w:rsidRPr="00300902">
        <w:rPr>
          <w:rFonts w:ascii="Times New Roman" w:hAnsi="Times New Roman" w:cs="Times New Roman"/>
          <w:sz w:val="24"/>
          <w:szCs w:val="24"/>
        </w:rPr>
        <w:t xml:space="preserve"> or incorporate</w:t>
      </w:r>
      <w:r w:rsidR="009423A6" w:rsidRPr="00300902">
        <w:rPr>
          <w:rFonts w:ascii="Times New Roman" w:hAnsi="Times New Roman" w:cs="Times New Roman"/>
          <w:sz w:val="24"/>
          <w:szCs w:val="24"/>
        </w:rPr>
        <w:t xml:space="preserve"> the 6</w:t>
      </w:r>
      <w:r w:rsidR="009423A6" w:rsidRPr="00300902">
        <w:rPr>
          <w:rFonts w:ascii="Times New Roman" w:hAnsi="Times New Roman" w:cs="Times New Roman"/>
          <w:sz w:val="24"/>
          <w:szCs w:val="24"/>
          <w:vertAlign w:val="superscript"/>
        </w:rPr>
        <w:t>th</w:t>
      </w:r>
      <w:r w:rsidR="009423A6" w:rsidRPr="00300902">
        <w:rPr>
          <w:rFonts w:ascii="Times New Roman" w:hAnsi="Times New Roman" w:cs="Times New Roman"/>
          <w:sz w:val="24"/>
          <w:szCs w:val="24"/>
        </w:rPr>
        <w:t xml:space="preserve"> defendant accrued after the 1</w:t>
      </w:r>
      <w:r w:rsidR="009423A6" w:rsidRPr="00300902">
        <w:rPr>
          <w:rFonts w:ascii="Times New Roman" w:hAnsi="Times New Roman" w:cs="Times New Roman"/>
          <w:sz w:val="24"/>
          <w:szCs w:val="24"/>
          <w:vertAlign w:val="superscript"/>
        </w:rPr>
        <w:t>st</w:t>
      </w:r>
      <w:r w:rsidR="009423A6" w:rsidRPr="00300902">
        <w:rPr>
          <w:rFonts w:ascii="Times New Roman" w:hAnsi="Times New Roman" w:cs="Times New Roman"/>
          <w:sz w:val="24"/>
          <w:szCs w:val="24"/>
        </w:rPr>
        <w:t xml:space="preserve"> defendant </w:t>
      </w:r>
      <w:r w:rsidRPr="00300902">
        <w:rPr>
          <w:rFonts w:ascii="Times New Roman" w:hAnsi="Times New Roman" w:cs="Times New Roman"/>
          <w:sz w:val="24"/>
          <w:szCs w:val="24"/>
        </w:rPr>
        <w:t>registered</w:t>
      </w:r>
      <w:r w:rsidR="009423A6" w:rsidRPr="00300902">
        <w:rPr>
          <w:rFonts w:ascii="Times New Roman" w:hAnsi="Times New Roman" w:cs="Times New Roman"/>
          <w:sz w:val="24"/>
          <w:szCs w:val="24"/>
        </w:rPr>
        <w:t xml:space="preserve"> a mortgage bond No. 302/23 on the 3</w:t>
      </w:r>
      <w:r w:rsidR="009423A6" w:rsidRPr="00300902">
        <w:rPr>
          <w:rFonts w:ascii="Times New Roman" w:hAnsi="Times New Roman" w:cs="Times New Roman"/>
          <w:sz w:val="24"/>
          <w:szCs w:val="24"/>
          <w:vertAlign w:val="superscript"/>
        </w:rPr>
        <w:t>rd</w:t>
      </w:r>
      <w:r w:rsidR="009423A6" w:rsidRPr="00300902">
        <w:rPr>
          <w:rFonts w:ascii="Times New Roman" w:hAnsi="Times New Roman" w:cs="Times New Roman"/>
          <w:sz w:val="24"/>
          <w:szCs w:val="24"/>
        </w:rPr>
        <w:t xml:space="preserve"> of February 2023 and after their joinder to the proceedings of which those joinder proceedings interrupted any running of prescription. As such, the plaintiff’s cause of action differs with each defendant.</w:t>
      </w:r>
    </w:p>
    <w:p w14:paraId="44FD51FC" w14:textId="58E6573E" w:rsidR="006C702A" w:rsidRPr="00300902" w:rsidRDefault="00FF1B70" w:rsidP="00300902">
      <w:pPr>
        <w:pStyle w:val="western"/>
        <w:shd w:val="clear" w:color="auto" w:fill="FFFFFF"/>
        <w:spacing w:before="274" w:beforeAutospacing="0" w:after="274" w:afterAutospacing="0" w:line="360" w:lineRule="auto"/>
        <w:ind w:firstLine="720"/>
        <w:jc w:val="both"/>
        <w:rPr>
          <w:i/>
          <w:color w:val="000000"/>
        </w:rPr>
      </w:pPr>
      <w:r w:rsidRPr="00300902">
        <w:t>The plaintiff</w:t>
      </w:r>
      <w:r w:rsidR="007E1073" w:rsidRPr="00300902">
        <w:t xml:space="preserve"> denies</w:t>
      </w:r>
      <w:r w:rsidR="00AD7606" w:rsidRPr="00300902">
        <w:t xml:space="preserve"> any fraudulent acts on their part but between the 1</w:t>
      </w:r>
      <w:r w:rsidR="00AD7606" w:rsidRPr="00300902">
        <w:rPr>
          <w:vertAlign w:val="superscript"/>
        </w:rPr>
        <w:t>st</w:t>
      </w:r>
      <w:r w:rsidR="00AD7606" w:rsidRPr="00300902">
        <w:t xml:space="preserve"> and 2</w:t>
      </w:r>
      <w:r w:rsidR="00AD7606" w:rsidRPr="00300902">
        <w:rPr>
          <w:vertAlign w:val="superscript"/>
        </w:rPr>
        <w:t>nd</w:t>
      </w:r>
      <w:r w:rsidR="00AD7606" w:rsidRPr="00300902">
        <w:t xml:space="preserve"> defendants.</w:t>
      </w:r>
      <w:r w:rsidR="00616334" w:rsidRPr="00300902">
        <w:t xml:space="preserve"> They relied more or less on the same authorities with the 6</w:t>
      </w:r>
      <w:r w:rsidR="00616334" w:rsidRPr="00300902">
        <w:rPr>
          <w:vertAlign w:val="superscript"/>
        </w:rPr>
        <w:t>th</w:t>
      </w:r>
      <w:r w:rsidR="00616334" w:rsidRPr="00300902">
        <w:t xml:space="preserve"> defendant</w:t>
      </w:r>
      <w:r w:rsidR="006E63F5" w:rsidRPr="00300902">
        <w:t xml:space="preserve">. The cases </w:t>
      </w:r>
      <w:r w:rsidR="000F6A5F" w:rsidRPr="00300902">
        <w:t>of,</w:t>
      </w:r>
      <w:r w:rsidR="00616334" w:rsidRPr="00300902">
        <w:rPr>
          <w:i/>
        </w:rPr>
        <w:t xml:space="preserve"> NSSA v</w:t>
      </w:r>
      <w:r w:rsidR="00616334" w:rsidRPr="00300902">
        <w:t xml:space="preserve"> </w:t>
      </w:r>
      <w:r w:rsidR="00616334" w:rsidRPr="00300902">
        <w:rPr>
          <w:i/>
        </w:rPr>
        <w:t xml:space="preserve">City of </w:t>
      </w:r>
      <w:proofErr w:type="spellStart"/>
      <w:r w:rsidR="00616334" w:rsidRPr="00300902">
        <w:rPr>
          <w:i/>
        </w:rPr>
        <w:t>Mutare</w:t>
      </w:r>
      <w:proofErr w:type="spellEnd"/>
      <w:r w:rsidR="00616334" w:rsidRPr="00300902">
        <w:t xml:space="preserve"> HH38</w:t>
      </w:r>
      <w:r w:rsidR="006C702A" w:rsidRPr="00300902">
        <w:t>5/</w:t>
      </w:r>
      <w:r w:rsidR="000F6A5F" w:rsidRPr="00300902">
        <w:t>18,</w:t>
      </w:r>
      <w:r w:rsidR="000F6A5F" w:rsidRPr="00300902">
        <w:rPr>
          <w:i/>
        </w:rPr>
        <w:t xml:space="preserve"> Wireless</w:t>
      </w:r>
      <w:r w:rsidR="006E63F5" w:rsidRPr="00300902">
        <w:rPr>
          <w:i/>
        </w:rPr>
        <w:t xml:space="preserve"> </w:t>
      </w:r>
      <w:proofErr w:type="spellStart"/>
      <w:r w:rsidR="006E63F5" w:rsidRPr="00300902">
        <w:rPr>
          <w:i/>
        </w:rPr>
        <w:t>Ngilazi</w:t>
      </w:r>
      <w:proofErr w:type="spellEnd"/>
      <w:r w:rsidR="006E63F5" w:rsidRPr="00300902">
        <w:rPr>
          <w:i/>
        </w:rPr>
        <w:t xml:space="preserve"> v Edith </w:t>
      </w:r>
      <w:proofErr w:type="spellStart"/>
      <w:r w:rsidR="006E63F5" w:rsidRPr="00300902">
        <w:rPr>
          <w:i/>
        </w:rPr>
        <w:t>Mtemah</w:t>
      </w:r>
      <w:proofErr w:type="spellEnd"/>
      <w:r w:rsidR="006E63F5" w:rsidRPr="00300902">
        <w:rPr>
          <w:i/>
        </w:rPr>
        <w:t xml:space="preserve"> and Master of the High Court</w:t>
      </w:r>
      <w:r w:rsidR="006E63F5" w:rsidRPr="00300902">
        <w:t>,</w:t>
      </w:r>
      <w:r w:rsidR="007E1073" w:rsidRPr="00300902">
        <w:t xml:space="preserve"> HH644/14 we</w:t>
      </w:r>
      <w:r w:rsidR="00320EA3" w:rsidRPr="00300902">
        <w:t>re additionally referred to alongside</w:t>
      </w:r>
      <w:r w:rsidR="007E1073" w:rsidRPr="00300902">
        <w:t xml:space="preserve"> several others.</w:t>
      </w:r>
      <w:r w:rsidR="008B0FDB" w:rsidRPr="00300902">
        <w:rPr>
          <w:color w:val="212529"/>
        </w:rPr>
        <w:t xml:space="preserve"> The plaintiff also made reference to the Supreme Court case of</w:t>
      </w:r>
      <w:r w:rsidR="008B0FDB" w:rsidRPr="00300902">
        <w:rPr>
          <w:i/>
          <w:color w:val="212529"/>
        </w:rPr>
        <w:t xml:space="preserve"> Jennifer Nan Brooker v </w:t>
      </w:r>
      <w:proofErr w:type="spellStart"/>
      <w:r w:rsidR="008B0FDB" w:rsidRPr="00300902">
        <w:rPr>
          <w:i/>
          <w:color w:val="212529"/>
        </w:rPr>
        <w:t>Mudhandha</w:t>
      </w:r>
      <w:proofErr w:type="spellEnd"/>
      <w:r w:rsidR="008B0FDB" w:rsidRPr="00300902">
        <w:rPr>
          <w:i/>
          <w:color w:val="212529"/>
        </w:rPr>
        <w:t xml:space="preserve"> and </w:t>
      </w:r>
      <w:proofErr w:type="spellStart"/>
      <w:r w:rsidR="008B0FDB" w:rsidRPr="00300902">
        <w:rPr>
          <w:i/>
          <w:color w:val="212529"/>
        </w:rPr>
        <w:t>Ors</w:t>
      </w:r>
      <w:proofErr w:type="spellEnd"/>
      <w:r w:rsidR="008B0FDB" w:rsidRPr="00300902">
        <w:rPr>
          <w:i/>
          <w:color w:val="212529"/>
        </w:rPr>
        <w:t xml:space="preserve"> vs Richard </w:t>
      </w:r>
      <w:proofErr w:type="spellStart"/>
      <w:r w:rsidR="008B0FDB" w:rsidRPr="00300902">
        <w:rPr>
          <w:i/>
          <w:color w:val="212529"/>
        </w:rPr>
        <w:t>Mudhanda</w:t>
      </w:r>
      <w:proofErr w:type="spellEnd"/>
      <w:r w:rsidR="008B0FDB" w:rsidRPr="00300902">
        <w:rPr>
          <w:i/>
          <w:color w:val="212529"/>
        </w:rPr>
        <w:t xml:space="preserve"> and Anor, SC5/18, </w:t>
      </w:r>
      <w:r w:rsidR="008B0FDB" w:rsidRPr="00300902">
        <w:rPr>
          <w:color w:val="212529"/>
        </w:rPr>
        <w:t xml:space="preserve">stating that it was their authority </w:t>
      </w:r>
      <w:r w:rsidR="00CD05FB" w:rsidRPr="00300902">
        <w:rPr>
          <w:color w:val="212529"/>
        </w:rPr>
        <w:t>nailing their</w:t>
      </w:r>
      <w:r w:rsidR="008B0FDB" w:rsidRPr="00300902">
        <w:rPr>
          <w:color w:val="212529"/>
        </w:rPr>
        <w:t xml:space="preserve"> point that a </w:t>
      </w:r>
      <w:proofErr w:type="spellStart"/>
      <w:r w:rsidR="008B0FDB" w:rsidRPr="00300902">
        <w:rPr>
          <w:color w:val="212529"/>
        </w:rPr>
        <w:t>declarateur</w:t>
      </w:r>
      <w:proofErr w:type="spellEnd"/>
      <w:r w:rsidR="008B0FDB" w:rsidRPr="00300902">
        <w:rPr>
          <w:color w:val="212529"/>
        </w:rPr>
        <w:t xml:space="preserve"> does not prescribe.</w:t>
      </w:r>
      <w:r w:rsidR="00DD2E31" w:rsidRPr="00300902">
        <w:rPr>
          <w:color w:val="212529"/>
        </w:rPr>
        <w:t xml:space="preserve"> See</w:t>
      </w:r>
      <w:r w:rsidR="006C702A" w:rsidRPr="00300902">
        <w:rPr>
          <w:color w:val="000000"/>
        </w:rPr>
        <w:t xml:space="preserve"> </w:t>
      </w:r>
      <w:r w:rsidR="00DD4B83" w:rsidRPr="00300902">
        <w:rPr>
          <w:i/>
          <w:color w:val="000000"/>
        </w:rPr>
        <w:t xml:space="preserve">Peebles v </w:t>
      </w:r>
      <w:proofErr w:type="spellStart"/>
      <w:r w:rsidR="00DD4B83" w:rsidRPr="00300902">
        <w:rPr>
          <w:i/>
          <w:color w:val="000000"/>
        </w:rPr>
        <w:t>Dairiboard</w:t>
      </w:r>
      <w:proofErr w:type="spellEnd"/>
      <w:r w:rsidR="00DD4B83" w:rsidRPr="00300902">
        <w:rPr>
          <w:i/>
          <w:color w:val="000000"/>
        </w:rPr>
        <w:t xml:space="preserve"> Zimbabwe (Pvt) Ltd 1999 (1) ZLR 41 (H)</w:t>
      </w:r>
      <w:r w:rsidR="00DD2E31" w:rsidRPr="00300902">
        <w:rPr>
          <w:i/>
          <w:color w:val="000000"/>
        </w:rPr>
        <w:t xml:space="preserve">. </w:t>
      </w:r>
      <w:r w:rsidR="006C702A" w:rsidRPr="00300902">
        <w:rPr>
          <w:i/>
          <w:color w:val="000000"/>
        </w:rPr>
        <w:t xml:space="preserve"> </w:t>
      </w:r>
      <w:r w:rsidR="00DD2E31" w:rsidRPr="00300902">
        <w:rPr>
          <w:i/>
          <w:color w:val="000000"/>
        </w:rPr>
        <w:t xml:space="preserve"> </w:t>
      </w:r>
    </w:p>
    <w:p w14:paraId="5410BAA4" w14:textId="504C6115" w:rsidR="00AD7606" w:rsidRPr="00300902" w:rsidRDefault="0026075B" w:rsidP="00300902">
      <w:pPr>
        <w:spacing w:before="100" w:beforeAutospacing="1" w:after="100" w:afterAutospacing="1" w:line="360" w:lineRule="auto"/>
        <w:ind w:firstLine="720"/>
        <w:jc w:val="both"/>
        <w:rPr>
          <w:rFonts w:ascii="Times New Roman" w:hAnsi="Times New Roman" w:cs="Times New Roman"/>
          <w:sz w:val="24"/>
          <w:szCs w:val="24"/>
        </w:rPr>
      </w:pPr>
      <w:r w:rsidRPr="00300902">
        <w:rPr>
          <w:rFonts w:ascii="Times New Roman" w:eastAsia="Times New Roman" w:hAnsi="Times New Roman" w:cs="Times New Roman"/>
          <w:color w:val="000000"/>
          <w:sz w:val="24"/>
          <w:szCs w:val="24"/>
          <w:lang w:eastAsia="en-ZW"/>
        </w:rPr>
        <w:t>Apparently, f</w:t>
      </w:r>
      <w:r w:rsidR="00C24FD8" w:rsidRPr="00300902">
        <w:rPr>
          <w:rFonts w:ascii="Times New Roman" w:hAnsi="Times New Roman" w:cs="Times New Roman"/>
          <w:sz w:val="24"/>
          <w:szCs w:val="24"/>
        </w:rPr>
        <w:t xml:space="preserve">rom </w:t>
      </w:r>
      <w:r w:rsidR="000F6A5F" w:rsidRPr="00300902">
        <w:rPr>
          <w:rFonts w:ascii="Times New Roman" w:hAnsi="Times New Roman" w:cs="Times New Roman"/>
          <w:sz w:val="24"/>
          <w:szCs w:val="24"/>
        </w:rPr>
        <w:t>the oral</w:t>
      </w:r>
      <w:r w:rsidR="00DD2E31" w:rsidRPr="00300902">
        <w:rPr>
          <w:rFonts w:ascii="Times New Roman" w:hAnsi="Times New Roman" w:cs="Times New Roman"/>
          <w:sz w:val="24"/>
          <w:szCs w:val="24"/>
        </w:rPr>
        <w:t xml:space="preserve"> and written </w:t>
      </w:r>
      <w:r w:rsidR="00C24FD8" w:rsidRPr="00300902">
        <w:rPr>
          <w:rFonts w:ascii="Times New Roman" w:hAnsi="Times New Roman" w:cs="Times New Roman"/>
          <w:sz w:val="24"/>
          <w:szCs w:val="24"/>
        </w:rPr>
        <w:t>submis</w:t>
      </w:r>
      <w:r w:rsidR="00DD2E31" w:rsidRPr="00300902">
        <w:rPr>
          <w:rFonts w:ascii="Times New Roman" w:hAnsi="Times New Roman" w:cs="Times New Roman"/>
          <w:sz w:val="24"/>
          <w:szCs w:val="24"/>
        </w:rPr>
        <w:t>sions</w:t>
      </w:r>
      <w:r w:rsidRPr="00300902">
        <w:rPr>
          <w:rFonts w:ascii="Times New Roman" w:hAnsi="Times New Roman" w:cs="Times New Roman"/>
          <w:sz w:val="24"/>
          <w:szCs w:val="24"/>
        </w:rPr>
        <w:t xml:space="preserve"> made,</w:t>
      </w:r>
      <w:r w:rsidR="00DD2E31" w:rsidRPr="00300902">
        <w:rPr>
          <w:rFonts w:ascii="Times New Roman" w:hAnsi="Times New Roman" w:cs="Times New Roman"/>
          <w:sz w:val="24"/>
          <w:szCs w:val="24"/>
        </w:rPr>
        <w:t xml:space="preserve"> </w:t>
      </w:r>
      <w:r w:rsidR="00C24FD8" w:rsidRPr="00300902">
        <w:rPr>
          <w:rFonts w:ascii="Times New Roman" w:hAnsi="Times New Roman" w:cs="Times New Roman"/>
          <w:sz w:val="24"/>
          <w:szCs w:val="24"/>
        </w:rPr>
        <w:t xml:space="preserve">the first issue hinges on a question of law and the second on questions of both fact and law. </w:t>
      </w:r>
      <w:r w:rsidR="00D06DC2" w:rsidRPr="00300902">
        <w:rPr>
          <w:rFonts w:ascii="Times New Roman" w:hAnsi="Times New Roman" w:cs="Times New Roman"/>
          <w:sz w:val="24"/>
          <w:szCs w:val="24"/>
        </w:rPr>
        <w:t xml:space="preserve"> The </w:t>
      </w:r>
      <w:r w:rsidR="00AD7606" w:rsidRPr="00300902">
        <w:rPr>
          <w:rFonts w:ascii="Times New Roman" w:hAnsi="Times New Roman" w:cs="Times New Roman"/>
          <w:sz w:val="24"/>
          <w:szCs w:val="24"/>
        </w:rPr>
        <w:t xml:space="preserve">agreed </w:t>
      </w:r>
      <w:r w:rsidR="00D06DC2" w:rsidRPr="00300902">
        <w:rPr>
          <w:rFonts w:ascii="Times New Roman" w:hAnsi="Times New Roman" w:cs="Times New Roman"/>
          <w:sz w:val="24"/>
          <w:szCs w:val="24"/>
        </w:rPr>
        <w:t>approach is</w:t>
      </w:r>
      <w:r w:rsidR="00C24FD8" w:rsidRPr="00300902">
        <w:rPr>
          <w:rFonts w:ascii="Times New Roman" w:hAnsi="Times New Roman" w:cs="Times New Roman"/>
          <w:sz w:val="24"/>
          <w:szCs w:val="24"/>
        </w:rPr>
        <w:t>,</w:t>
      </w:r>
      <w:r w:rsidR="00D06DC2" w:rsidRPr="00300902">
        <w:rPr>
          <w:rFonts w:ascii="Times New Roman" w:hAnsi="Times New Roman" w:cs="Times New Roman"/>
          <w:sz w:val="24"/>
          <w:szCs w:val="24"/>
        </w:rPr>
        <w:t xml:space="preserve"> arguments for both are presented and a resolution will be made on either one of them or both</w:t>
      </w:r>
      <w:r w:rsidR="00C24FD8" w:rsidRPr="00300902">
        <w:rPr>
          <w:rFonts w:ascii="Times New Roman" w:hAnsi="Times New Roman" w:cs="Times New Roman"/>
          <w:sz w:val="24"/>
          <w:szCs w:val="24"/>
        </w:rPr>
        <w:t xml:space="preserve"> if need be</w:t>
      </w:r>
      <w:r w:rsidR="00D06DC2" w:rsidRPr="00300902">
        <w:rPr>
          <w:rFonts w:ascii="Times New Roman" w:hAnsi="Times New Roman" w:cs="Times New Roman"/>
          <w:sz w:val="24"/>
          <w:szCs w:val="24"/>
        </w:rPr>
        <w:t xml:space="preserve">. </w:t>
      </w:r>
    </w:p>
    <w:p w14:paraId="7876D0E5" w14:textId="5A90F5F5" w:rsidR="00AD7606" w:rsidRPr="00300902" w:rsidRDefault="00AD7606" w:rsidP="00300902">
      <w:pPr>
        <w:spacing w:line="240" w:lineRule="auto"/>
        <w:jc w:val="both"/>
        <w:rPr>
          <w:rFonts w:ascii="Times New Roman" w:hAnsi="Times New Roman" w:cs="Times New Roman"/>
          <w:sz w:val="24"/>
          <w:szCs w:val="24"/>
        </w:rPr>
      </w:pPr>
      <w:r w:rsidRPr="00300902">
        <w:rPr>
          <w:rFonts w:ascii="Times New Roman" w:hAnsi="Times New Roman" w:cs="Times New Roman"/>
          <w:sz w:val="24"/>
          <w:szCs w:val="24"/>
        </w:rPr>
        <w:lastRenderedPageBreak/>
        <w:t>The</w:t>
      </w:r>
      <w:r w:rsidR="00D06DC2" w:rsidRPr="00300902">
        <w:rPr>
          <w:rFonts w:ascii="Times New Roman" w:hAnsi="Times New Roman" w:cs="Times New Roman"/>
          <w:sz w:val="24"/>
          <w:szCs w:val="24"/>
        </w:rPr>
        <w:t>se</w:t>
      </w:r>
      <w:r w:rsidRPr="00300902">
        <w:rPr>
          <w:rFonts w:ascii="Times New Roman" w:hAnsi="Times New Roman" w:cs="Times New Roman"/>
          <w:sz w:val="24"/>
          <w:szCs w:val="24"/>
        </w:rPr>
        <w:t xml:space="preserve"> issues translate to:</w:t>
      </w:r>
    </w:p>
    <w:p w14:paraId="56C47B52" w14:textId="4DBCA73D" w:rsidR="00AD7606" w:rsidRPr="00300902" w:rsidRDefault="00AD7606" w:rsidP="00300902">
      <w:pPr>
        <w:pStyle w:val="ListParagraph"/>
        <w:numPr>
          <w:ilvl w:val="0"/>
          <w:numId w:val="32"/>
        </w:numPr>
        <w:spacing w:line="240" w:lineRule="auto"/>
        <w:jc w:val="both"/>
        <w:rPr>
          <w:rFonts w:ascii="Times New Roman" w:hAnsi="Times New Roman" w:cs="Times New Roman"/>
          <w:sz w:val="24"/>
          <w:szCs w:val="24"/>
        </w:rPr>
      </w:pPr>
      <w:r w:rsidRPr="00300902">
        <w:rPr>
          <w:rFonts w:ascii="Times New Roman" w:hAnsi="Times New Roman" w:cs="Times New Roman"/>
          <w:sz w:val="24"/>
          <w:szCs w:val="24"/>
        </w:rPr>
        <w:t>Whether or not a remedy for a declaratory order or claim prescribes?</w:t>
      </w:r>
    </w:p>
    <w:p w14:paraId="2001A129" w14:textId="3E08AA27" w:rsidR="0026075B" w:rsidRPr="00300902" w:rsidRDefault="00AD7606" w:rsidP="00300902">
      <w:pPr>
        <w:pStyle w:val="ListParagraph"/>
        <w:numPr>
          <w:ilvl w:val="0"/>
          <w:numId w:val="32"/>
        </w:numPr>
        <w:shd w:val="clear" w:color="auto" w:fill="FFFFFF"/>
        <w:spacing w:after="202" w:line="240" w:lineRule="auto"/>
        <w:jc w:val="both"/>
        <w:rPr>
          <w:rFonts w:ascii="Times New Roman" w:hAnsi="Times New Roman" w:cs="Times New Roman"/>
          <w:color w:val="212529"/>
          <w:sz w:val="24"/>
          <w:szCs w:val="24"/>
        </w:rPr>
      </w:pPr>
      <w:r w:rsidRPr="00300902">
        <w:rPr>
          <w:rFonts w:ascii="Times New Roman" w:hAnsi="Times New Roman" w:cs="Times New Roman"/>
          <w:sz w:val="24"/>
          <w:szCs w:val="24"/>
        </w:rPr>
        <w:t>When did the</w:t>
      </w:r>
      <w:r w:rsidR="008F5D58" w:rsidRPr="00300902">
        <w:rPr>
          <w:rFonts w:ascii="Times New Roman" w:hAnsi="Times New Roman" w:cs="Times New Roman"/>
          <w:sz w:val="24"/>
          <w:szCs w:val="24"/>
        </w:rPr>
        <w:t xml:space="preserve"> plaintiff’s cause of action </w:t>
      </w:r>
      <w:r w:rsidR="00CD05FB" w:rsidRPr="00300902">
        <w:rPr>
          <w:rFonts w:ascii="Times New Roman" w:hAnsi="Times New Roman" w:cs="Times New Roman"/>
          <w:sz w:val="24"/>
          <w:szCs w:val="24"/>
        </w:rPr>
        <w:t>arise?</w:t>
      </w:r>
      <w:r w:rsidRPr="00300902">
        <w:rPr>
          <w:rFonts w:ascii="Times New Roman" w:hAnsi="Times New Roman" w:cs="Times New Roman"/>
          <w:sz w:val="24"/>
          <w:szCs w:val="24"/>
        </w:rPr>
        <w:t xml:space="preserve"> and</w:t>
      </w:r>
      <w:r w:rsidR="00D06DC2" w:rsidRPr="00300902">
        <w:rPr>
          <w:rFonts w:ascii="Times New Roman" w:hAnsi="Times New Roman" w:cs="Times New Roman"/>
          <w:sz w:val="24"/>
          <w:szCs w:val="24"/>
        </w:rPr>
        <w:t>,</w:t>
      </w:r>
    </w:p>
    <w:p w14:paraId="256E6F75" w14:textId="799067CD" w:rsidR="005B1806" w:rsidRPr="00300902" w:rsidRDefault="00DD2E31" w:rsidP="00300902">
      <w:pPr>
        <w:pStyle w:val="ListParagraph"/>
        <w:numPr>
          <w:ilvl w:val="0"/>
          <w:numId w:val="32"/>
        </w:numPr>
        <w:shd w:val="clear" w:color="auto" w:fill="FFFFFF"/>
        <w:spacing w:after="202" w:line="240" w:lineRule="auto"/>
        <w:jc w:val="both"/>
        <w:rPr>
          <w:rFonts w:ascii="Times New Roman" w:hAnsi="Times New Roman" w:cs="Times New Roman"/>
          <w:color w:val="212529"/>
          <w:sz w:val="24"/>
          <w:szCs w:val="24"/>
        </w:rPr>
      </w:pPr>
      <w:r w:rsidRPr="00300902">
        <w:rPr>
          <w:rFonts w:ascii="Times New Roman" w:hAnsi="Times New Roman" w:cs="Times New Roman"/>
          <w:sz w:val="24"/>
          <w:szCs w:val="24"/>
        </w:rPr>
        <w:t xml:space="preserve"> Whether or</w:t>
      </w:r>
      <w:r w:rsidR="004E6C0F" w:rsidRPr="00300902">
        <w:rPr>
          <w:rFonts w:ascii="Times New Roman" w:hAnsi="Times New Roman" w:cs="Times New Roman"/>
          <w:sz w:val="24"/>
          <w:szCs w:val="24"/>
        </w:rPr>
        <w:t xml:space="preserve"> not</w:t>
      </w:r>
      <w:r w:rsidRPr="00300902">
        <w:rPr>
          <w:rFonts w:ascii="Times New Roman" w:hAnsi="Times New Roman" w:cs="Times New Roman"/>
          <w:sz w:val="24"/>
          <w:szCs w:val="24"/>
        </w:rPr>
        <w:t xml:space="preserve"> the Plaintiff’s cause of action</w:t>
      </w:r>
      <w:r w:rsidR="00AD7606" w:rsidRPr="00300902">
        <w:rPr>
          <w:rFonts w:ascii="Times New Roman" w:hAnsi="Times New Roman" w:cs="Times New Roman"/>
          <w:sz w:val="24"/>
          <w:szCs w:val="24"/>
        </w:rPr>
        <w:t xml:space="preserve"> has prescribed in terms of the Prescription Act, [Chapter</w:t>
      </w:r>
      <w:r w:rsidR="005F041F" w:rsidRPr="00300902">
        <w:rPr>
          <w:rFonts w:ascii="Times New Roman" w:hAnsi="Times New Roman" w:cs="Times New Roman"/>
          <w:sz w:val="24"/>
          <w:szCs w:val="24"/>
        </w:rPr>
        <w:t>8:11</w:t>
      </w:r>
      <w:r w:rsidR="00AD7606" w:rsidRPr="00300902">
        <w:rPr>
          <w:rFonts w:ascii="Times New Roman" w:hAnsi="Times New Roman" w:cs="Times New Roman"/>
          <w:sz w:val="24"/>
          <w:szCs w:val="24"/>
        </w:rPr>
        <w:t>]?</w:t>
      </w:r>
      <w:r w:rsidR="005B1806" w:rsidRPr="00300902">
        <w:rPr>
          <w:rFonts w:ascii="Times New Roman" w:hAnsi="Times New Roman" w:cs="Times New Roman"/>
          <w:color w:val="212529"/>
          <w:sz w:val="24"/>
          <w:szCs w:val="24"/>
        </w:rPr>
        <w:t xml:space="preserve"> </w:t>
      </w:r>
    </w:p>
    <w:p w14:paraId="3682AF9A" w14:textId="77777777" w:rsidR="00CD7989" w:rsidRPr="00300902" w:rsidRDefault="00CD7989" w:rsidP="00300902">
      <w:pPr>
        <w:spacing w:line="240" w:lineRule="auto"/>
        <w:jc w:val="both"/>
        <w:rPr>
          <w:rFonts w:ascii="Times New Roman" w:hAnsi="Times New Roman" w:cs="Times New Roman"/>
          <w:sz w:val="24"/>
          <w:szCs w:val="24"/>
        </w:rPr>
      </w:pPr>
      <w:r w:rsidRPr="00300902">
        <w:rPr>
          <w:rFonts w:ascii="Times New Roman" w:hAnsi="Times New Roman" w:cs="Times New Roman"/>
          <w:b/>
          <w:sz w:val="24"/>
          <w:szCs w:val="24"/>
        </w:rPr>
        <w:t>Whether or not a remedy for a declaratory order or claim prescribes</w:t>
      </w:r>
      <w:r w:rsidRPr="00300902">
        <w:rPr>
          <w:rFonts w:ascii="Times New Roman" w:hAnsi="Times New Roman" w:cs="Times New Roman"/>
          <w:sz w:val="24"/>
          <w:szCs w:val="24"/>
        </w:rPr>
        <w:t>?</w:t>
      </w:r>
    </w:p>
    <w:p w14:paraId="374B96EA" w14:textId="5303E4B6" w:rsidR="00CD7989" w:rsidRPr="00300902" w:rsidRDefault="00DA2BBB" w:rsidP="00300902">
      <w:pPr>
        <w:pStyle w:val="western"/>
        <w:shd w:val="clear" w:color="auto" w:fill="FFFFFF"/>
        <w:spacing w:before="0" w:beforeAutospacing="0" w:after="202" w:afterAutospacing="0" w:line="360" w:lineRule="auto"/>
        <w:ind w:firstLine="720"/>
        <w:jc w:val="both"/>
        <w:rPr>
          <w:color w:val="212529"/>
        </w:rPr>
      </w:pPr>
      <w:r w:rsidRPr="00300902">
        <w:rPr>
          <w:color w:val="212529"/>
        </w:rPr>
        <w:t>The plaintiff argues</w:t>
      </w:r>
      <w:r w:rsidR="00625E6D" w:rsidRPr="00300902">
        <w:rPr>
          <w:color w:val="212529"/>
        </w:rPr>
        <w:t>, as a point of law,</w:t>
      </w:r>
      <w:r w:rsidRPr="00300902">
        <w:rPr>
          <w:color w:val="212529"/>
        </w:rPr>
        <w:t xml:space="preserve"> that on the basis of the cases of</w:t>
      </w:r>
      <w:r w:rsidR="00CD19A4" w:rsidRPr="00300902">
        <w:rPr>
          <w:color w:val="212529"/>
        </w:rPr>
        <w:t xml:space="preserve"> </w:t>
      </w:r>
      <w:r w:rsidR="00932C2D" w:rsidRPr="00300902">
        <w:rPr>
          <w:i/>
        </w:rPr>
        <w:t>Ndlovu v Ndlovu &amp; Anor</w:t>
      </w:r>
      <w:r w:rsidR="00932C2D" w:rsidRPr="00300902">
        <w:t xml:space="preserve"> </w:t>
      </w:r>
      <w:r w:rsidR="0062431A" w:rsidRPr="00300902">
        <w:t>HB18/2013</w:t>
      </w:r>
      <w:r w:rsidR="00932C2D" w:rsidRPr="00300902">
        <w:t>,</w:t>
      </w:r>
      <w:r w:rsidR="00932C2D" w:rsidRPr="00300902">
        <w:rPr>
          <w:i/>
        </w:rPr>
        <w:t xml:space="preserve"> NSSA v</w:t>
      </w:r>
      <w:r w:rsidR="00932C2D" w:rsidRPr="00300902">
        <w:t xml:space="preserve"> </w:t>
      </w:r>
      <w:r w:rsidR="00932C2D" w:rsidRPr="00300902">
        <w:rPr>
          <w:i/>
        </w:rPr>
        <w:t xml:space="preserve">City of </w:t>
      </w:r>
      <w:proofErr w:type="spellStart"/>
      <w:r w:rsidR="00932C2D" w:rsidRPr="00300902">
        <w:rPr>
          <w:i/>
        </w:rPr>
        <w:t>Mutare</w:t>
      </w:r>
      <w:proofErr w:type="spellEnd"/>
      <w:r w:rsidR="00932C2D" w:rsidRPr="00300902">
        <w:t xml:space="preserve"> HH385/18</w:t>
      </w:r>
      <w:r w:rsidR="00932C2D" w:rsidRPr="00300902">
        <w:rPr>
          <w:i/>
          <w:color w:val="000000" w:themeColor="text1"/>
        </w:rPr>
        <w:t xml:space="preserve"> Wireless </w:t>
      </w:r>
      <w:proofErr w:type="spellStart"/>
      <w:r w:rsidR="00932C2D" w:rsidRPr="00300902">
        <w:rPr>
          <w:i/>
          <w:color w:val="000000" w:themeColor="text1"/>
        </w:rPr>
        <w:t>Ngilazi</w:t>
      </w:r>
      <w:proofErr w:type="spellEnd"/>
      <w:r w:rsidR="00932C2D" w:rsidRPr="00300902">
        <w:rPr>
          <w:i/>
          <w:color w:val="000000" w:themeColor="text1"/>
        </w:rPr>
        <w:t xml:space="preserve"> v Edith </w:t>
      </w:r>
      <w:proofErr w:type="spellStart"/>
      <w:r w:rsidR="00932C2D" w:rsidRPr="00300902">
        <w:rPr>
          <w:i/>
          <w:color w:val="000000" w:themeColor="text1"/>
        </w:rPr>
        <w:t>Mutema</w:t>
      </w:r>
      <w:proofErr w:type="spellEnd"/>
      <w:r w:rsidR="00932C2D" w:rsidRPr="00300902">
        <w:rPr>
          <w:i/>
          <w:color w:val="000000" w:themeColor="text1"/>
        </w:rPr>
        <w:t xml:space="preserve"> and the Master of the High Court</w:t>
      </w:r>
      <w:r w:rsidR="00932C2D" w:rsidRPr="00300902">
        <w:rPr>
          <w:color w:val="000000" w:themeColor="text1"/>
        </w:rPr>
        <w:t>, HH645/2014,</w:t>
      </w:r>
      <w:r w:rsidR="00932C2D" w:rsidRPr="00300902">
        <w:rPr>
          <w:i/>
          <w:color w:val="000000" w:themeColor="text1"/>
        </w:rPr>
        <w:t xml:space="preserve"> River Ranch Ltd v Delta Corporation</w:t>
      </w:r>
      <w:r w:rsidR="00932C2D" w:rsidRPr="00300902">
        <w:rPr>
          <w:color w:val="000000" w:themeColor="text1"/>
        </w:rPr>
        <w:t xml:space="preserve"> Ltd HH1/10</w:t>
      </w:r>
      <w:r w:rsidR="009A1ECE" w:rsidRPr="00300902">
        <w:rPr>
          <w:color w:val="000000" w:themeColor="text1"/>
        </w:rPr>
        <w:t xml:space="preserve"> </w:t>
      </w:r>
      <w:r w:rsidRPr="00300902">
        <w:rPr>
          <w:color w:val="000000" w:themeColor="text1"/>
        </w:rPr>
        <w:t xml:space="preserve">a declaratory claim does not </w:t>
      </w:r>
      <w:r w:rsidR="008F5D58" w:rsidRPr="00300902">
        <w:rPr>
          <w:color w:val="000000" w:themeColor="text1"/>
        </w:rPr>
        <w:t>prescribe. They further contend</w:t>
      </w:r>
      <w:r w:rsidR="00625E6D" w:rsidRPr="00300902">
        <w:rPr>
          <w:color w:val="000000" w:themeColor="text1"/>
        </w:rPr>
        <w:t xml:space="preserve"> that the position has been endorsed and laid to rest by the Supreme Court of </w:t>
      </w:r>
      <w:r w:rsidR="00CD7989" w:rsidRPr="00300902">
        <w:rPr>
          <w:i/>
          <w:color w:val="212529"/>
        </w:rPr>
        <w:t xml:space="preserve">Brooker v </w:t>
      </w:r>
      <w:proofErr w:type="spellStart"/>
      <w:r w:rsidR="00CD7989" w:rsidRPr="00300902">
        <w:rPr>
          <w:i/>
          <w:color w:val="212529"/>
        </w:rPr>
        <w:t>Mudhanda</w:t>
      </w:r>
      <w:proofErr w:type="spellEnd"/>
      <w:r w:rsidR="0062431A" w:rsidRPr="00300902">
        <w:rPr>
          <w:i/>
          <w:color w:val="212529"/>
        </w:rPr>
        <w:t xml:space="preserve"> supra</w:t>
      </w:r>
      <w:r w:rsidR="00CD7989" w:rsidRPr="00300902">
        <w:rPr>
          <w:color w:val="212529"/>
        </w:rPr>
        <w:t>. Thus, the plaintiff prays for the dismissal of the special plea in abatement on the basis of this point of law alone.</w:t>
      </w:r>
      <w:r w:rsidR="00625E6D" w:rsidRPr="00300902">
        <w:rPr>
          <w:color w:val="212529"/>
        </w:rPr>
        <w:t xml:space="preserve">  </w:t>
      </w:r>
    </w:p>
    <w:p w14:paraId="7F68455F" w14:textId="6A4F600B" w:rsidR="009A1ECE" w:rsidRPr="00300902" w:rsidRDefault="00625E6D" w:rsidP="00300902">
      <w:pPr>
        <w:pStyle w:val="western"/>
        <w:shd w:val="clear" w:color="auto" w:fill="FFFFFF"/>
        <w:spacing w:before="0" w:beforeAutospacing="0" w:after="202" w:afterAutospacing="0" w:line="360" w:lineRule="auto"/>
        <w:ind w:firstLine="720"/>
        <w:jc w:val="both"/>
        <w:rPr>
          <w:color w:val="000000" w:themeColor="text1"/>
        </w:rPr>
      </w:pPr>
      <w:r w:rsidRPr="00300902">
        <w:rPr>
          <w:i/>
          <w:color w:val="000000" w:themeColor="text1"/>
        </w:rPr>
        <w:t>Per contra</w:t>
      </w:r>
      <w:r w:rsidR="009A1ECE" w:rsidRPr="00300902">
        <w:rPr>
          <w:color w:val="000000" w:themeColor="text1"/>
        </w:rPr>
        <w:t xml:space="preserve">, </w:t>
      </w:r>
      <w:r w:rsidR="009A1ECE" w:rsidRPr="00300902">
        <w:t>the 6</w:t>
      </w:r>
      <w:r w:rsidR="009A1ECE" w:rsidRPr="00300902">
        <w:rPr>
          <w:vertAlign w:val="superscript"/>
        </w:rPr>
        <w:t>th</w:t>
      </w:r>
      <w:r w:rsidR="009A1ECE" w:rsidRPr="00300902">
        <w:t xml:space="preserve"> </w:t>
      </w:r>
      <w:r w:rsidR="000F6A5F" w:rsidRPr="00300902">
        <w:t xml:space="preserve">Respondent, </w:t>
      </w:r>
      <w:r w:rsidR="009A1ECE" w:rsidRPr="00300902">
        <w:t xml:space="preserve">counter-argues that on the basis of a more recent judgment by </w:t>
      </w:r>
      <w:r w:rsidR="0062431A" w:rsidRPr="00300902">
        <w:t>MAXWELL J</w:t>
      </w:r>
      <w:r w:rsidR="009A1ECE" w:rsidRPr="00300902">
        <w:t>, in the case of</w:t>
      </w:r>
      <w:r w:rsidR="009A1ECE" w:rsidRPr="00300902">
        <w:rPr>
          <w:color w:val="212529"/>
        </w:rPr>
        <w:t xml:space="preserve"> </w:t>
      </w:r>
      <w:proofErr w:type="spellStart"/>
      <w:r w:rsidR="009A1ECE" w:rsidRPr="00300902">
        <w:rPr>
          <w:i/>
          <w:color w:val="212529"/>
        </w:rPr>
        <w:t>Nguluwe</w:t>
      </w:r>
      <w:proofErr w:type="spellEnd"/>
      <w:r w:rsidR="009A1ECE" w:rsidRPr="00300902">
        <w:rPr>
          <w:i/>
          <w:color w:val="212529"/>
        </w:rPr>
        <w:t xml:space="preserve"> v Dewa</w:t>
      </w:r>
      <w:r w:rsidR="009A1ECE" w:rsidRPr="00300902">
        <w:rPr>
          <w:color w:val="212529"/>
        </w:rPr>
        <w:t xml:space="preserve"> HH387/23 a declaratory claim prescribes. </w:t>
      </w:r>
      <w:r w:rsidR="009A1ECE" w:rsidRPr="00300902">
        <w:rPr>
          <w:color w:val="000000" w:themeColor="text1"/>
        </w:rPr>
        <w:t xml:space="preserve"> </w:t>
      </w:r>
    </w:p>
    <w:p w14:paraId="69E9671F" w14:textId="67D9E216" w:rsidR="00CD7989" w:rsidRPr="00300902" w:rsidRDefault="00625E6D" w:rsidP="00300902">
      <w:pPr>
        <w:shd w:val="clear" w:color="auto" w:fill="FFFFFF"/>
        <w:spacing w:line="360" w:lineRule="auto"/>
        <w:ind w:firstLine="720"/>
        <w:jc w:val="both"/>
        <w:rPr>
          <w:rFonts w:ascii="Times New Roman" w:hAnsi="Times New Roman" w:cs="Times New Roman"/>
          <w:color w:val="212529"/>
          <w:sz w:val="24"/>
          <w:szCs w:val="24"/>
        </w:rPr>
      </w:pPr>
      <w:r w:rsidRPr="00300902">
        <w:rPr>
          <w:rFonts w:ascii="Times New Roman" w:hAnsi="Times New Roman" w:cs="Times New Roman"/>
          <w:color w:val="000000" w:themeColor="text1"/>
          <w:sz w:val="24"/>
          <w:szCs w:val="24"/>
        </w:rPr>
        <w:t>It is evident that there are seemingly divergent views from this court as to whether a declaratory order or claim prescribes or not as cited by each party in support of their respe</w:t>
      </w:r>
      <w:r w:rsidR="0062431A" w:rsidRPr="00300902">
        <w:rPr>
          <w:rFonts w:ascii="Times New Roman" w:hAnsi="Times New Roman" w:cs="Times New Roman"/>
          <w:color w:val="000000" w:themeColor="text1"/>
          <w:sz w:val="24"/>
          <w:szCs w:val="24"/>
        </w:rPr>
        <w:t>ctive legal stances. However, I would like</w:t>
      </w:r>
      <w:r w:rsidRPr="00300902">
        <w:rPr>
          <w:rFonts w:ascii="Times New Roman" w:hAnsi="Times New Roman" w:cs="Times New Roman"/>
          <w:color w:val="000000" w:themeColor="text1"/>
          <w:sz w:val="24"/>
          <w:szCs w:val="24"/>
        </w:rPr>
        <w:t xml:space="preserve"> to </w:t>
      </w:r>
      <w:r w:rsidR="000F6A5F" w:rsidRPr="00300902">
        <w:rPr>
          <w:rFonts w:ascii="Times New Roman" w:hAnsi="Times New Roman" w:cs="Times New Roman"/>
          <w:color w:val="000000" w:themeColor="text1"/>
          <w:sz w:val="24"/>
          <w:szCs w:val="24"/>
        </w:rPr>
        <w:t>believe that</w:t>
      </w:r>
      <w:r w:rsidR="00CD7989" w:rsidRPr="00300902">
        <w:rPr>
          <w:rFonts w:ascii="Times New Roman" w:hAnsi="Times New Roman" w:cs="Times New Roman"/>
          <w:color w:val="000000" w:themeColor="text1"/>
          <w:sz w:val="24"/>
          <w:szCs w:val="24"/>
        </w:rPr>
        <w:t xml:space="preserve"> </w:t>
      </w:r>
      <w:r w:rsidR="00CD7989" w:rsidRPr="00300902">
        <w:rPr>
          <w:rFonts w:ascii="Times New Roman" w:hAnsi="Times New Roman" w:cs="Times New Roman"/>
          <w:i/>
          <w:color w:val="212529"/>
          <w:sz w:val="24"/>
          <w:szCs w:val="24"/>
        </w:rPr>
        <w:t xml:space="preserve">Mr. </w:t>
      </w:r>
      <w:proofErr w:type="spellStart"/>
      <w:r w:rsidR="00CD7989" w:rsidRPr="00300902">
        <w:rPr>
          <w:rFonts w:ascii="Times New Roman" w:hAnsi="Times New Roman" w:cs="Times New Roman"/>
          <w:i/>
          <w:color w:val="212529"/>
          <w:sz w:val="24"/>
          <w:szCs w:val="24"/>
        </w:rPr>
        <w:t>Mutsvairo</w:t>
      </w:r>
      <w:proofErr w:type="spellEnd"/>
      <w:r w:rsidR="00CD7989" w:rsidRPr="00300902">
        <w:rPr>
          <w:rFonts w:ascii="Times New Roman" w:hAnsi="Times New Roman" w:cs="Times New Roman"/>
          <w:color w:val="212529"/>
          <w:sz w:val="24"/>
          <w:szCs w:val="24"/>
        </w:rPr>
        <w:t xml:space="preserve"> for the plaintiff </w:t>
      </w:r>
      <w:r w:rsidRPr="00300902">
        <w:rPr>
          <w:rFonts w:ascii="Times New Roman" w:hAnsi="Times New Roman" w:cs="Times New Roman"/>
          <w:color w:val="212529"/>
          <w:sz w:val="24"/>
          <w:szCs w:val="24"/>
        </w:rPr>
        <w:t xml:space="preserve"> </w:t>
      </w:r>
      <w:r w:rsidR="00CD7989" w:rsidRPr="00300902">
        <w:rPr>
          <w:rFonts w:ascii="Times New Roman" w:hAnsi="Times New Roman" w:cs="Times New Roman"/>
          <w:color w:val="212529"/>
          <w:sz w:val="24"/>
          <w:szCs w:val="24"/>
        </w:rPr>
        <w:t xml:space="preserve"> erroneously subm</w:t>
      </w:r>
      <w:r w:rsidR="005F2CE3" w:rsidRPr="00300902">
        <w:rPr>
          <w:rFonts w:ascii="Times New Roman" w:hAnsi="Times New Roman" w:cs="Times New Roman"/>
          <w:color w:val="212529"/>
          <w:sz w:val="24"/>
          <w:szCs w:val="24"/>
        </w:rPr>
        <w:t>itted the Supreme court in</w:t>
      </w:r>
      <w:r w:rsidR="00CD7989" w:rsidRPr="00300902">
        <w:rPr>
          <w:rFonts w:ascii="Times New Roman" w:hAnsi="Times New Roman" w:cs="Times New Roman"/>
          <w:color w:val="212529"/>
          <w:sz w:val="24"/>
          <w:szCs w:val="24"/>
        </w:rPr>
        <w:t xml:space="preserve">, </w:t>
      </w:r>
      <w:r w:rsidR="00CD7989" w:rsidRPr="00300902">
        <w:rPr>
          <w:rFonts w:ascii="Times New Roman" w:hAnsi="Times New Roman" w:cs="Times New Roman"/>
          <w:i/>
          <w:color w:val="212529"/>
          <w:sz w:val="24"/>
          <w:szCs w:val="24"/>
        </w:rPr>
        <w:t xml:space="preserve">Brooker v </w:t>
      </w:r>
      <w:proofErr w:type="spellStart"/>
      <w:r w:rsidR="00CD7989" w:rsidRPr="00300902">
        <w:rPr>
          <w:rFonts w:ascii="Times New Roman" w:hAnsi="Times New Roman" w:cs="Times New Roman"/>
          <w:i/>
          <w:color w:val="212529"/>
          <w:sz w:val="24"/>
          <w:szCs w:val="24"/>
        </w:rPr>
        <w:t>Mudhanda</w:t>
      </w:r>
      <w:proofErr w:type="spellEnd"/>
      <w:r w:rsidR="00CD7989" w:rsidRPr="00300902">
        <w:rPr>
          <w:rFonts w:ascii="Times New Roman" w:hAnsi="Times New Roman" w:cs="Times New Roman"/>
          <w:color w:val="212529"/>
          <w:sz w:val="24"/>
          <w:szCs w:val="24"/>
        </w:rPr>
        <w:t xml:space="preserve"> above</w:t>
      </w:r>
      <w:r w:rsidR="00BF4CED" w:rsidRPr="00300902">
        <w:rPr>
          <w:rFonts w:ascii="Times New Roman" w:hAnsi="Times New Roman" w:cs="Times New Roman"/>
          <w:color w:val="212529"/>
          <w:sz w:val="24"/>
          <w:szCs w:val="24"/>
        </w:rPr>
        <w:t xml:space="preserve"> made a definitive pronouncement</w:t>
      </w:r>
      <w:r w:rsidR="00CD7989" w:rsidRPr="00300902">
        <w:rPr>
          <w:rFonts w:ascii="Times New Roman" w:hAnsi="Times New Roman" w:cs="Times New Roman"/>
          <w:color w:val="212529"/>
          <w:sz w:val="24"/>
          <w:szCs w:val="24"/>
        </w:rPr>
        <w:t xml:space="preserve"> that a declaratory claim does not prescribe. Indeed,</w:t>
      </w:r>
      <w:r w:rsidR="00CD7989" w:rsidRPr="00300902">
        <w:rPr>
          <w:rFonts w:ascii="Times New Roman" w:hAnsi="Times New Roman" w:cs="Times New Roman"/>
          <w:i/>
          <w:color w:val="212529"/>
          <w:sz w:val="24"/>
          <w:szCs w:val="24"/>
        </w:rPr>
        <w:t xml:space="preserve"> Brooker v </w:t>
      </w:r>
      <w:proofErr w:type="spellStart"/>
      <w:r w:rsidR="00CD7989" w:rsidRPr="00300902">
        <w:rPr>
          <w:rFonts w:ascii="Times New Roman" w:hAnsi="Times New Roman" w:cs="Times New Roman"/>
          <w:i/>
          <w:color w:val="212529"/>
          <w:sz w:val="24"/>
          <w:szCs w:val="24"/>
        </w:rPr>
        <w:t>Mudhanda</w:t>
      </w:r>
      <w:proofErr w:type="spellEnd"/>
      <w:r w:rsidRPr="00300902">
        <w:rPr>
          <w:rFonts w:ascii="Times New Roman" w:hAnsi="Times New Roman" w:cs="Times New Roman"/>
          <w:color w:val="212529"/>
          <w:sz w:val="24"/>
          <w:szCs w:val="24"/>
        </w:rPr>
        <w:t xml:space="preserve"> case above,</w:t>
      </w:r>
      <w:r w:rsidR="00F9033B" w:rsidRPr="00300902">
        <w:rPr>
          <w:rFonts w:ascii="Times New Roman" w:hAnsi="Times New Roman" w:cs="Times New Roman"/>
          <w:color w:val="212529"/>
          <w:sz w:val="24"/>
          <w:szCs w:val="24"/>
        </w:rPr>
        <w:t xml:space="preserve"> is the impeccable authority on special pleas, their definition, application and differentiation. It</w:t>
      </w:r>
      <w:r w:rsidR="00CD05FB">
        <w:rPr>
          <w:rFonts w:ascii="Times New Roman" w:hAnsi="Times New Roman" w:cs="Times New Roman"/>
          <w:color w:val="212529"/>
          <w:sz w:val="24"/>
          <w:szCs w:val="24"/>
        </w:rPr>
        <w:t xml:space="preserve"> </w:t>
      </w:r>
      <w:r w:rsidR="0062431A" w:rsidRPr="00300902">
        <w:rPr>
          <w:rFonts w:ascii="Times New Roman" w:hAnsi="Times New Roman" w:cs="Times New Roman"/>
          <w:color w:val="212529"/>
          <w:sz w:val="24"/>
          <w:szCs w:val="24"/>
        </w:rPr>
        <w:t>dealt comprehensively</w:t>
      </w:r>
      <w:r w:rsidR="00CD7989" w:rsidRPr="00300902">
        <w:rPr>
          <w:rFonts w:ascii="Times New Roman" w:hAnsi="Times New Roman" w:cs="Times New Roman"/>
          <w:color w:val="212529"/>
          <w:sz w:val="24"/>
          <w:szCs w:val="24"/>
        </w:rPr>
        <w:t xml:space="preserve"> and exhaustively with the issue of prescription founded on a declaratory claim but it did not categorically spell out that a declaratory claim does not prescribe as allude</w:t>
      </w:r>
      <w:r w:rsidR="005F2CE3" w:rsidRPr="00300902">
        <w:rPr>
          <w:rFonts w:ascii="Times New Roman" w:hAnsi="Times New Roman" w:cs="Times New Roman"/>
          <w:color w:val="212529"/>
          <w:sz w:val="24"/>
          <w:szCs w:val="24"/>
        </w:rPr>
        <w:t xml:space="preserve">d to by Plaintiff’s counsel. </w:t>
      </w:r>
      <w:r w:rsidR="00F9033B" w:rsidRPr="00300902">
        <w:rPr>
          <w:rFonts w:ascii="Times New Roman" w:hAnsi="Times New Roman" w:cs="Times New Roman"/>
          <w:color w:val="212529"/>
          <w:sz w:val="24"/>
          <w:szCs w:val="24"/>
        </w:rPr>
        <w:t xml:space="preserve"> </w:t>
      </w:r>
    </w:p>
    <w:p w14:paraId="60475B9F" w14:textId="3CFE5492" w:rsidR="00F9033B" w:rsidRPr="00300902" w:rsidRDefault="00F9033B" w:rsidP="00300902">
      <w:pPr>
        <w:shd w:val="clear" w:color="auto" w:fill="FFFFFF"/>
        <w:spacing w:line="360" w:lineRule="auto"/>
        <w:ind w:firstLine="720"/>
        <w:jc w:val="both"/>
        <w:rPr>
          <w:rFonts w:ascii="Times New Roman" w:hAnsi="Times New Roman" w:cs="Times New Roman"/>
          <w:color w:val="212529"/>
          <w:sz w:val="24"/>
          <w:szCs w:val="24"/>
        </w:rPr>
      </w:pPr>
      <w:r w:rsidRPr="00300902">
        <w:rPr>
          <w:rFonts w:ascii="Times New Roman" w:hAnsi="Times New Roman" w:cs="Times New Roman"/>
          <w:color w:val="212529"/>
          <w:sz w:val="24"/>
          <w:szCs w:val="24"/>
        </w:rPr>
        <w:t>As a starting point</w:t>
      </w:r>
      <w:r w:rsidR="0062431A" w:rsidRPr="00300902">
        <w:rPr>
          <w:rFonts w:ascii="Times New Roman" w:hAnsi="Times New Roman" w:cs="Times New Roman"/>
          <w:color w:val="212529"/>
          <w:sz w:val="24"/>
          <w:szCs w:val="24"/>
        </w:rPr>
        <w:t>,</w:t>
      </w:r>
      <w:r w:rsidRPr="00300902">
        <w:rPr>
          <w:rFonts w:ascii="Times New Roman" w:hAnsi="Times New Roman" w:cs="Times New Roman"/>
          <w:color w:val="212529"/>
          <w:sz w:val="24"/>
          <w:szCs w:val="24"/>
        </w:rPr>
        <w:t xml:space="preserve"> there is a distinction between a declaratory order granted and that being sought. Obviously, that which has been granted and is an order of the court</w:t>
      </w:r>
      <w:r w:rsidR="002C6F7C" w:rsidRPr="00300902">
        <w:rPr>
          <w:rFonts w:ascii="Times New Roman" w:hAnsi="Times New Roman" w:cs="Times New Roman"/>
          <w:color w:val="212529"/>
          <w:sz w:val="24"/>
          <w:szCs w:val="24"/>
        </w:rPr>
        <w:t>,</w:t>
      </w:r>
      <w:r w:rsidRPr="00300902">
        <w:rPr>
          <w:rFonts w:ascii="Times New Roman" w:hAnsi="Times New Roman" w:cs="Times New Roman"/>
          <w:color w:val="212529"/>
          <w:sz w:val="24"/>
          <w:szCs w:val="24"/>
        </w:rPr>
        <w:t xml:space="preserve"> is legally binding and cannot be susceptible to prescription in terms of the Prescription Act. On the other </w:t>
      </w:r>
      <w:r w:rsidR="00E626BE" w:rsidRPr="00300902">
        <w:rPr>
          <w:rFonts w:ascii="Times New Roman" w:hAnsi="Times New Roman" w:cs="Times New Roman"/>
          <w:color w:val="212529"/>
          <w:sz w:val="24"/>
          <w:szCs w:val="24"/>
        </w:rPr>
        <w:t>hand,</w:t>
      </w:r>
      <w:r w:rsidRPr="00300902">
        <w:rPr>
          <w:rFonts w:ascii="Times New Roman" w:hAnsi="Times New Roman" w:cs="Times New Roman"/>
          <w:color w:val="212529"/>
          <w:sz w:val="24"/>
          <w:szCs w:val="24"/>
        </w:rPr>
        <w:t xml:space="preserve"> if it is a declaratory claim, relief</w:t>
      </w:r>
      <w:r w:rsidR="00DC151C" w:rsidRPr="00300902">
        <w:rPr>
          <w:rFonts w:ascii="Times New Roman" w:hAnsi="Times New Roman" w:cs="Times New Roman"/>
          <w:color w:val="212529"/>
          <w:sz w:val="24"/>
          <w:szCs w:val="24"/>
        </w:rPr>
        <w:t>,</w:t>
      </w:r>
      <w:r w:rsidR="0062431A" w:rsidRPr="00300902">
        <w:rPr>
          <w:rFonts w:ascii="Times New Roman" w:hAnsi="Times New Roman" w:cs="Times New Roman"/>
          <w:color w:val="212529"/>
          <w:sz w:val="24"/>
          <w:szCs w:val="24"/>
        </w:rPr>
        <w:t xml:space="preserve"> </w:t>
      </w:r>
      <w:r w:rsidR="00DC151C" w:rsidRPr="00300902">
        <w:rPr>
          <w:rFonts w:ascii="Times New Roman" w:hAnsi="Times New Roman" w:cs="Times New Roman"/>
          <w:color w:val="212529"/>
          <w:sz w:val="24"/>
          <w:szCs w:val="24"/>
        </w:rPr>
        <w:t>remedy</w:t>
      </w:r>
      <w:r w:rsidRPr="00300902">
        <w:rPr>
          <w:rFonts w:ascii="Times New Roman" w:hAnsi="Times New Roman" w:cs="Times New Roman"/>
          <w:color w:val="212529"/>
          <w:sz w:val="24"/>
          <w:szCs w:val="24"/>
        </w:rPr>
        <w:t xml:space="preserve"> or order still to be obtained after satisfying the stat</w:t>
      </w:r>
      <w:r w:rsidR="00DC151C" w:rsidRPr="00300902">
        <w:rPr>
          <w:rFonts w:ascii="Times New Roman" w:hAnsi="Times New Roman" w:cs="Times New Roman"/>
          <w:color w:val="212529"/>
          <w:sz w:val="24"/>
          <w:szCs w:val="24"/>
        </w:rPr>
        <w:t>utory requirements of s14 of the High Court Act [Chapter7:06]</w:t>
      </w:r>
      <w:r w:rsidR="00DC151C" w:rsidRPr="00300902">
        <w:rPr>
          <w:rStyle w:val="FootnoteReference"/>
          <w:rFonts w:ascii="Times New Roman" w:hAnsi="Times New Roman" w:cs="Times New Roman"/>
          <w:color w:val="212529"/>
          <w:sz w:val="24"/>
          <w:szCs w:val="24"/>
        </w:rPr>
        <w:footnoteReference w:id="1"/>
      </w:r>
      <w:r w:rsidR="00DC151C" w:rsidRPr="00300902">
        <w:rPr>
          <w:rFonts w:ascii="Times New Roman" w:hAnsi="Times New Roman" w:cs="Times New Roman"/>
          <w:color w:val="212529"/>
          <w:sz w:val="24"/>
          <w:szCs w:val="24"/>
        </w:rPr>
        <w:t xml:space="preserve"> the </w:t>
      </w:r>
      <w:r w:rsidR="00DC151C" w:rsidRPr="00300902">
        <w:rPr>
          <w:rFonts w:ascii="Times New Roman" w:hAnsi="Times New Roman" w:cs="Times New Roman"/>
          <w:color w:val="212529"/>
          <w:sz w:val="24"/>
          <w:szCs w:val="24"/>
        </w:rPr>
        <w:lastRenderedPageBreak/>
        <w:t xml:space="preserve">characteristics of the claim determines whether it is a debt as defined in s2 of the Interpretation Act or not. </w:t>
      </w:r>
      <w:r w:rsidR="00DC151C" w:rsidRPr="00300902">
        <w:rPr>
          <w:rStyle w:val="FootnoteReference"/>
          <w:rFonts w:ascii="Times New Roman" w:hAnsi="Times New Roman" w:cs="Times New Roman"/>
          <w:color w:val="212529"/>
          <w:sz w:val="24"/>
          <w:szCs w:val="24"/>
        </w:rPr>
        <w:footnoteReference w:id="2"/>
      </w:r>
      <w:r w:rsidR="00DC151C" w:rsidRPr="00300902">
        <w:rPr>
          <w:rFonts w:ascii="Times New Roman" w:hAnsi="Times New Roman" w:cs="Times New Roman"/>
          <w:color w:val="212529"/>
          <w:sz w:val="24"/>
          <w:szCs w:val="24"/>
        </w:rPr>
        <w:t xml:space="preserve"> </w:t>
      </w:r>
      <w:r w:rsidR="008F5D58" w:rsidRPr="00300902">
        <w:rPr>
          <w:rFonts w:ascii="Times New Roman" w:hAnsi="Times New Roman" w:cs="Times New Roman"/>
          <w:color w:val="212529"/>
          <w:sz w:val="24"/>
          <w:szCs w:val="24"/>
        </w:rPr>
        <w:t xml:space="preserve">See, Tinashe </w:t>
      </w:r>
      <w:proofErr w:type="spellStart"/>
      <w:r w:rsidR="008F5D58" w:rsidRPr="00300902">
        <w:rPr>
          <w:rFonts w:ascii="Times New Roman" w:hAnsi="Times New Roman" w:cs="Times New Roman"/>
          <w:i/>
          <w:color w:val="212529"/>
          <w:sz w:val="24"/>
          <w:szCs w:val="24"/>
        </w:rPr>
        <w:t>Kambarami</w:t>
      </w:r>
      <w:proofErr w:type="spellEnd"/>
      <w:r w:rsidR="008F5D58" w:rsidRPr="00300902">
        <w:rPr>
          <w:rFonts w:ascii="Times New Roman" w:hAnsi="Times New Roman" w:cs="Times New Roman"/>
          <w:i/>
          <w:color w:val="212529"/>
          <w:sz w:val="24"/>
          <w:szCs w:val="24"/>
        </w:rPr>
        <w:t xml:space="preserve"> v 1893 Mthwakazi Restoration Movement Trust</w:t>
      </w:r>
      <w:r w:rsidR="008F5D58" w:rsidRPr="00300902">
        <w:rPr>
          <w:rFonts w:ascii="Times New Roman" w:hAnsi="Times New Roman" w:cs="Times New Roman"/>
          <w:color w:val="212529"/>
          <w:sz w:val="24"/>
          <w:szCs w:val="24"/>
        </w:rPr>
        <w:t xml:space="preserve"> </w:t>
      </w:r>
      <w:r w:rsidR="008F5D58" w:rsidRPr="00300902">
        <w:rPr>
          <w:rFonts w:ascii="Times New Roman" w:hAnsi="Times New Roman" w:cs="Times New Roman"/>
          <w:i/>
          <w:color w:val="212529"/>
          <w:sz w:val="24"/>
          <w:szCs w:val="24"/>
        </w:rPr>
        <w:t xml:space="preserve">plus 4 </w:t>
      </w:r>
      <w:proofErr w:type="spellStart"/>
      <w:r w:rsidR="008F5D58" w:rsidRPr="00300902">
        <w:rPr>
          <w:rFonts w:ascii="Times New Roman" w:hAnsi="Times New Roman" w:cs="Times New Roman"/>
          <w:i/>
          <w:color w:val="212529"/>
          <w:sz w:val="24"/>
          <w:szCs w:val="24"/>
        </w:rPr>
        <w:t>Ors</w:t>
      </w:r>
      <w:proofErr w:type="spellEnd"/>
      <w:r w:rsidR="008F5D58" w:rsidRPr="00300902">
        <w:rPr>
          <w:rFonts w:ascii="Times New Roman" w:hAnsi="Times New Roman" w:cs="Times New Roman"/>
          <w:color w:val="212529"/>
          <w:sz w:val="24"/>
          <w:szCs w:val="24"/>
        </w:rPr>
        <w:t xml:space="preserve"> Judgment No.SC66/21.</w:t>
      </w:r>
    </w:p>
    <w:p w14:paraId="78CD950D" w14:textId="022476C4" w:rsidR="00C07E13" w:rsidRPr="00300902" w:rsidRDefault="00C07E13" w:rsidP="00300902">
      <w:pPr>
        <w:pStyle w:val="western"/>
        <w:shd w:val="clear" w:color="auto" w:fill="FFFFFF"/>
        <w:spacing w:before="0" w:beforeAutospacing="0" w:after="202" w:afterAutospacing="0" w:line="360" w:lineRule="auto"/>
        <w:ind w:firstLine="720"/>
        <w:jc w:val="both"/>
        <w:rPr>
          <w:color w:val="212529"/>
        </w:rPr>
      </w:pPr>
      <w:r w:rsidRPr="00300902">
        <w:rPr>
          <w:color w:val="212529"/>
        </w:rPr>
        <w:t xml:space="preserve">In the </w:t>
      </w:r>
      <w:r w:rsidRPr="00300902">
        <w:rPr>
          <w:i/>
          <w:color w:val="212529"/>
        </w:rPr>
        <w:t>Off-Beat Case</w:t>
      </w:r>
      <w:r w:rsidRPr="00300902">
        <w:rPr>
          <w:color w:val="212529"/>
        </w:rPr>
        <w:t xml:space="preserve"> above, the </w:t>
      </w:r>
      <w:r w:rsidR="00534BB7" w:rsidRPr="00300902">
        <w:rPr>
          <w:color w:val="212529"/>
        </w:rPr>
        <w:t>S</w:t>
      </w:r>
      <w:r w:rsidRPr="00300902">
        <w:rPr>
          <w:color w:val="212529"/>
        </w:rPr>
        <w:t xml:space="preserve">outh African Constitutional </w:t>
      </w:r>
      <w:r w:rsidR="00534BB7" w:rsidRPr="00300902">
        <w:rPr>
          <w:color w:val="212529"/>
        </w:rPr>
        <w:t>C</w:t>
      </w:r>
      <w:r w:rsidRPr="00300902">
        <w:rPr>
          <w:color w:val="212529"/>
        </w:rPr>
        <w:t xml:space="preserve">ourt had the liberty to analyse the </w:t>
      </w:r>
      <w:r w:rsidR="00534BB7" w:rsidRPr="00300902">
        <w:rPr>
          <w:color w:val="212529"/>
        </w:rPr>
        <w:t>characteristics</w:t>
      </w:r>
      <w:r w:rsidRPr="00300902">
        <w:rPr>
          <w:color w:val="212529"/>
        </w:rPr>
        <w:t xml:space="preserve"> of a claim for the purpose of prescription</w:t>
      </w:r>
      <w:r w:rsidR="0062431A" w:rsidRPr="00300902">
        <w:rPr>
          <w:color w:val="212529"/>
        </w:rPr>
        <w:t xml:space="preserve"> and a </w:t>
      </w:r>
      <w:proofErr w:type="spellStart"/>
      <w:r w:rsidR="0062431A" w:rsidRPr="00300902">
        <w:rPr>
          <w:color w:val="212529"/>
        </w:rPr>
        <w:t>declarateur</w:t>
      </w:r>
      <w:proofErr w:type="spellEnd"/>
      <w:r w:rsidRPr="00300902">
        <w:rPr>
          <w:color w:val="212529"/>
        </w:rPr>
        <w:t xml:space="preserve"> through the exploration of both the narrow and broad construction</w:t>
      </w:r>
      <w:r w:rsidR="00534BB7" w:rsidRPr="00300902">
        <w:rPr>
          <w:color w:val="212529"/>
        </w:rPr>
        <w:t>s</w:t>
      </w:r>
      <w:r w:rsidRPr="00300902">
        <w:rPr>
          <w:color w:val="212529"/>
        </w:rPr>
        <w:t xml:space="preserve"> of the word ‘debt’ in their Prescription Act akin to ours as defined by their Superior </w:t>
      </w:r>
      <w:r w:rsidR="00534BB7" w:rsidRPr="00300902">
        <w:rPr>
          <w:color w:val="212529"/>
        </w:rPr>
        <w:t>courts</w:t>
      </w:r>
      <w:r w:rsidRPr="00300902">
        <w:rPr>
          <w:color w:val="212529"/>
        </w:rPr>
        <w:t>.</w:t>
      </w:r>
      <w:r w:rsidR="00534BB7" w:rsidRPr="00300902">
        <w:rPr>
          <w:rStyle w:val="FootnoteReference"/>
          <w:color w:val="212529"/>
        </w:rPr>
        <w:footnoteReference w:id="3"/>
      </w:r>
    </w:p>
    <w:p w14:paraId="0A2B9EB5" w14:textId="1D1E0CB7" w:rsidR="001633CA" w:rsidRPr="00300902" w:rsidRDefault="00534BB7" w:rsidP="00300902">
      <w:pPr>
        <w:shd w:val="clear" w:color="auto" w:fill="FFFFFF"/>
        <w:spacing w:line="360" w:lineRule="auto"/>
        <w:ind w:firstLine="720"/>
        <w:jc w:val="both"/>
        <w:rPr>
          <w:rFonts w:ascii="Times New Roman" w:eastAsia="Times New Roman" w:hAnsi="Times New Roman" w:cs="Times New Roman"/>
          <w:sz w:val="24"/>
          <w:szCs w:val="24"/>
          <w:lang w:eastAsia="en-ZW"/>
        </w:rPr>
      </w:pPr>
      <w:r w:rsidRPr="00300902">
        <w:rPr>
          <w:rFonts w:ascii="Times New Roman" w:hAnsi="Times New Roman" w:cs="Times New Roman"/>
          <w:color w:val="212529"/>
          <w:sz w:val="24"/>
          <w:szCs w:val="24"/>
        </w:rPr>
        <w:t>As can be seen, the cases relied upon by the plaintiff were context specific in concluding the issue on prescription on a declaratory claim.</w:t>
      </w:r>
      <w:r w:rsidR="001633CA" w:rsidRPr="00300902">
        <w:rPr>
          <w:rFonts w:ascii="Times New Roman" w:hAnsi="Times New Roman" w:cs="Times New Roman"/>
          <w:sz w:val="24"/>
          <w:szCs w:val="24"/>
        </w:rPr>
        <w:t xml:space="preserve"> The leading case relied upon in concluding that a declaratory relief does not prescribe </w:t>
      </w:r>
      <w:r w:rsidR="000F6A5F" w:rsidRPr="00300902">
        <w:rPr>
          <w:rFonts w:ascii="Times New Roman" w:hAnsi="Times New Roman" w:cs="Times New Roman"/>
          <w:sz w:val="24"/>
          <w:szCs w:val="24"/>
        </w:rPr>
        <w:t>is supposedly</w:t>
      </w:r>
      <w:r w:rsidR="001633CA" w:rsidRPr="00300902">
        <w:rPr>
          <w:rFonts w:ascii="Times New Roman" w:hAnsi="Times New Roman" w:cs="Times New Roman"/>
          <w:sz w:val="24"/>
          <w:szCs w:val="24"/>
        </w:rPr>
        <w:t xml:space="preserve"> the pronouncement </w:t>
      </w:r>
      <w:r w:rsidR="000F6A5F" w:rsidRPr="00300902">
        <w:rPr>
          <w:rFonts w:ascii="Times New Roman" w:hAnsi="Times New Roman" w:cs="Times New Roman"/>
          <w:sz w:val="24"/>
          <w:szCs w:val="24"/>
        </w:rPr>
        <w:t>made by</w:t>
      </w:r>
      <w:r w:rsidR="001633CA" w:rsidRPr="00300902">
        <w:rPr>
          <w:rFonts w:ascii="Times New Roman" w:hAnsi="Times New Roman" w:cs="Times New Roman"/>
          <w:sz w:val="24"/>
          <w:szCs w:val="24"/>
        </w:rPr>
        <w:t xml:space="preserve"> Ndou J, in the case of </w:t>
      </w:r>
      <w:r w:rsidR="001633CA" w:rsidRPr="00300902">
        <w:rPr>
          <w:rFonts w:ascii="Times New Roman" w:eastAsia="Times New Roman" w:hAnsi="Times New Roman" w:cs="Times New Roman"/>
          <w:i/>
          <w:sz w:val="24"/>
          <w:szCs w:val="24"/>
          <w:lang w:eastAsia="en-ZW"/>
        </w:rPr>
        <w:t>Ndlovu v Ndlovu &amp; Anor</w:t>
      </w:r>
      <w:r w:rsidR="001633CA" w:rsidRPr="00300902">
        <w:rPr>
          <w:rFonts w:ascii="Times New Roman" w:eastAsia="Times New Roman" w:hAnsi="Times New Roman" w:cs="Times New Roman"/>
          <w:sz w:val="24"/>
          <w:szCs w:val="24"/>
          <w:lang w:eastAsia="en-ZW"/>
        </w:rPr>
        <w:t xml:space="preserve"> above,</w:t>
      </w:r>
      <w:r w:rsidR="000F6A5F" w:rsidRPr="00300902">
        <w:rPr>
          <w:rFonts w:ascii="Times New Roman" w:eastAsia="Times New Roman" w:hAnsi="Times New Roman" w:cs="Times New Roman"/>
          <w:sz w:val="24"/>
          <w:szCs w:val="24"/>
          <w:lang w:eastAsia="en-ZW"/>
        </w:rPr>
        <w:t xml:space="preserve"> </w:t>
      </w:r>
      <w:r w:rsidR="001633CA" w:rsidRPr="00300902">
        <w:rPr>
          <w:rFonts w:ascii="Times New Roman" w:eastAsia="Times New Roman" w:hAnsi="Times New Roman" w:cs="Times New Roman"/>
          <w:sz w:val="24"/>
          <w:szCs w:val="24"/>
          <w:lang w:eastAsia="en-ZW"/>
        </w:rPr>
        <w:t xml:space="preserve">where he </w:t>
      </w:r>
      <w:r w:rsidR="001633CA" w:rsidRPr="00300902">
        <w:rPr>
          <w:rFonts w:ascii="Times New Roman" w:eastAsia="Times New Roman" w:hAnsi="Times New Roman" w:cs="Times New Roman"/>
          <w:sz w:val="24"/>
          <w:szCs w:val="24"/>
          <w:u w:val="single"/>
          <w:lang w:eastAsia="en-ZW"/>
        </w:rPr>
        <w:t xml:space="preserve">contextually </w:t>
      </w:r>
      <w:r w:rsidR="001633CA" w:rsidRPr="00300902">
        <w:rPr>
          <w:rFonts w:ascii="Times New Roman" w:eastAsia="Times New Roman" w:hAnsi="Times New Roman" w:cs="Times New Roman"/>
          <w:sz w:val="24"/>
          <w:szCs w:val="24"/>
          <w:lang w:eastAsia="en-ZW"/>
        </w:rPr>
        <w:t>stated that,</w:t>
      </w:r>
    </w:p>
    <w:p w14:paraId="58BE6269" w14:textId="4F0AD132" w:rsidR="001633CA" w:rsidRPr="00300902" w:rsidRDefault="001633CA" w:rsidP="00300902">
      <w:pPr>
        <w:spacing w:line="240" w:lineRule="auto"/>
        <w:jc w:val="both"/>
        <w:rPr>
          <w:rFonts w:ascii="Times New Roman" w:eastAsia="Times New Roman" w:hAnsi="Times New Roman" w:cs="Times New Roman"/>
          <w:sz w:val="24"/>
          <w:szCs w:val="24"/>
          <w:lang w:eastAsia="en-ZW"/>
        </w:rPr>
      </w:pPr>
      <w:r w:rsidRPr="00300902">
        <w:rPr>
          <w:rFonts w:ascii="Times New Roman" w:eastAsia="Times New Roman" w:hAnsi="Times New Roman" w:cs="Times New Roman"/>
          <w:sz w:val="24"/>
          <w:szCs w:val="24"/>
          <w:lang w:eastAsia="en-ZW"/>
        </w:rPr>
        <w:t>“</w:t>
      </w:r>
      <w:r w:rsidRPr="00300902">
        <w:rPr>
          <w:rFonts w:ascii="Times New Roman" w:hAnsi="Times New Roman" w:cs="Times New Roman"/>
          <w:color w:val="212529"/>
          <w:sz w:val="24"/>
          <w:szCs w:val="24"/>
        </w:rPr>
        <w:t xml:space="preserve">The point worth noting in this definition of “debt’ is that, the suit or claim must be “by reason of </w:t>
      </w:r>
      <w:proofErr w:type="spellStart"/>
      <w:r w:rsidRPr="00300902">
        <w:rPr>
          <w:rFonts w:ascii="Times New Roman" w:hAnsi="Times New Roman" w:cs="Times New Roman"/>
          <w:i/>
          <w:iCs/>
          <w:sz w:val="24"/>
          <w:szCs w:val="24"/>
          <w:shd w:val="clear" w:color="auto" w:fill="FFFFFF"/>
        </w:rPr>
        <w:t>Povall</w:t>
      </w:r>
      <w:proofErr w:type="spellEnd"/>
      <w:r w:rsidRPr="00300902">
        <w:rPr>
          <w:rFonts w:ascii="Times New Roman" w:hAnsi="Times New Roman" w:cs="Times New Roman"/>
          <w:i/>
          <w:iCs/>
          <w:sz w:val="24"/>
          <w:szCs w:val="24"/>
          <w:shd w:val="clear" w:color="auto" w:fill="FFFFFF"/>
        </w:rPr>
        <w:t xml:space="preserve"> and Others</w:t>
      </w:r>
      <w:r w:rsidRPr="00300902">
        <w:rPr>
          <w:rFonts w:ascii="Times New Roman" w:hAnsi="Times New Roman" w:cs="Times New Roman"/>
          <w:sz w:val="24"/>
          <w:szCs w:val="24"/>
          <w:shd w:val="clear" w:color="auto" w:fill="FFFFFF"/>
        </w:rPr>
        <w:t>1953 (2) SA 202 (SR); </w:t>
      </w:r>
      <w:r w:rsidRPr="00300902">
        <w:rPr>
          <w:rFonts w:ascii="Times New Roman" w:hAnsi="Times New Roman" w:cs="Times New Roman"/>
          <w:i/>
          <w:iCs/>
          <w:sz w:val="24"/>
          <w:szCs w:val="24"/>
          <w:shd w:val="clear" w:color="auto" w:fill="FFFFFF"/>
        </w:rPr>
        <w:t xml:space="preserve">Barron v Greendale Town </w:t>
      </w:r>
      <w:r w:rsidR="00E626BE" w:rsidRPr="00300902">
        <w:rPr>
          <w:rFonts w:ascii="Times New Roman" w:hAnsi="Times New Roman" w:cs="Times New Roman"/>
          <w:i/>
          <w:iCs/>
          <w:sz w:val="24"/>
          <w:szCs w:val="24"/>
          <w:shd w:val="clear" w:color="auto" w:fill="FFFFFF"/>
        </w:rPr>
        <w:t>Management</w:t>
      </w:r>
      <w:r w:rsidRPr="00300902">
        <w:rPr>
          <w:rFonts w:ascii="Times New Roman" w:hAnsi="Times New Roman" w:cs="Times New Roman"/>
          <w:i/>
          <w:iCs/>
          <w:sz w:val="24"/>
          <w:szCs w:val="24"/>
          <w:shd w:val="clear" w:color="auto" w:fill="FFFFFF"/>
        </w:rPr>
        <w:t xml:space="preserve"> Board</w:t>
      </w:r>
      <w:r w:rsidRPr="00300902">
        <w:rPr>
          <w:rFonts w:ascii="Times New Roman" w:hAnsi="Times New Roman" w:cs="Times New Roman"/>
          <w:sz w:val="24"/>
          <w:szCs w:val="24"/>
          <w:shd w:val="clear" w:color="auto" w:fill="FFFFFF"/>
        </w:rPr>
        <w:t> 1957 (2) SA 521 (SR); </w:t>
      </w:r>
      <w:proofErr w:type="spellStart"/>
      <w:r w:rsidRPr="00300902">
        <w:rPr>
          <w:rFonts w:ascii="Times New Roman" w:hAnsi="Times New Roman" w:cs="Times New Roman"/>
          <w:i/>
          <w:iCs/>
          <w:sz w:val="24"/>
          <w:szCs w:val="24"/>
          <w:shd w:val="clear" w:color="auto" w:fill="FFFFFF"/>
        </w:rPr>
        <w:t>Musara</w:t>
      </w:r>
      <w:proofErr w:type="spellEnd"/>
      <w:r w:rsidRPr="00300902">
        <w:rPr>
          <w:rFonts w:ascii="Times New Roman" w:hAnsi="Times New Roman" w:cs="Times New Roman"/>
          <w:i/>
          <w:iCs/>
          <w:sz w:val="24"/>
          <w:szCs w:val="24"/>
          <w:shd w:val="clear" w:color="auto" w:fill="FFFFFF"/>
        </w:rPr>
        <w:t xml:space="preserve"> v </w:t>
      </w:r>
      <w:proofErr w:type="spellStart"/>
      <w:r w:rsidRPr="00300902">
        <w:rPr>
          <w:rFonts w:ascii="Times New Roman" w:hAnsi="Times New Roman" w:cs="Times New Roman"/>
          <w:i/>
          <w:iCs/>
          <w:sz w:val="24"/>
          <w:szCs w:val="24"/>
          <w:shd w:val="clear" w:color="auto" w:fill="FFFFFF"/>
        </w:rPr>
        <w:t>Zinatha</w:t>
      </w:r>
      <w:proofErr w:type="spellEnd"/>
      <w:r w:rsidRPr="00300902">
        <w:rPr>
          <w:rFonts w:ascii="Times New Roman" w:hAnsi="Times New Roman" w:cs="Times New Roman"/>
          <w:sz w:val="24"/>
          <w:szCs w:val="24"/>
          <w:shd w:val="clear" w:color="auto" w:fill="FFFFFF"/>
        </w:rPr>
        <w:t> 1992 (1) ZLR 9 (H) </w:t>
      </w:r>
      <w:proofErr w:type="spellStart"/>
      <w:r w:rsidRPr="00300902">
        <w:rPr>
          <w:rFonts w:ascii="Times New Roman" w:hAnsi="Times New Roman" w:cs="Times New Roman"/>
          <w:i/>
          <w:iCs/>
          <w:sz w:val="24"/>
          <w:szCs w:val="24"/>
          <w:shd w:val="clear" w:color="auto" w:fill="FFFFFF"/>
        </w:rPr>
        <w:t>Lupu</w:t>
      </w:r>
      <w:proofErr w:type="spellEnd"/>
      <w:r w:rsidRPr="00300902">
        <w:rPr>
          <w:rFonts w:ascii="Times New Roman" w:hAnsi="Times New Roman" w:cs="Times New Roman"/>
          <w:i/>
          <w:iCs/>
          <w:sz w:val="24"/>
          <w:szCs w:val="24"/>
          <w:shd w:val="clear" w:color="auto" w:fill="FFFFFF"/>
        </w:rPr>
        <w:t xml:space="preserve"> v </w:t>
      </w:r>
      <w:proofErr w:type="spellStart"/>
      <w:r w:rsidRPr="00300902">
        <w:rPr>
          <w:rFonts w:ascii="Times New Roman" w:hAnsi="Times New Roman" w:cs="Times New Roman"/>
          <w:i/>
          <w:iCs/>
          <w:sz w:val="24"/>
          <w:szCs w:val="24"/>
          <w:shd w:val="clear" w:color="auto" w:fill="FFFFFF"/>
        </w:rPr>
        <w:t>Lupu</w:t>
      </w:r>
      <w:proofErr w:type="spellEnd"/>
      <w:r w:rsidRPr="00300902">
        <w:rPr>
          <w:rFonts w:ascii="Times New Roman" w:hAnsi="Times New Roman" w:cs="Times New Roman"/>
          <w:sz w:val="24"/>
          <w:szCs w:val="24"/>
          <w:shd w:val="clear" w:color="auto" w:fill="FFFFFF"/>
        </w:rPr>
        <w:t xml:space="preserve"> 2000 (1) </w:t>
      </w:r>
      <w:r w:rsidRPr="00300902">
        <w:rPr>
          <w:rFonts w:ascii="Times New Roman" w:hAnsi="Times New Roman" w:cs="Times New Roman"/>
          <w:sz w:val="24"/>
          <w:szCs w:val="24"/>
          <w:shd w:val="clear" w:color="auto" w:fill="FFFFFF"/>
        </w:rPr>
        <w:lastRenderedPageBreak/>
        <w:t>ZLR 120 (SC)).</w:t>
      </w:r>
      <w:r w:rsidRPr="00300902">
        <w:rPr>
          <w:rFonts w:ascii="Times New Roman" w:hAnsi="Times New Roman" w:cs="Times New Roman"/>
          <w:color w:val="212529"/>
          <w:sz w:val="24"/>
          <w:szCs w:val="24"/>
        </w:rPr>
        <w:t xml:space="preserve"> On the part of the debtor arising from the stated bases. In my view, a declaratory order is a </w:t>
      </w:r>
      <w:r w:rsidRPr="00300902">
        <w:rPr>
          <w:rFonts w:ascii="Times New Roman" w:hAnsi="Times New Roman" w:cs="Times New Roman"/>
          <w:color w:val="212529"/>
          <w:sz w:val="24"/>
          <w:szCs w:val="24"/>
          <w:u w:val="single"/>
        </w:rPr>
        <w:t>remedy to secure the public interest of certainty or correct legal position</w:t>
      </w:r>
      <w:r w:rsidRPr="00300902">
        <w:rPr>
          <w:rFonts w:ascii="Times New Roman" w:hAnsi="Times New Roman" w:cs="Times New Roman"/>
          <w:color w:val="212529"/>
          <w:sz w:val="24"/>
          <w:szCs w:val="24"/>
        </w:rPr>
        <w:t>. Such a remedy cannot prescribe.”</w:t>
      </w:r>
      <w:r w:rsidRPr="00300902">
        <w:rPr>
          <w:rFonts w:ascii="Times New Roman" w:eastAsia="Times New Roman" w:hAnsi="Times New Roman" w:cs="Times New Roman"/>
          <w:sz w:val="24"/>
          <w:szCs w:val="24"/>
          <w:lang w:eastAsia="en-ZW"/>
        </w:rPr>
        <w:t xml:space="preserve">  (My underscoring)</w:t>
      </w:r>
    </w:p>
    <w:p w14:paraId="1AD23395" w14:textId="77777777" w:rsidR="001633CA" w:rsidRPr="00300902" w:rsidRDefault="001633CA" w:rsidP="00300902">
      <w:pPr>
        <w:shd w:val="clear" w:color="auto" w:fill="FFFFFF"/>
        <w:spacing w:line="360" w:lineRule="auto"/>
        <w:jc w:val="both"/>
        <w:rPr>
          <w:rFonts w:ascii="Times New Roman" w:eastAsia="Times New Roman" w:hAnsi="Times New Roman" w:cs="Times New Roman"/>
          <w:sz w:val="24"/>
          <w:szCs w:val="24"/>
          <w:lang w:eastAsia="en-ZW"/>
        </w:rPr>
      </w:pPr>
      <w:r w:rsidRPr="00300902">
        <w:rPr>
          <w:rFonts w:ascii="Times New Roman" w:eastAsia="Times New Roman" w:hAnsi="Times New Roman" w:cs="Times New Roman"/>
          <w:sz w:val="24"/>
          <w:szCs w:val="24"/>
          <w:lang w:eastAsia="en-ZW"/>
        </w:rPr>
        <w:t xml:space="preserve">In the </w:t>
      </w:r>
      <w:r w:rsidRPr="00300902">
        <w:rPr>
          <w:rFonts w:ascii="Times New Roman" w:eastAsia="Times New Roman" w:hAnsi="Times New Roman" w:cs="Times New Roman"/>
          <w:i/>
          <w:sz w:val="24"/>
          <w:szCs w:val="24"/>
          <w:lang w:eastAsia="en-ZW"/>
        </w:rPr>
        <w:t xml:space="preserve">Ndlovu </w:t>
      </w:r>
      <w:r w:rsidRPr="00300902">
        <w:rPr>
          <w:rFonts w:ascii="Times New Roman" w:eastAsia="Times New Roman" w:hAnsi="Times New Roman" w:cs="Times New Roman"/>
          <w:sz w:val="24"/>
          <w:szCs w:val="24"/>
          <w:lang w:eastAsia="en-ZW"/>
        </w:rPr>
        <w:t>case, the honourable judge capped his decision by remarking that,</w:t>
      </w:r>
    </w:p>
    <w:p w14:paraId="19FD1A48" w14:textId="6C484C48" w:rsidR="002C6F7C" w:rsidRPr="00300902" w:rsidRDefault="001633CA" w:rsidP="00E626BE">
      <w:pPr>
        <w:shd w:val="clear" w:color="auto" w:fill="FFFFFF"/>
        <w:spacing w:after="0" w:line="240" w:lineRule="auto"/>
        <w:rPr>
          <w:rFonts w:ascii="Times New Roman" w:eastAsia="Times New Roman" w:hAnsi="Times New Roman" w:cs="Times New Roman"/>
          <w:sz w:val="24"/>
          <w:szCs w:val="24"/>
          <w:lang w:eastAsia="en-ZW"/>
        </w:rPr>
      </w:pPr>
      <w:r w:rsidRPr="00300902">
        <w:rPr>
          <w:rFonts w:ascii="Times New Roman" w:eastAsia="Times New Roman" w:hAnsi="Times New Roman" w:cs="Times New Roman"/>
          <w:sz w:val="24"/>
          <w:szCs w:val="24"/>
          <w:lang w:eastAsia="en-ZW"/>
        </w:rPr>
        <w:t>“The claim is based on the alleged nullity of a sale transaction and does not arise from a debt as defined by the Prescription Act, [Chapter 8:11]</w:t>
      </w:r>
      <w:r w:rsidR="00E626BE">
        <w:rPr>
          <w:rFonts w:ascii="Times New Roman" w:eastAsia="Times New Roman" w:hAnsi="Times New Roman" w:cs="Times New Roman"/>
          <w:sz w:val="24"/>
          <w:szCs w:val="24"/>
          <w:lang w:eastAsia="en-ZW"/>
        </w:rPr>
        <w:t>”.</w:t>
      </w:r>
      <w:r w:rsidR="002C6F7C" w:rsidRPr="00300902">
        <w:rPr>
          <w:rFonts w:ascii="Times New Roman" w:eastAsia="Times New Roman" w:hAnsi="Times New Roman" w:cs="Times New Roman"/>
          <w:sz w:val="24"/>
          <w:szCs w:val="24"/>
          <w:lang w:eastAsia="en-ZW"/>
        </w:rPr>
        <w:br/>
      </w:r>
    </w:p>
    <w:p w14:paraId="7881207B" w14:textId="4DC29FA4" w:rsidR="001633CA" w:rsidRPr="00300902" w:rsidRDefault="0062431A" w:rsidP="00E626BE">
      <w:pPr>
        <w:shd w:val="clear" w:color="auto" w:fill="FFFFFF"/>
        <w:spacing w:line="360" w:lineRule="auto"/>
        <w:ind w:firstLine="720"/>
        <w:jc w:val="both"/>
        <w:rPr>
          <w:rFonts w:ascii="Times New Roman" w:eastAsia="Times New Roman" w:hAnsi="Times New Roman" w:cs="Times New Roman"/>
          <w:sz w:val="24"/>
          <w:szCs w:val="24"/>
          <w:lang w:eastAsia="en-ZW"/>
        </w:rPr>
      </w:pPr>
      <w:r w:rsidRPr="00300902">
        <w:rPr>
          <w:rFonts w:ascii="Times New Roman" w:eastAsia="Times New Roman" w:hAnsi="Times New Roman" w:cs="Times New Roman"/>
          <w:sz w:val="24"/>
          <w:szCs w:val="24"/>
          <w:lang w:eastAsia="en-ZW"/>
        </w:rPr>
        <w:t>CHIKOWERO J</w:t>
      </w:r>
      <w:r w:rsidR="001633CA" w:rsidRPr="00300902">
        <w:rPr>
          <w:rFonts w:ascii="Times New Roman" w:eastAsia="Times New Roman" w:hAnsi="Times New Roman" w:cs="Times New Roman"/>
          <w:sz w:val="24"/>
          <w:szCs w:val="24"/>
          <w:lang w:eastAsia="en-ZW"/>
        </w:rPr>
        <w:t xml:space="preserve">, in the case of </w:t>
      </w:r>
      <w:r w:rsidR="000F6A5F" w:rsidRPr="00300902">
        <w:rPr>
          <w:rFonts w:ascii="Times New Roman" w:hAnsi="Times New Roman" w:cs="Times New Roman"/>
          <w:sz w:val="24"/>
          <w:szCs w:val="24"/>
        </w:rPr>
        <w:t>t</w:t>
      </w:r>
      <w:r w:rsidR="001633CA" w:rsidRPr="00300902">
        <w:rPr>
          <w:rFonts w:ascii="Times New Roman" w:hAnsi="Times New Roman" w:cs="Times New Roman"/>
          <w:sz w:val="24"/>
          <w:szCs w:val="24"/>
        </w:rPr>
        <w:t xml:space="preserve">he cases </w:t>
      </w:r>
      <w:r w:rsidR="000F6A5F" w:rsidRPr="00300902">
        <w:rPr>
          <w:rFonts w:ascii="Times New Roman" w:hAnsi="Times New Roman" w:cs="Times New Roman"/>
          <w:sz w:val="24"/>
          <w:szCs w:val="24"/>
        </w:rPr>
        <w:t>of,</w:t>
      </w:r>
      <w:r w:rsidR="001633CA" w:rsidRPr="00300902">
        <w:rPr>
          <w:rFonts w:ascii="Times New Roman" w:hAnsi="Times New Roman" w:cs="Times New Roman"/>
          <w:i/>
          <w:sz w:val="24"/>
          <w:szCs w:val="24"/>
        </w:rPr>
        <w:t xml:space="preserve"> NSSA v</w:t>
      </w:r>
      <w:r w:rsidR="001633CA" w:rsidRPr="00300902">
        <w:rPr>
          <w:rFonts w:ascii="Times New Roman" w:hAnsi="Times New Roman" w:cs="Times New Roman"/>
          <w:sz w:val="24"/>
          <w:szCs w:val="24"/>
        </w:rPr>
        <w:t xml:space="preserve"> </w:t>
      </w:r>
      <w:r w:rsidR="001633CA" w:rsidRPr="00300902">
        <w:rPr>
          <w:rFonts w:ascii="Times New Roman" w:hAnsi="Times New Roman" w:cs="Times New Roman"/>
          <w:i/>
          <w:sz w:val="24"/>
          <w:szCs w:val="24"/>
        </w:rPr>
        <w:t xml:space="preserve">City of </w:t>
      </w:r>
      <w:proofErr w:type="spellStart"/>
      <w:r w:rsidR="001633CA" w:rsidRPr="00300902">
        <w:rPr>
          <w:rFonts w:ascii="Times New Roman" w:hAnsi="Times New Roman" w:cs="Times New Roman"/>
          <w:i/>
          <w:sz w:val="24"/>
          <w:szCs w:val="24"/>
        </w:rPr>
        <w:t>Mutare</w:t>
      </w:r>
      <w:proofErr w:type="spellEnd"/>
      <w:r w:rsidR="001633CA" w:rsidRPr="00300902">
        <w:rPr>
          <w:rFonts w:ascii="Times New Roman" w:hAnsi="Times New Roman" w:cs="Times New Roman"/>
          <w:sz w:val="24"/>
          <w:szCs w:val="24"/>
        </w:rPr>
        <w:t xml:space="preserve"> HH385/18 on the faith of the </w:t>
      </w:r>
      <w:r w:rsidR="001633CA" w:rsidRPr="00300902">
        <w:rPr>
          <w:rFonts w:ascii="Times New Roman" w:hAnsi="Times New Roman" w:cs="Times New Roman"/>
          <w:i/>
          <w:sz w:val="24"/>
          <w:szCs w:val="24"/>
        </w:rPr>
        <w:t>Ndlovu</w:t>
      </w:r>
      <w:r w:rsidR="001633CA" w:rsidRPr="00300902">
        <w:rPr>
          <w:rFonts w:ascii="Times New Roman" w:hAnsi="Times New Roman" w:cs="Times New Roman"/>
          <w:sz w:val="24"/>
          <w:szCs w:val="24"/>
        </w:rPr>
        <w:t xml:space="preserve"> case, with the concordance of the legal representatives noted that a declaration of rights cannot prescribe. The reader of this case who was not privy to the arguments that convinced the court to come to that agreed standpoint is left in the dry cold as to the arguments in support of that stance.</w:t>
      </w:r>
    </w:p>
    <w:p w14:paraId="0CC81542" w14:textId="3765A751" w:rsidR="001633CA" w:rsidRPr="00300902" w:rsidRDefault="001633CA" w:rsidP="00300902">
      <w:pPr>
        <w:pStyle w:val="western"/>
        <w:shd w:val="clear" w:color="auto" w:fill="FFFFFF"/>
        <w:spacing w:before="274" w:beforeAutospacing="0" w:after="274" w:afterAutospacing="0" w:line="360" w:lineRule="auto"/>
        <w:ind w:firstLine="720"/>
        <w:jc w:val="both"/>
        <w:rPr>
          <w:color w:val="000000" w:themeColor="text1"/>
        </w:rPr>
      </w:pPr>
      <w:r w:rsidRPr="00300902">
        <w:rPr>
          <w:color w:val="000000" w:themeColor="text1"/>
        </w:rPr>
        <w:t xml:space="preserve">In, </w:t>
      </w:r>
      <w:r w:rsidRPr="00300902">
        <w:rPr>
          <w:i/>
          <w:color w:val="000000" w:themeColor="text1"/>
        </w:rPr>
        <w:t xml:space="preserve">Wireless </w:t>
      </w:r>
      <w:proofErr w:type="spellStart"/>
      <w:r w:rsidRPr="00300902">
        <w:rPr>
          <w:i/>
          <w:color w:val="000000" w:themeColor="text1"/>
        </w:rPr>
        <w:t>Ngilazi</w:t>
      </w:r>
      <w:proofErr w:type="spellEnd"/>
      <w:r w:rsidRPr="00300902">
        <w:rPr>
          <w:i/>
          <w:color w:val="000000" w:themeColor="text1"/>
        </w:rPr>
        <w:t xml:space="preserve"> v Edith </w:t>
      </w:r>
      <w:proofErr w:type="spellStart"/>
      <w:r w:rsidRPr="00300902">
        <w:rPr>
          <w:i/>
          <w:color w:val="000000" w:themeColor="text1"/>
        </w:rPr>
        <w:t>Mutema</w:t>
      </w:r>
      <w:proofErr w:type="spellEnd"/>
      <w:r w:rsidRPr="00300902">
        <w:rPr>
          <w:i/>
          <w:color w:val="000000" w:themeColor="text1"/>
        </w:rPr>
        <w:t xml:space="preserve"> and the Master of the High Court</w:t>
      </w:r>
      <w:r w:rsidRPr="00300902">
        <w:rPr>
          <w:color w:val="000000" w:themeColor="text1"/>
        </w:rPr>
        <w:t xml:space="preserve">, HH645/2014, </w:t>
      </w:r>
      <w:r w:rsidR="0062431A" w:rsidRPr="00300902">
        <w:rPr>
          <w:color w:val="000000" w:themeColor="text1"/>
        </w:rPr>
        <w:t>CHITAKUNYE J</w:t>
      </w:r>
      <w:r w:rsidRPr="00300902">
        <w:rPr>
          <w:color w:val="000000" w:themeColor="text1"/>
        </w:rPr>
        <w:t xml:space="preserve">, as he then was, dismissed a defence of </w:t>
      </w:r>
      <w:r w:rsidR="000F6A5F" w:rsidRPr="00300902">
        <w:rPr>
          <w:color w:val="000000" w:themeColor="text1"/>
        </w:rPr>
        <w:t>prescription, quoting the</w:t>
      </w:r>
      <w:r w:rsidRPr="00300902">
        <w:rPr>
          <w:color w:val="000000" w:themeColor="text1"/>
        </w:rPr>
        <w:t xml:space="preserve"> case of </w:t>
      </w:r>
      <w:r w:rsidRPr="00300902">
        <w:rPr>
          <w:i/>
          <w:color w:val="000000" w:themeColor="text1"/>
        </w:rPr>
        <w:t>River Ranch Ltd v Delta Corporation</w:t>
      </w:r>
      <w:r w:rsidRPr="00300902">
        <w:rPr>
          <w:color w:val="000000" w:themeColor="text1"/>
        </w:rPr>
        <w:t xml:space="preserve"> Ltd HH1/10,</w:t>
      </w:r>
      <w:r w:rsidR="000F6A5F" w:rsidRPr="00300902">
        <w:rPr>
          <w:color w:val="000000" w:themeColor="text1"/>
        </w:rPr>
        <w:t xml:space="preserve"> </w:t>
      </w:r>
      <w:r w:rsidRPr="00300902">
        <w:rPr>
          <w:color w:val="000000" w:themeColor="text1"/>
        </w:rPr>
        <w:t xml:space="preserve">where </w:t>
      </w:r>
      <w:r w:rsidR="0062431A" w:rsidRPr="00300902">
        <w:rPr>
          <w:color w:val="000000" w:themeColor="text1"/>
        </w:rPr>
        <w:t>PATEL J</w:t>
      </w:r>
      <w:r w:rsidRPr="00300902">
        <w:rPr>
          <w:color w:val="000000" w:themeColor="text1"/>
        </w:rPr>
        <w:t xml:space="preserve">, as he then </w:t>
      </w:r>
      <w:r w:rsidR="000F6A5F" w:rsidRPr="00300902">
        <w:rPr>
          <w:color w:val="000000" w:themeColor="text1"/>
        </w:rPr>
        <w:t>was, commented</w:t>
      </w:r>
      <w:r w:rsidRPr="00300902">
        <w:rPr>
          <w:color w:val="000000" w:themeColor="text1"/>
        </w:rPr>
        <w:t xml:space="preserve"> that,</w:t>
      </w:r>
    </w:p>
    <w:p w14:paraId="72E44124" w14:textId="1AFC0DD1" w:rsidR="001633CA" w:rsidRPr="008711A3" w:rsidRDefault="001633CA" w:rsidP="00300902">
      <w:pPr>
        <w:shd w:val="clear" w:color="auto" w:fill="FFFFFF"/>
        <w:spacing w:line="240" w:lineRule="auto"/>
        <w:jc w:val="both"/>
        <w:rPr>
          <w:rFonts w:ascii="Times New Roman" w:eastAsia="Times New Roman" w:hAnsi="Times New Roman" w:cs="Times New Roman"/>
          <w:lang w:eastAsia="en-ZW"/>
        </w:rPr>
      </w:pPr>
      <w:r w:rsidRPr="008711A3">
        <w:rPr>
          <w:rFonts w:ascii="Times New Roman" w:hAnsi="Times New Roman" w:cs="Times New Roman"/>
          <w:color w:val="212529"/>
        </w:rPr>
        <w:t xml:space="preserve">“A declaratory order is not founded on an obligation in contract or delict.  It is essentially a </w:t>
      </w:r>
      <w:r w:rsidRPr="008711A3">
        <w:rPr>
          <w:rFonts w:ascii="Times New Roman" w:hAnsi="Times New Roman" w:cs="Times New Roman"/>
          <w:color w:val="212529"/>
          <w:u w:val="single"/>
        </w:rPr>
        <w:t>proprietary claim for 30 years of open, adverse and uninterrupted possession</w:t>
      </w:r>
      <w:r w:rsidRPr="008711A3">
        <w:rPr>
          <w:rFonts w:ascii="Times New Roman" w:hAnsi="Times New Roman" w:cs="Times New Roman"/>
          <w:color w:val="212529"/>
        </w:rPr>
        <w:t xml:space="preserve"> and the prescriptive period does not operate to a party’s claim for ownership.</w:t>
      </w:r>
      <w:r w:rsidR="00CD7B13" w:rsidRPr="008711A3">
        <w:rPr>
          <w:rFonts w:ascii="Times New Roman" w:hAnsi="Times New Roman" w:cs="Times New Roman"/>
          <w:color w:val="212529"/>
        </w:rPr>
        <w:t xml:space="preserve">” </w:t>
      </w:r>
      <w:r w:rsidRPr="008711A3">
        <w:rPr>
          <w:rFonts w:ascii="Times New Roman" w:hAnsi="Times New Roman" w:cs="Times New Roman"/>
          <w:color w:val="212529"/>
        </w:rPr>
        <w:t>(My emphasis)</w:t>
      </w:r>
    </w:p>
    <w:p w14:paraId="39A3FCD0" w14:textId="647FA5C2" w:rsidR="001633CA" w:rsidRPr="00300902" w:rsidRDefault="001633CA" w:rsidP="00300902">
      <w:pPr>
        <w:pStyle w:val="western"/>
        <w:shd w:val="clear" w:color="auto" w:fill="FFFFFF"/>
        <w:spacing w:before="274" w:beforeAutospacing="0" w:after="274" w:afterAutospacing="0"/>
        <w:jc w:val="both"/>
        <w:rPr>
          <w:color w:val="212529"/>
        </w:rPr>
      </w:pPr>
      <w:r w:rsidRPr="00300902">
        <w:rPr>
          <w:color w:val="212529"/>
        </w:rPr>
        <w:t xml:space="preserve">The case </w:t>
      </w:r>
      <w:r w:rsidR="000F6A5F" w:rsidRPr="00300902">
        <w:rPr>
          <w:color w:val="212529"/>
        </w:rPr>
        <w:t>of,</w:t>
      </w:r>
      <w:r w:rsidRPr="00300902">
        <w:rPr>
          <w:color w:val="212529"/>
        </w:rPr>
        <w:t> </w:t>
      </w:r>
      <w:proofErr w:type="spellStart"/>
      <w:r w:rsidRPr="00300902">
        <w:rPr>
          <w:i/>
          <w:iCs/>
          <w:color w:val="212529"/>
        </w:rPr>
        <w:t>Oertel</w:t>
      </w:r>
      <w:proofErr w:type="spellEnd"/>
      <w:r w:rsidRPr="00300902">
        <w:rPr>
          <w:i/>
          <w:iCs/>
          <w:color w:val="212529"/>
        </w:rPr>
        <w:t xml:space="preserve"> NNO</w:t>
      </w:r>
      <w:r w:rsidRPr="00300902">
        <w:rPr>
          <w:color w:val="212529"/>
        </w:rPr>
        <w:t> v </w:t>
      </w:r>
      <w:r w:rsidRPr="00300902">
        <w:rPr>
          <w:i/>
          <w:iCs/>
          <w:color w:val="212529"/>
        </w:rPr>
        <w:t>Director of Local Government</w:t>
      </w:r>
      <w:r w:rsidRPr="00300902">
        <w:rPr>
          <w:color w:val="212529"/>
        </w:rPr>
        <w:t xml:space="preserve"> 1981 (4) SA 491 (T) at 492which was heavily relied upon by the court in </w:t>
      </w:r>
      <w:r w:rsidRPr="00300902">
        <w:rPr>
          <w:i/>
          <w:color w:val="212529"/>
        </w:rPr>
        <w:t>Ndlovu</w:t>
      </w:r>
      <w:r w:rsidRPr="00300902">
        <w:rPr>
          <w:color w:val="212529"/>
        </w:rPr>
        <w:t xml:space="preserve"> case supra, it was held that: </w:t>
      </w:r>
    </w:p>
    <w:p w14:paraId="63267F6B" w14:textId="77777777" w:rsidR="001633CA" w:rsidRPr="008711A3" w:rsidRDefault="001633CA" w:rsidP="00300902">
      <w:pPr>
        <w:pStyle w:val="western"/>
        <w:shd w:val="clear" w:color="auto" w:fill="FFFFFF"/>
        <w:spacing w:before="274" w:beforeAutospacing="0" w:after="274" w:afterAutospacing="0"/>
        <w:ind w:left="720"/>
        <w:jc w:val="both"/>
        <w:rPr>
          <w:sz w:val="22"/>
          <w:szCs w:val="22"/>
        </w:rPr>
      </w:pPr>
      <w:r w:rsidRPr="008711A3">
        <w:rPr>
          <w:color w:val="212529"/>
          <w:sz w:val="22"/>
          <w:szCs w:val="22"/>
        </w:rPr>
        <w:t>“ … . Whilst every debt encompasses an obligation not every obligation constitutes a debt for the purposes of the Prescription Act.”</w:t>
      </w:r>
    </w:p>
    <w:p w14:paraId="3413ED50" w14:textId="33E373A9" w:rsidR="00534BB7" w:rsidRPr="00300902" w:rsidRDefault="0062431A" w:rsidP="00CD7B13">
      <w:pPr>
        <w:shd w:val="clear" w:color="auto" w:fill="FFFFFF"/>
        <w:spacing w:line="360" w:lineRule="auto"/>
        <w:ind w:firstLine="720"/>
        <w:jc w:val="both"/>
        <w:rPr>
          <w:rFonts w:ascii="Times New Roman" w:hAnsi="Times New Roman" w:cs="Times New Roman"/>
          <w:sz w:val="24"/>
          <w:szCs w:val="24"/>
        </w:rPr>
      </w:pPr>
      <w:r w:rsidRPr="00300902">
        <w:rPr>
          <w:rFonts w:ascii="Times New Roman" w:hAnsi="Times New Roman" w:cs="Times New Roman"/>
          <w:sz w:val="24"/>
          <w:szCs w:val="24"/>
        </w:rPr>
        <w:t>What is worth noting is that</w:t>
      </w:r>
      <w:r w:rsidR="001633CA" w:rsidRPr="00300902">
        <w:rPr>
          <w:rFonts w:ascii="Times New Roman" w:hAnsi="Times New Roman" w:cs="Times New Roman"/>
          <w:sz w:val="24"/>
          <w:szCs w:val="24"/>
        </w:rPr>
        <w:t xml:space="preserve">, these and many other cases except the </w:t>
      </w:r>
      <w:r w:rsidR="001633CA" w:rsidRPr="00300902">
        <w:rPr>
          <w:rFonts w:ascii="Times New Roman" w:hAnsi="Times New Roman" w:cs="Times New Roman"/>
          <w:i/>
          <w:sz w:val="24"/>
          <w:szCs w:val="24"/>
        </w:rPr>
        <w:t>Ndlovu and NASSA</w:t>
      </w:r>
      <w:r w:rsidR="001633CA" w:rsidRPr="00300902">
        <w:rPr>
          <w:rFonts w:ascii="Times New Roman" w:hAnsi="Times New Roman" w:cs="Times New Roman"/>
          <w:sz w:val="24"/>
          <w:szCs w:val="24"/>
        </w:rPr>
        <w:t xml:space="preserve"> cases above, which this court had </w:t>
      </w:r>
      <w:r w:rsidR="002C6F7C" w:rsidRPr="00300902">
        <w:rPr>
          <w:rFonts w:ascii="Times New Roman" w:hAnsi="Times New Roman" w:cs="Times New Roman"/>
          <w:sz w:val="24"/>
          <w:szCs w:val="24"/>
        </w:rPr>
        <w:t xml:space="preserve">the </w:t>
      </w:r>
      <w:r w:rsidR="001633CA" w:rsidRPr="00300902">
        <w:rPr>
          <w:rFonts w:ascii="Times New Roman" w:hAnsi="Times New Roman" w:cs="Times New Roman"/>
          <w:sz w:val="24"/>
          <w:szCs w:val="24"/>
        </w:rPr>
        <w:t>liberty of consulting</w:t>
      </w:r>
      <w:r w:rsidR="002C6F7C" w:rsidRPr="00300902">
        <w:rPr>
          <w:rFonts w:ascii="Times New Roman" w:hAnsi="Times New Roman" w:cs="Times New Roman"/>
          <w:sz w:val="24"/>
          <w:szCs w:val="24"/>
        </w:rPr>
        <w:t>,</w:t>
      </w:r>
      <w:r w:rsidR="001633CA" w:rsidRPr="00300902">
        <w:rPr>
          <w:rFonts w:ascii="Times New Roman" w:hAnsi="Times New Roman" w:cs="Times New Roman"/>
          <w:sz w:val="24"/>
          <w:szCs w:val="24"/>
        </w:rPr>
        <w:t xml:space="preserve"> dealing with the thorny issue of the prescription and declaratory order, did not</w:t>
      </w:r>
      <w:r w:rsidR="001633CA" w:rsidRPr="00300902">
        <w:rPr>
          <w:rFonts w:ascii="Times New Roman" w:hAnsi="Times New Roman" w:cs="Times New Roman"/>
          <w:i/>
          <w:sz w:val="24"/>
          <w:szCs w:val="24"/>
        </w:rPr>
        <w:t xml:space="preserve"> per se</w:t>
      </w:r>
      <w:r w:rsidR="001633CA" w:rsidRPr="00300902">
        <w:rPr>
          <w:rFonts w:ascii="Times New Roman" w:hAnsi="Times New Roman" w:cs="Times New Roman"/>
          <w:sz w:val="24"/>
          <w:szCs w:val="24"/>
        </w:rPr>
        <w:t xml:space="preserve"> pronounce themselves   in definite terms on whether or not a declaratory order prescribes in dismissing the defence of prescription, but relied on the contextual base of each case. A closer analysis of the, </w:t>
      </w:r>
      <w:r w:rsidR="001633CA" w:rsidRPr="00300902">
        <w:rPr>
          <w:rFonts w:ascii="Times New Roman" w:hAnsi="Times New Roman" w:cs="Times New Roman"/>
          <w:i/>
          <w:sz w:val="24"/>
          <w:szCs w:val="24"/>
        </w:rPr>
        <w:t>Wireless</w:t>
      </w:r>
      <w:r w:rsidR="001633CA" w:rsidRPr="00300902">
        <w:rPr>
          <w:rFonts w:ascii="Times New Roman" w:hAnsi="Times New Roman" w:cs="Times New Roman"/>
          <w:sz w:val="24"/>
          <w:szCs w:val="24"/>
        </w:rPr>
        <w:t xml:space="preserve">, </w:t>
      </w:r>
      <w:r w:rsidR="001633CA" w:rsidRPr="00300902">
        <w:rPr>
          <w:rFonts w:ascii="Times New Roman" w:hAnsi="Times New Roman" w:cs="Times New Roman"/>
          <w:i/>
          <w:sz w:val="24"/>
          <w:szCs w:val="24"/>
        </w:rPr>
        <w:t>Ranch,</w:t>
      </w:r>
      <w:r w:rsidR="001633CA" w:rsidRPr="00300902">
        <w:rPr>
          <w:rFonts w:ascii="Times New Roman" w:hAnsi="Times New Roman" w:cs="Times New Roman"/>
          <w:sz w:val="24"/>
          <w:szCs w:val="24"/>
        </w:rPr>
        <w:t xml:space="preserve"> </w:t>
      </w:r>
      <w:proofErr w:type="spellStart"/>
      <w:r w:rsidR="001633CA" w:rsidRPr="00300902">
        <w:rPr>
          <w:rFonts w:ascii="Times New Roman" w:hAnsi="Times New Roman" w:cs="Times New Roman"/>
          <w:i/>
          <w:iCs/>
          <w:color w:val="212529"/>
          <w:sz w:val="24"/>
          <w:szCs w:val="24"/>
        </w:rPr>
        <w:t>Oertel</w:t>
      </w:r>
      <w:proofErr w:type="spellEnd"/>
      <w:r w:rsidR="001633CA" w:rsidRPr="00300902">
        <w:rPr>
          <w:rFonts w:ascii="Times New Roman" w:hAnsi="Times New Roman" w:cs="Times New Roman"/>
          <w:i/>
          <w:iCs/>
          <w:color w:val="212529"/>
          <w:sz w:val="24"/>
          <w:szCs w:val="24"/>
        </w:rPr>
        <w:t xml:space="preserve"> NNO</w:t>
      </w:r>
      <w:r w:rsidR="001633CA" w:rsidRPr="00300902">
        <w:rPr>
          <w:rFonts w:ascii="Times New Roman" w:hAnsi="Times New Roman" w:cs="Times New Roman"/>
          <w:color w:val="212529"/>
          <w:sz w:val="24"/>
          <w:szCs w:val="24"/>
        </w:rPr>
        <w:t> </w:t>
      </w:r>
      <w:r w:rsidR="001633CA" w:rsidRPr="00300902">
        <w:rPr>
          <w:rFonts w:ascii="Times New Roman" w:hAnsi="Times New Roman" w:cs="Times New Roman"/>
          <w:sz w:val="24"/>
          <w:szCs w:val="24"/>
        </w:rPr>
        <w:t>and even, the</w:t>
      </w:r>
      <w:r w:rsidR="001633CA" w:rsidRPr="00300902">
        <w:rPr>
          <w:rFonts w:ascii="Times New Roman" w:hAnsi="Times New Roman" w:cs="Times New Roman"/>
          <w:i/>
          <w:sz w:val="24"/>
          <w:szCs w:val="24"/>
        </w:rPr>
        <w:t xml:space="preserve"> Ndlovu</w:t>
      </w:r>
      <w:r w:rsidR="001633CA" w:rsidRPr="00300902">
        <w:rPr>
          <w:rFonts w:ascii="Times New Roman" w:hAnsi="Times New Roman" w:cs="Times New Roman"/>
          <w:sz w:val="24"/>
          <w:szCs w:val="24"/>
        </w:rPr>
        <w:t xml:space="preserve"> case itself, reveals that the courts decided in favour of </w:t>
      </w:r>
      <w:r w:rsidR="000F6A5F" w:rsidRPr="00300902">
        <w:rPr>
          <w:rFonts w:ascii="Times New Roman" w:hAnsi="Times New Roman" w:cs="Times New Roman"/>
          <w:sz w:val="24"/>
          <w:szCs w:val="24"/>
        </w:rPr>
        <w:t>long-established</w:t>
      </w:r>
      <w:r w:rsidR="001633CA" w:rsidRPr="00300902">
        <w:rPr>
          <w:rFonts w:ascii="Times New Roman" w:hAnsi="Times New Roman" w:cs="Times New Roman"/>
          <w:sz w:val="24"/>
          <w:szCs w:val="24"/>
        </w:rPr>
        <w:t xml:space="preserve"> possessory rights which they concluded were immune to prescription given the cumulative surrounding factors of each individual case.</w:t>
      </w:r>
    </w:p>
    <w:p w14:paraId="4BC292B5" w14:textId="30A48DDF" w:rsidR="001633CA" w:rsidRPr="00300902" w:rsidRDefault="001633CA" w:rsidP="00030C1B">
      <w:pPr>
        <w:shd w:val="clear" w:color="auto" w:fill="FFFFFF"/>
        <w:spacing w:line="360" w:lineRule="auto"/>
        <w:ind w:firstLine="720"/>
        <w:jc w:val="both"/>
        <w:rPr>
          <w:rFonts w:ascii="Times New Roman" w:hAnsi="Times New Roman" w:cs="Times New Roman"/>
          <w:color w:val="212529"/>
          <w:sz w:val="24"/>
          <w:szCs w:val="24"/>
        </w:rPr>
      </w:pPr>
      <w:r w:rsidRPr="00300902">
        <w:rPr>
          <w:rFonts w:ascii="Times New Roman" w:hAnsi="Times New Roman" w:cs="Times New Roman"/>
          <w:sz w:val="24"/>
          <w:szCs w:val="24"/>
        </w:rPr>
        <w:t>The authority cited by the 6</w:t>
      </w:r>
      <w:r w:rsidRPr="00300902">
        <w:rPr>
          <w:rFonts w:ascii="Times New Roman" w:hAnsi="Times New Roman" w:cs="Times New Roman"/>
          <w:sz w:val="24"/>
          <w:szCs w:val="24"/>
          <w:vertAlign w:val="superscript"/>
        </w:rPr>
        <w:t>th</w:t>
      </w:r>
      <w:r w:rsidR="007820CB" w:rsidRPr="00300902">
        <w:rPr>
          <w:rFonts w:ascii="Times New Roman" w:hAnsi="Times New Roman" w:cs="Times New Roman"/>
          <w:sz w:val="24"/>
          <w:szCs w:val="24"/>
        </w:rPr>
        <w:t xml:space="preserve"> </w:t>
      </w:r>
      <w:r w:rsidR="000F6A5F" w:rsidRPr="00300902">
        <w:rPr>
          <w:rFonts w:ascii="Times New Roman" w:hAnsi="Times New Roman" w:cs="Times New Roman"/>
          <w:sz w:val="24"/>
          <w:szCs w:val="24"/>
        </w:rPr>
        <w:t>Defendant, as</w:t>
      </w:r>
      <w:r w:rsidR="0062431A" w:rsidRPr="00300902">
        <w:rPr>
          <w:rFonts w:ascii="Times New Roman" w:hAnsi="Times New Roman" w:cs="Times New Roman"/>
          <w:sz w:val="24"/>
          <w:szCs w:val="24"/>
        </w:rPr>
        <w:t xml:space="preserve"> already observed,</w:t>
      </w:r>
      <w:r w:rsidRPr="00300902">
        <w:rPr>
          <w:rFonts w:ascii="Times New Roman" w:hAnsi="Times New Roman" w:cs="Times New Roman"/>
          <w:sz w:val="24"/>
          <w:szCs w:val="24"/>
        </w:rPr>
        <w:t xml:space="preserve"> a more recent judgment by MAXWELL J,</w:t>
      </w:r>
      <w:r w:rsidRPr="00300902">
        <w:rPr>
          <w:rFonts w:ascii="Times New Roman" w:hAnsi="Times New Roman" w:cs="Times New Roman"/>
          <w:color w:val="212529"/>
          <w:sz w:val="24"/>
          <w:szCs w:val="24"/>
        </w:rPr>
        <w:t xml:space="preserve"> </w:t>
      </w:r>
      <w:proofErr w:type="spellStart"/>
      <w:r w:rsidRPr="00300902">
        <w:rPr>
          <w:rFonts w:ascii="Times New Roman" w:hAnsi="Times New Roman" w:cs="Times New Roman"/>
          <w:i/>
          <w:color w:val="212529"/>
          <w:sz w:val="24"/>
          <w:szCs w:val="24"/>
        </w:rPr>
        <w:t>Nguluwe</w:t>
      </w:r>
      <w:proofErr w:type="spellEnd"/>
      <w:r w:rsidRPr="00300902">
        <w:rPr>
          <w:rFonts w:ascii="Times New Roman" w:hAnsi="Times New Roman" w:cs="Times New Roman"/>
          <w:i/>
          <w:color w:val="212529"/>
          <w:sz w:val="24"/>
          <w:szCs w:val="24"/>
        </w:rPr>
        <w:t xml:space="preserve"> v Dewa</w:t>
      </w:r>
      <w:r w:rsidRPr="00300902">
        <w:rPr>
          <w:rFonts w:ascii="Times New Roman" w:hAnsi="Times New Roman" w:cs="Times New Roman"/>
          <w:color w:val="212529"/>
          <w:sz w:val="24"/>
          <w:szCs w:val="24"/>
        </w:rPr>
        <w:t xml:space="preserve"> HH</w:t>
      </w:r>
      <w:r w:rsidR="007820CB" w:rsidRPr="00300902">
        <w:rPr>
          <w:rFonts w:ascii="Times New Roman" w:hAnsi="Times New Roman" w:cs="Times New Roman"/>
          <w:color w:val="212529"/>
          <w:sz w:val="24"/>
          <w:szCs w:val="24"/>
        </w:rPr>
        <w:t>387/23</w:t>
      </w:r>
      <w:r w:rsidR="0097155F">
        <w:rPr>
          <w:rFonts w:ascii="Times New Roman" w:hAnsi="Times New Roman" w:cs="Times New Roman"/>
          <w:color w:val="212529"/>
          <w:sz w:val="24"/>
          <w:szCs w:val="24"/>
        </w:rPr>
        <w:t xml:space="preserve"> </w:t>
      </w:r>
      <w:r w:rsidR="007820CB" w:rsidRPr="00300902">
        <w:rPr>
          <w:rFonts w:ascii="Times New Roman" w:hAnsi="Times New Roman" w:cs="Times New Roman"/>
          <w:color w:val="212529"/>
          <w:sz w:val="24"/>
          <w:szCs w:val="24"/>
        </w:rPr>
        <w:t>did not shed</w:t>
      </w:r>
      <w:r w:rsidRPr="00300902">
        <w:rPr>
          <w:rFonts w:ascii="Times New Roman" w:hAnsi="Times New Roman" w:cs="Times New Roman"/>
          <w:color w:val="212529"/>
          <w:sz w:val="24"/>
          <w:szCs w:val="24"/>
        </w:rPr>
        <w:t xml:space="preserve"> much </w:t>
      </w:r>
      <w:r w:rsidR="000F6A5F" w:rsidRPr="00300902">
        <w:rPr>
          <w:rFonts w:ascii="Times New Roman" w:hAnsi="Times New Roman" w:cs="Times New Roman"/>
          <w:color w:val="212529"/>
          <w:sz w:val="24"/>
          <w:szCs w:val="24"/>
        </w:rPr>
        <w:t>light by</w:t>
      </w:r>
      <w:r w:rsidRPr="00300902">
        <w:rPr>
          <w:rFonts w:ascii="Times New Roman" w:hAnsi="Times New Roman" w:cs="Times New Roman"/>
          <w:color w:val="212529"/>
          <w:sz w:val="24"/>
          <w:szCs w:val="24"/>
        </w:rPr>
        <w:t xml:space="preserve"> elaborating on why a declaratory claim prescribes.</w:t>
      </w:r>
      <w:r w:rsidR="0097155F">
        <w:rPr>
          <w:rFonts w:ascii="Times New Roman" w:hAnsi="Times New Roman" w:cs="Times New Roman"/>
          <w:color w:val="212529"/>
          <w:sz w:val="24"/>
          <w:szCs w:val="24"/>
        </w:rPr>
        <w:t xml:space="preserve"> </w:t>
      </w:r>
      <w:r w:rsidRPr="00300902">
        <w:rPr>
          <w:rFonts w:ascii="Times New Roman" w:hAnsi="Times New Roman" w:cs="Times New Roman"/>
          <w:color w:val="212529"/>
          <w:sz w:val="24"/>
          <w:szCs w:val="24"/>
        </w:rPr>
        <w:t xml:space="preserve">However, JUSTICE CHIGUMBA, in the case of </w:t>
      </w:r>
      <w:proofErr w:type="spellStart"/>
      <w:r w:rsidRPr="00300902">
        <w:rPr>
          <w:rFonts w:ascii="Times New Roman" w:hAnsi="Times New Roman" w:cs="Times New Roman"/>
          <w:i/>
          <w:color w:val="212529"/>
          <w:sz w:val="24"/>
          <w:szCs w:val="24"/>
        </w:rPr>
        <w:lastRenderedPageBreak/>
        <w:t>Chiparaudze</w:t>
      </w:r>
      <w:proofErr w:type="spellEnd"/>
      <w:r w:rsidRPr="00300902">
        <w:rPr>
          <w:rFonts w:ascii="Times New Roman" w:hAnsi="Times New Roman" w:cs="Times New Roman"/>
          <w:i/>
          <w:color w:val="212529"/>
          <w:sz w:val="24"/>
          <w:szCs w:val="24"/>
        </w:rPr>
        <w:t xml:space="preserve"> and 66 Others v Triangle Limited &amp; Others </w:t>
      </w:r>
      <w:r w:rsidRPr="00300902">
        <w:rPr>
          <w:rFonts w:ascii="Times New Roman" w:hAnsi="Times New Roman" w:cs="Times New Roman"/>
          <w:color w:val="212529"/>
          <w:sz w:val="24"/>
          <w:szCs w:val="24"/>
        </w:rPr>
        <w:t xml:space="preserve">HH196/15, in the context of the </w:t>
      </w:r>
      <w:r w:rsidR="00030C1B" w:rsidRPr="00300902">
        <w:rPr>
          <w:rFonts w:ascii="Times New Roman" w:hAnsi="Times New Roman" w:cs="Times New Roman"/>
          <w:color w:val="212529"/>
          <w:sz w:val="24"/>
          <w:szCs w:val="24"/>
        </w:rPr>
        <w:t>dispute then</w:t>
      </w:r>
      <w:r w:rsidR="00467843" w:rsidRPr="00300902">
        <w:rPr>
          <w:rFonts w:ascii="Times New Roman" w:hAnsi="Times New Roman" w:cs="Times New Roman"/>
          <w:color w:val="212529"/>
          <w:sz w:val="24"/>
          <w:szCs w:val="24"/>
        </w:rPr>
        <w:t xml:space="preserve"> </w:t>
      </w:r>
      <w:r w:rsidRPr="00300902">
        <w:rPr>
          <w:rFonts w:ascii="Times New Roman" w:hAnsi="Times New Roman" w:cs="Times New Roman"/>
          <w:color w:val="212529"/>
          <w:sz w:val="24"/>
          <w:szCs w:val="24"/>
        </w:rPr>
        <w:t>be</w:t>
      </w:r>
      <w:r w:rsidR="00467843" w:rsidRPr="00300902">
        <w:rPr>
          <w:rFonts w:ascii="Times New Roman" w:hAnsi="Times New Roman" w:cs="Times New Roman"/>
          <w:color w:val="212529"/>
          <w:sz w:val="24"/>
          <w:szCs w:val="24"/>
        </w:rPr>
        <w:t>fore her pronounced that</w:t>
      </w:r>
      <w:r w:rsidRPr="00300902">
        <w:rPr>
          <w:rFonts w:ascii="Times New Roman" w:hAnsi="Times New Roman" w:cs="Times New Roman"/>
          <w:color w:val="212529"/>
          <w:sz w:val="24"/>
          <w:szCs w:val="24"/>
        </w:rPr>
        <w:t xml:space="preserve"> prescription applies, as much to a </w:t>
      </w:r>
      <w:proofErr w:type="spellStart"/>
      <w:r w:rsidRPr="00300902">
        <w:rPr>
          <w:rFonts w:ascii="Times New Roman" w:hAnsi="Times New Roman" w:cs="Times New Roman"/>
          <w:color w:val="212529"/>
          <w:sz w:val="24"/>
          <w:szCs w:val="24"/>
        </w:rPr>
        <w:t>declarateur</w:t>
      </w:r>
      <w:proofErr w:type="spellEnd"/>
      <w:r w:rsidRPr="00300902">
        <w:rPr>
          <w:rFonts w:ascii="Times New Roman" w:hAnsi="Times New Roman" w:cs="Times New Roman"/>
          <w:color w:val="212529"/>
          <w:sz w:val="24"/>
          <w:szCs w:val="24"/>
        </w:rPr>
        <w:t xml:space="preserve"> as it does to an interdict after a thorough and detailed analysis of all relevant governing legal tenets on that subject.</w:t>
      </w:r>
      <w:r w:rsidR="00467843" w:rsidRPr="00300902">
        <w:rPr>
          <w:rStyle w:val="FootnoteReference"/>
          <w:rFonts w:ascii="Times New Roman" w:hAnsi="Times New Roman" w:cs="Times New Roman"/>
          <w:color w:val="212529"/>
          <w:sz w:val="24"/>
          <w:szCs w:val="24"/>
        </w:rPr>
        <w:footnoteReference w:id="4"/>
      </w:r>
    </w:p>
    <w:p w14:paraId="27CE5361" w14:textId="151BDBF2" w:rsidR="00D4277D" w:rsidRPr="00300902" w:rsidRDefault="00D4277D" w:rsidP="00030C1B">
      <w:pPr>
        <w:spacing w:line="360" w:lineRule="auto"/>
        <w:ind w:firstLine="720"/>
        <w:jc w:val="both"/>
        <w:rPr>
          <w:rFonts w:ascii="Times New Roman" w:hAnsi="Times New Roman" w:cs="Times New Roman"/>
          <w:color w:val="000000" w:themeColor="text1"/>
          <w:sz w:val="24"/>
          <w:szCs w:val="24"/>
        </w:rPr>
      </w:pPr>
      <w:r w:rsidRPr="00300902">
        <w:rPr>
          <w:rFonts w:ascii="Times New Roman" w:hAnsi="Times New Roman" w:cs="Times New Roman"/>
          <w:sz w:val="24"/>
          <w:szCs w:val="24"/>
        </w:rPr>
        <w:t>In my considered view</w:t>
      </w:r>
      <w:r w:rsidRPr="00300902">
        <w:rPr>
          <w:rFonts w:ascii="Times New Roman" w:hAnsi="Times New Roman" w:cs="Times New Roman"/>
          <w:i/>
          <w:sz w:val="24"/>
          <w:szCs w:val="24"/>
        </w:rPr>
        <w:t xml:space="preserve">, in </w:t>
      </w:r>
      <w:proofErr w:type="spellStart"/>
      <w:r w:rsidRPr="00300902">
        <w:rPr>
          <w:rFonts w:ascii="Times New Roman" w:hAnsi="Times New Roman" w:cs="Times New Roman"/>
          <w:i/>
          <w:color w:val="000000" w:themeColor="text1"/>
          <w:sz w:val="24"/>
          <w:szCs w:val="24"/>
        </w:rPr>
        <w:t>casu</w:t>
      </w:r>
      <w:proofErr w:type="spellEnd"/>
      <w:r w:rsidRPr="00300902">
        <w:rPr>
          <w:rFonts w:ascii="Times New Roman" w:hAnsi="Times New Roman" w:cs="Times New Roman"/>
          <w:color w:val="000000" w:themeColor="text1"/>
          <w:sz w:val="24"/>
          <w:szCs w:val="24"/>
        </w:rPr>
        <w:t>, the plaintiff’s claim is founded on</w:t>
      </w:r>
      <w:r w:rsidR="0062431A" w:rsidRPr="00300902">
        <w:rPr>
          <w:rFonts w:ascii="Times New Roman" w:hAnsi="Times New Roman" w:cs="Times New Roman"/>
          <w:color w:val="000000" w:themeColor="text1"/>
          <w:sz w:val="24"/>
          <w:szCs w:val="24"/>
        </w:rPr>
        <w:t xml:space="preserve"> a</w:t>
      </w:r>
      <w:r w:rsidRPr="00300902">
        <w:rPr>
          <w:rFonts w:ascii="Times New Roman" w:hAnsi="Times New Roman" w:cs="Times New Roman"/>
          <w:color w:val="000000" w:themeColor="text1"/>
          <w:sz w:val="24"/>
          <w:szCs w:val="24"/>
        </w:rPr>
        <w:t xml:space="preserve"> debt which </w:t>
      </w:r>
      <w:r w:rsidR="0062431A" w:rsidRPr="00300902">
        <w:rPr>
          <w:rFonts w:ascii="Times New Roman" w:hAnsi="Times New Roman" w:cs="Times New Roman"/>
          <w:color w:val="000000" w:themeColor="text1"/>
          <w:sz w:val="24"/>
          <w:szCs w:val="24"/>
        </w:rPr>
        <w:t>fits the description in section</w:t>
      </w:r>
      <w:r w:rsidRPr="00300902">
        <w:rPr>
          <w:rFonts w:ascii="Times New Roman" w:hAnsi="Times New Roman" w:cs="Times New Roman"/>
          <w:color w:val="000000" w:themeColor="text1"/>
          <w:sz w:val="24"/>
          <w:szCs w:val="24"/>
        </w:rPr>
        <w:t xml:space="preserve"> 15 of the prescription Act Chapter</w:t>
      </w:r>
      <w:r w:rsidR="000F6A5F" w:rsidRPr="00300902">
        <w:rPr>
          <w:rFonts w:ascii="Times New Roman" w:hAnsi="Times New Roman" w:cs="Times New Roman"/>
          <w:color w:val="000000" w:themeColor="text1"/>
          <w:sz w:val="24"/>
          <w:szCs w:val="24"/>
        </w:rPr>
        <w:t xml:space="preserve"> </w:t>
      </w:r>
      <w:r w:rsidRPr="00300902">
        <w:rPr>
          <w:rFonts w:ascii="Times New Roman" w:hAnsi="Times New Roman" w:cs="Times New Roman"/>
          <w:color w:val="212529"/>
          <w:sz w:val="24"/>
          <w:szCs w:val="24"/>
        </w:rPr>
        <w:t xml:space="preserve">[Chapter 8:11]. It </w:t>
      </w:r>
      <w:r w:rsidRPr="00300902">
        <w:rPr>
          <w:rFonts w:ascii="Times New Roman" w:hAnsi="Times New Roman" w:cs="Times New Roman"/>
          <w:color w:val="000000" w:themeColor="text1"/>
          <w:sz w:val="24"/>
          <w:szCs w:val="24"/>
        </w:rPr>
        <w:t xml:space="preserve">arose from the purchase of an immovable property. </w:t>
      </w:r>
      <w:r w:rsidR="0062431A" w:rsidRPr="00300902">
        <w:rPr>
          <w:rFonts w:ascii="Times New Roman" w:hAnsi="Times New Roman" w:cs="Times New Roman"/>
          <w:color w:val="000000" w:themeColor="text1"/>
          <w:sz w:val="24"/>
          <w:szCs w:val="24"/>
        </w:rPr>
        <w:t>It suffices to conclude that, t</w:t>
      </w:r>
      <w:r w:rsidRPr="00300902">
        <w:rPr>
          <w:rFonts w:ascii="Times New Roman" w:hAnsi="Times New Roman" w:cs="Times New Roman"/>
          <w:color w:val="000000" w:themeColor="text1"/>
          <w:sz w:val="24"/>
          <w:szCs w:val="24"/>
        </w:rPr>
        <w:t xml:space="preserve">he sale transaction is a contractual obligation falling under the definition of a debt advanced in the Prescription Act. </w:t>
      </w:r>
      <w:r w:rsidR="00030C1B" w:rsidRPr="00300902">
        <w:rPr>
          <w:rFonts w:ascii="Times New Roman" w:hAnsi="Times New Roman" w:cs="Times New Roman"/>
          <w:color w:val="000000" w:themeColor="text1"/>
          <w:sz w:val="24"/>
          <w:szCs w:val="24"/>
        </w:rPr>
        <w:t>Therefore,</w:t>
      </w:r>
      <w:r w:rsidRPr="00300902">
        <w:rPr>
          <w:rFonts w:ascii="Times New Roman" w:hAnsi="Times New Roman" w:cs="Times New Roman"/>
          <w:color w:val="000000" w:themeColor="text1"/>
          <w:sz w:val="24"/>
          <w:szCs w:val="24"/>
        </w:rPr>
        <w:t xml:space="preserve"> it subscribes.  </w:t>
      </w:r>
    </w:p>
    <w:p w14:paraId="5B3A7020" w14:textId="58546AF8" w:rsidR="003E1FCC" w:rsidRPr="00300902" w:rsidRDefault="00030C1B" w:rsidP="00030C1B">
      <w:pPr>
        <w:spacing w:line="360" w:lineRule="auto"/>
        <w:ind w:firstLine="720"/>
        <w:jc w:val="both"/>
        <w:rPr>
          <w:rFonts w:ascii="Times New Roman" w:hAnsi="Times New Roman" w:cs="Times New Roman"/>
          <w:i/>
          <w:sz w:val="24"/>
          <w:szCs w:val="24"/>
        </w:rPr>
      </w:pPr>
      <w:r w:rsidRPr="00300902">
        <w:rPr>
          <w:rFonts w:ascii="Times New Roman" w:hAnsi="Times New Roman" w:cs="Times New Roman"/>
          <w:color w:val="000000" w:themeColor="text1"/>
          <w:sz w:val="24"/>
          <w:szCs w:val="24"/>
        </w:rPr>
        <w:t>Thus,</w:t>
      </w:r>
      <w:r w:rsidR="003E1FCC" w:rsidRPr="00300902">
        <w:rPr>
          <w:rFonts w:ascii="Times New Roman" w:hAnsi="Times New Roman" w:cs="Times New Roman"/>
          <w:color w:val="000000" w:themeColor="text1"/>
          <w:sz w:val="24"/>
          <w:szCs w:val="24"/>
        </w:rPr>
        <w:t xml:space="preserve"> whether a declaratory order prescribes or not is context specific. This is evidenced by the approaches taken in the </w:t>
      </w:r>
      <w:r w:rsidR="000F6A5F" w:rsidRPr="00300902">
        <w:rPr>
          <w:rFonts w:ascii="Times New Roman" w:hAnsi="Times New Roman" w:cs="Times New Roman"/>
          <w:color w:val="000000" w:themeColor="text1"/>
          <w:sz w:val="24"/>
          <w:szCs w:val="24"/>
        </w:rPr>
        <w:t>Ranch,</w:t>
      </w:r>
      <w:r w:rsidR="003E1FCC" w:rsidRPr="00300902">
        <w:rPr>
          <w:rFonts w:ascii="Times New Roman" w:hAnsi="Times New Roman" w:cs="Times New Roman"/>
          <w:color w:val="000000" w:themeColor="text1"/>
          <w:sz w:val="24"/>
          <w:szCs w:val="24"/>
        </w:rPr>
        <w:t xml:space="preserve"> </w:t>
      </w:r>
      <w:proofErr w:type="spellStart"/>
      <w:r w:rsidR="003E1FCC" w:rsidRPr="00300902">
        <w:rPr>
          <w:rFonts w:ascii="Times New Roman" w:hAnsi="Times New Roman" w:cs="Times New Roman"/>
          <w:i/>
          <w:color w:val="000000" w:themeColor="text1"/>
          <w:sz w:val="24"/>
          <w:szCs w:val="24"/>
        </w:rPr>
        <w:t>Oertel</w:t>
      </w:r>
      <w:proofErr w:type="spellEnd"/>
      <w:r w:rsidR="003E1FCC" w:rsidRPr="00300902">
        <w:rPr>
          <w:rFonts w:ascii="Times New Roman" w:hAnsi="Times New Roman" w:cs="Times New Roman"/>
          <w:i/>
          <w:color w:val="000000" w:themeColor="text1"/>
          <w:sz w:val="24"/>
          <w:szCs w:val="24"/>
        </w:rPr>
        <w:t xml:space="preserve"> ONN, Ndlovu</w:t>
      </w:r>
      <w:r w:rsidR="003E1FCC" w:rsidRPr="00300902">
        <w:rPr>
          <w:rFonts w:ascii="Times New Roman" w:hAnsi="Times New Roman" w:cs="Times New Roman"/>
          <w:color w:val="000000" w:themeColor="text1"/>
          <w:sz w:val="24"/>
          <w:szCs w:val="24"/>
        </w:rPr>
        <w:t xml:space="preserve"> and wireless cases above. They were content and claim specific.</w:t>
      </w:r>
      <w:r w:rsidR="0062431A" w:rsidRPr="00300902">
        <w:rPr>
          <w:rFonts w:ascii="Times New Roman" w:hAnsi="Times New Roman" w:cs="Times New Roman"/>
          <w:color w:val="000000" w:themeColor="text1"/>
          <w:sz w:val="24"/>
          <w:szCs w:val="24"/>
        </w:rPr>
        <w:t xml:space="preserve"> </w:t>
      </w:r>
      <w:r w:rsidR="003E1FCC" w:rsidRPr="00300902">
        <w:rPr>
          <w:rFonts w:ascii="Times New Roman" w:hAnsi="Times New Roman" w:cs="Times New Roman"/>
          <w:color w:val="000000" w:themeColor="text1"/>
          <w:sz w:val="24"/>
          <w:szCs w:val="24"/>
        </w:rPr>
        <w:t xml:space="preserve">In our jurisdiction, the term debt has had a </w:t>
      </w:r>
      <w:r w:rsidR="000F6A5F" w:rsidRPr="00300902">
        <w:rPr>
          <w:rFonts w:ascii="Times New Roman" w:hAnsi="Times New Roman" w:cs="Times New Roman"/>
          <w:color w:val="000000" w:themeColor="text1"/>
          <w:sz w:val="24"/>
          <w:szCs w:val="24"/>
        </w:rPr>
        <w:t>wider and</w:t>
      </w:r>
      <w:r w:rsidR="003E1FCC" w:rsidRPr="00300902">
        <w:rPr>
          <w:rFonts w:ascii="Times New Roman" w:hAnsi="Times New Roman" w:cs="Times New Roman"/>
          <w:color w:val="000000" w:themeColor="text1"/>
          <w:sz w:val="24"/>
          <w:szCs w:val="24"/>
        </w:rPr>
        <w:t xml:space="preserve"> broader construction which encompasses anything that can be sued for or claimed by reason of an obligation from statute, contract, delict or otherwise. See</w:t>
      </w:r>
      <w:r w:rsidR="00D4277D" w:rsidRPr="00300902">
        <w:rPr>
          <w:rFonts w:ascii="Times New Roman" w:hAnsi="Times New Roman" w:cs="Times New Roman"/>
          <w:color w:val="000000" w:themeColor="text1"/>
          <w:sz w:val="24"/>
          <w:szCs w:val="24"/>
        </w:rPr>
        <w:t>,</w:t>
      </w:r>
      <w:r w:rsidR="003E1FCC" w:rsidRPr="00300902">
        <w:rPr>
          <w:rFonts w:ascii="Times New Roman" w:hAnsi="Times New Roman" w:cs="Times New Roman"/>
          <w:color w:val="000000" w:themeColor="text1"/>
          <w:sz w:val="24"/>
          <w:szCs w:val="24"/>
        </w:rPr>
        <w:t xml:space="preserve"> </w:t>
      </w:r>
      <w:r w:rsidR="003E1FCC" w:rsidRPr="00300902">
        <w:rPr>
          <w:rFonts w:ascii="Times New Roman" w:hAnsi="Times New Roman" w:cs="Times New Roman"/>
          <w:i/>
          <w:color w:val="000000" w:themeColor="text1"/>
          <w:sz w:val="24"/>
          <w:szCs w:val="24"/>
        </w:rPr>
        <w:t xml:space="preserve">Jennifer Nan Brooker vs </w:t>
      </w:r>
      <w:proofErr w:type="spellStart"/>
      <w:r w:rsidR="003E1FCC" w:rsidRPr="00300902">
        <w:rPr>
          <w:rFonts w:ascii="Times New Roman" w:hAnsi="Times New Roman" w:cs="Times New Roman"/>
          <w:i/>
          <w:color w:val="000000" w:themeColor="text1"/>
          <w:sz w:val="24"/>
          <w:szCs w:val="24"/>
        </w:rPr>
        <w:t>Mudhanda</w:t>
      </w:r>
      <w:proofErr w:type="spellEnd"/>
      <w:r w:rsidR="003E1FCC" w:rsidRPr="00300902">
        <w:rPr>
          <w:rFonts w:ascii="Times New Roman" w:hAnsi="Times New Roman" w:cs="Times New Roman"/>
          <w:i/>
          <w:color w:val="000000" w:themeColor="text1"/>
          <w:sz w:val="24"/>
          <w:szCs w:val="24"/>
        </w:rPr>
        <w:t xml:space="preserve"> and </w:t>
      </w:r>
      <w:proofErr w:type="spellStart"/>
      <w:r w:rsidR="003E1FCC" w:rsidRPr="00300902">
        <w:rPr>
          <w:rFonts w:ascii="Times New Roman" w:hAnsi="Times New Roman" w:cs="Times New Roman"/>
          <w:i/>
          <w:color w:val="000000" w:themeColor="text1"/>
          <w:sz w:val="24"/>
          <w:szCs w:val="24"/>
        </w:rPr>
        <w:t>anor</w:t>
      </w:r>
      <w:proofErr w:type="spellEnd"/>
      <w:r w:rsidR="003E1FCC" w:rsidRPr="00300902">
        <w:rPr>
          <w:rFonts w:ascii="Times New Roman" w:hAnsi="Times New Roman" w:cs="Times New Roman"/>
          <w:i/>
          <w:color w:val="000000" w:themeColor="text1"/>
          <w:sz w:val="24"/>
          <w:szCs w:val="24"/>
        </w:rPr>
        <w:t xml:space="preserve">: Pierce v Richard </w:t>
      </w:r>
      <w:proofErr w:type="spellStart"/>
      <w:r w:rsidR="003E1FCC" w:rsidRPr="00300902">
        <w:rPr>
          <w:rFonts w:ascii="Times New Roman" w:hAnsi="Times New Roman" w:cs="Times New Roman"/>
          <w:i/>
          <w:color w:val="000000" w:themeColor="text1"/>
          <w:sz w:val="24"/>
          <w:szCs w:val="24"/>
        </w:rPr>
        <w:t>Mudhanda</w:t>
      </w:r>
      <w:proofErr w:type="spellEnd"/>
      <w:r w:rsidR="003E1FCC" w:rsidRPr="00300902">
        <w:rPr>
          <w:rFonts w:ascii="Times New Roman" w:hAnsi="Times New Roman" w:cs="Times New Roman"/>
          <w:i/>
          <w:color w:val="000000" w:themeColor="text1"/>
          <w:sz w:val="24"/>
          <w:szCs w:val="24"/>
        </w:rPr>
        <w:t xml:space="preserve"> and Anor above.</w:t>
      </w:r>
    </w:p>
    <w:p w14:paraId="2867574A" w14:textId="77777777" w:rsidR="00D4277D" w:rsidRPr="00300902" w:rsidRDefault="00D4277D" w:rsidP="00300902">
      <w:pPr>
        <w:jc w:val="both"/>
        <w:rPr>
          <w:rFonts w:ascii="Times New Roman" w:hAnsi="Times New Roman" w:cs="Times New Roman"/>
          <w:sz w:val="24"/>
          <w:szCs w:val="24"/>
        </w:rPr>
      </w:pPr>
      <w:r w:rsidRPr="00300902">
        <w:rPr>
          <w:rFonts w:ascii="Times New Roman" w:hAnsi="Times New Roman" w:cs="Times New Roman"/>
          <w:sz w:val="24"/>
          <w:szCs w:val="24"/>
        </w:rPr>
        <w:t xml:space="preserve">I associate myself with the dicta in the </w:t>
      </w:r>
      <w:r w:rsidRPr="00300902">
        <w:rPr>
          <w:rFonts w:ascii="Times New Roman" w:hAnsi="Times New Roman" w:cs="Times New Roman"/>
          <w:i/>
          <w:sz w:val="24"/>
          <w:szCs w:val="24"/>
        </w:rPr>
        <w:t>Off-Beat</w:t>
      </w:r>
      <w:r w:rsidRPr="00300902">
        <w:rPr>
          <w:rFonts w:ascii="Times New Roman" w:hAnsi="Times New Roman" w:cs="Times New Roman"/>
          <w:sz w:val="24"/>
          <w:szCs w:val="24"/>
        </w:rPr>
        <w:t xml:space="preserve"> case above which held that, </w:t>
      </w:r>
    </w:p>
    <w:p w14:paraId="1F8C7971" w14:textId="068962B1" w:rsidR="00D4277D" w:rsidRPr="008711A3" w:rsidRDefault="00030C1B" w:rsidP="008711A3">
      <w:pPr>
        <w:spacing w:line="240" w:lineRule="auto"/>
        <w:jc w:val="both"/>
        <w:rPr>
          <w:rFonts w:ascii="Times New Roman" w:hAnsi="Times New Roman" w:cs="Times New Roman"/>
        </w:rPr>
      </w:pPr>
      <w:r w:rsidRPr="008711A3">
        <w:rPr>
          <w:rFonts w:ascii="Times New Roman" w:hAnsi="Times New Roman" w:cs="Times New Roman"/>
        </w:rPr>
        <w:t>“My</w:t>
      </w:r>
      <w:r w:rsidR="00D4277D" w:rsidRPr="008711A3">
        <w:rPr>
          <w:rFonts w:ascii="Times New Roman" w:hAnsi="Times New Roman" w:cs="Times New Roman"/>
          <w:color w:val="242121"/>
          <w:shd w:val="clear" w:color="auto" w:fill="FFFFFF"/>
          <w:lang w:val="en-GB"/>
        </w:rPr>
        <w:t xml:space="preserve"> solution is that courts restrict themselves to the text of the legal provision on which the claim is based.  In order to identify what the relevant claim is, the court should use the applicants’ cause of action as guidance.  However, the court is not beholden to the applicants’ characterisation of the claim, which might be at variance with the relevant legal provision.  The latter governs.”</w:t>
      </w:r>
    </w:p>
    <w:p w14:paraId="6BEC51B7" w14:textId="0E6877D0" w:rsidR="003E1FCC" w:rsidRPr="00300902" w:rsidRDefault="00D4277D" w:rsidP="008711A3">
      <w:pPr>
        <w:spacing w:line="330" w:lineRule="atLeast"/>
        <w:ind w:firstLine="720"/>
        <w:jc w:val="both"/>
        <w:rPr>
          <w:rFonts w:ascii="Times New Roman" w:hAnsi="Times New Roman" w:cs="Times New Roman"/>
          <w:color w:val="000000" w:themeColor="text1"/>
          <w:sz w:val="24"/>
          <w:szCs w:val="24"/>
        </w:rPr>
      </w:pPr>
      <w:r w:rsidRPr="00300902">
        <w:rPr>
          <w:rFonts w:ascii="Times New Roman" w:hAnsi="Times New Roman" w:cs="Times New Roman"/>
          <w:color w:val="000000" w:themeColor="text1"/>
          <w:sz w:val="24"/>
          <w:szCs w:val="24"/>
        </w:rPr>
        <w:t>This means the point of law</w:t>
      </w:r>
      <w:r w:rsidR="009C6374" w:rsidRPr="00300902">
        <w:rPr>
          <w:rFonts w:ascii="Times New Roman" w:hAnsi="Times New Roman" w:cs="Times New Roman"/>
          <w:color w:val="000000" w:themeColor="text1"/>
          <w:sz w:val="24"/>
          <w:szCs w:val="24"/>
        </w:rPr>
        <w:t xml:space="preserve"> </w:t>
      </w:r>
      <w:r w:rsidR="009C6374" w:rsidRPr="00300902">
        <w:rPr>
          <w:rFonts w:ascii="Times New Roman" w:hAnsi="Times New Roman" w:cs="Times New Roman"/>
          <w:i/>
          <w:color w:val="000000" w:themeColor="text1"/>
          <w:sz w:val="24"/>
          <w:szCs w:val="24"/>
        </w:rPr>
        <w:t xml:space="preserve">in </w:t>
      </w:r>
      <w:proofErr w:type="spellStart"/>
      <w:r w:rsidR="009C6374" w:rsidRPr="00300902">
        <w:rPr>
          <w:rFonts w:ascii="Times New Roman" w:hAnsi="Times New Roman" w:cs="Times New Roman"/>
          <w:i/>
          <w:color w:val="000000" w:themeColor="text1"/>
          <w:sz w:val="24"/>
          <w:szCs w:val="24"/>
        </w:rPr>
        <w:t>limine</w:t>
      </w:r>
      <w:proofErr w:type="spellEnd"/>
      <w:r w:rsidRPr="00300902">
        <w:rPr>
          <w:rFonts w:ascii="Times New Roman" w:hAnsi="Times New Roman" w:cs="Times New Roman"/>
          <w:color w:val="000000" w:themeColor="text1"/>
          <w:sz w:val="24"/>
          <w:szCs w:val="24"/>
        </w:rPr>
        <w:t xml:space="preserve"> has no merit and is dismissed.  It then brings us to the second issue</w:t>
      </w:r>
      <w:r w:rsidR="009C6374" w:rsidRPr="00300902">
        <w:rPr>
          <w:rFonts w:ascii="Times New Roman" w:hAnsi="Times New Roman" w:cs="Times New Roman"/>
          <w:color w:val="000000" w:themeColor="text1"/>
          <w:sz w:val="24"/>
          <w:szCs w:val="24"/>
        </w:rPr>
        <w:t xml:space="preserve"> on the merits</w:t>
      </w:r>
      <w:r w:rsidRPr="00300902">
        <w:rPr>
          <w:rFonts w:ascii="Times New Roman" w:hAnsi="Times New Roman" w:cs="Times New Roman"/>
          <w:color w:val="000000" w:themeColor="text1"/>
          <w:sz w:val="24"/>
          <w:szCs w:val="24"/>
        </w:rPr>
        <w:t>.</w:t>
      </w:r>
    </w:p>
    <w:p w14:paraId="6C1E7374" w14:textId="56B7962D" w:rsidR="00D4277D" w:rsidRPr="00300902" w:rsidRDefault="00D4277D" w:rsidP="00300902">
      <w:pPr>
        <w:spacing w:line="330" w:lineRule="atLeast"/>
        <w:jc w:val="both"/>
        <w:rPr>
          <w:rFonts w:ascii="Times New Roman" w:hAnsi="Times New Roman" w:cs="Times New Roman"/>
          <w:i/>
          <w:color w:val="000000" w:themeColor="text1"/>
          <w:sz w:val="24"/>
          <w:szCs w:val="24"/>
        </w:rPr>
      </w:pPr>
      <w:r w:rsidRPr="00300902">
        <w:rPr>
          <w:rFonts w:ascii="Times New Roman" w:hAnsi="Times New Roman" w:cs="Times New Roman"/>
          <w:b/>
          <w:sz w:val="24"/>
          <w:szCs w:val="24"/>
        </w:rPr>
        <w:t>When did the plaintiff’s cause of action arise</w:t>
      </w:r>
      <w:r w:rsidRPr="00300902">
        <w:rPr>
          <w:rFonts w:ascii="Times New Roman" w:hAnsi="Times New Roman" w:cs="Times New Roman"/>
          <w:i/>
          <w:sz w:val="24"/>
          <w:szCs w:val="24"/>
        </w:rPr>
        <w:t>?</w:t>
      </w:r>
    </w:p>
    <w:p w14:paraId="077455C3" w14:textId="106B0F64" w:rsidR="009C6374" w:rsidRPr="00300902" w:rsidRDefault="0088031A" w:rsidP="00300902">
      <w:pPr>
        <w:spacing w:line="360" w:lineRule="auto"/>
        <w:jc w:val="both"/>
        <w:rPr>
          <w:rFonts w:ascii="Times New Roman" w:hAnsi="Times New Roman" w:cs="Times New Roman"/>
          <w:sz w:val="24"/>
          <w:szCs w:val="24"/>
          <w:lang w:val="en-US"/>
        </w:rPr>
      </w:pPr>
      <w:r w:rsidRPr="00300902">
        <w:rPr>
          <w:rFonts w:ascii="Times New Roman" w:hAnsi="Times New Roman" w:cs="Times New Roman"/>
          <w:sz w:val="24"/>
          <w:szCs w:val="24"/>
        </w:rPr>
        <w:t>In that regard, what a cause of action</w:t>
      </w:r>
      <w:r w:rsidR="006377CC" w:rsidRPr="00300902">
        <w:rPr>
          <w:rFonts w:ascii="Times New Roman" w:hAnsi="Times New Roman" w:cs="Times New Roman"/>
          <w:sz w:val="24"/>
          <w:szCs w:val="24"/>
        </w:rPr>
        <w:t xml:space="preserve"> is,</w:t>
      </w:r>
      <w:r w:rsidRPr="00300902">
        <w:rPr>
          <w:rFonts w:ascii="Times New Roman" w:hAnsi="Times New Roman" w:cs="Times New Roman"/>
          <w:sz w:val="24"/>
          <w:szCs w:val="24"/>
        </w:rPr>
        <w:t xml:space="preserve"> has been amply spelt out by </w:t>
      </w:r>
      <w:r w:rsidRPr="00300902">
        <w:rPr>
          <w:rFonts w:ascii="Times New Roman" w:hAnsi="Times New Roman" w:cs="Times New Roman"/>
          <w:sz w:val="24"/>
          <w:szCs w:val="24"/>
          <w:lang w:val="en-US"/>
        </w:rPr>
        <w:t xml:space="preserve">MALABA J (as he then was) now Chief Justice, in the case of </w:t>
      </w:r>
      <w:r w:rsidRPr="00300902">
        <w:rPr>
          <w:rFonts w:ascii="Times New Roman" w:hAnsi="Times New Roman" w:cs="Times New Roman"/>
          <w:i/>
          <w:sz w:val="24"/>
          <w:szCs w:val="24"/>
          <w:lang w:val="en-US"/>
        </w:rPr>
        <w:t xml:space="preserve">Peebles v </w:t>
      </w:r>
      <w:proofErr w:type="spellStart"/>
      <w:r w:rsidRPr="00300902">
        <w:rPr>
          <w:rFonts w:ascii="Times New Roman" w:hAnsi="Times New Roman" w:cs="Times New Roman"/>
          <w:i/>
          <w:sz w:val="24"/>
          <w:szCs w:val="24"/>
          <w:lang w:val="en-US"/>
        </w:rPr>
        <w:t>Dairiboard</w:t>
      </w:r>
      <w:proofErr w:type="spellEnd"/>
      <w:r w:rsidRPr="00300902">
        <w:rPr>
          <w:rFonts w:ascii="Times New Roman" w:hAnsi="Times New Roman" w:cs="Times New Roman"/>
          <w:i/>
          <w:sz w:val="24"/>
          <w:szCs w:val="24"/>
          <w:lang w:val="en-US"/>
        </w:rPr>
        <w:t xml:space="preserve"> (Private) Limi</w:t>
      </w:r>
      <w:r w:rsidR="004C5809" w:rsidRPr="00300902">
        <w:rPr>
          <w:rFonts w:ascii="Times New Roman" w:hAnsi="Times New Roman" w:cs="Times New Roman"/>
          <w:i/>
          <w:sz w:val="24"/>
          <w:szCs w:val="24"/>
          <w:lang w:val="en-US"/>
        </w:rPr>
        <w:t>ted 1999 (1) ZLR 41 (H) at 54E-.</w:t>
      </w:r>
      <w:r w:rsidR="004C5809" w:rsidRPr="00300902">
        <w:rPr>
          <w:rStyle w:val="FootnoteReference"/>
          <w:rFonts w:ascii="Times New Roman" w:hAnsi="Times New Roman" w:cs="Times New Roman"/>
          <w:i/>
          <w:sz w:val="24"/>
          <w:szCs w:val="24"/>
          <w:lang w:val="en-US"/>
        </w:rPr>
        <w:footnoteReference w:id="5"/>
      </w:r>
      <w:r w:rsidR="004C5809" w:rsidRPr="00300902">
        <w:rPr>
          <w:rFonts w:ascii="Times New Roman" w:hAnsi="Times New Roman" w:cs="Times New Roman"/>
          <w:i/>
          <w:sz w:val="24"/>
          <w:szCs w:val="24"/>
          <w:lang w:val="en-US"/>
        </w:rPr>
        <w:t xml:space="preserve"> </w:t>
      </w:r>
      <w:r w:rsidR="006377CC" w:rsidRPr="00300902">
        <w:rPr>
          <w:rFonts w:ascii="Times New Roman" w:hAnsi="Times New Roman" w:cs="Times New Roman"/>
          <w:i/>
          <w:sz w:val="24"/>
          <w:szCs w:val="24"/>
          <w:lang w:val="en-US"/>
        </w:rPr>
        <w:t xml:space="preserve"> </w:t>
      </w:r>
      <w:r w:rsidR="006377CC" w:rsidRPr="00300902">
        <w:rPr>
          <w:rFonts w:ascii="Times New Roman" w:hAnsi="Times New Roman" w:cs="Times New Roman"/>
          <w:sz w:val="24"/>
          <w:szCs w:val="24"/>
          <w:lang w:val="en-US"/>
        </w:rPr>
        <w:t xml:space="preserve">The  learned now Chief </w:t>
      </w:r>
      <w:r w:rsidR="007820CB" w:rsidRPr="00300902">
        <w:rPr>
          <w:rFonts w:ascii="Times New Roman" w:hAnsi="Times New Roman" w:cs="Times New Roman"/>
          <w:sz w:val="24"/>
          <w:szCs w:val="24"/>
          <w:lang w:val="en-US"/>
        </w:rPr>
        <w:t>J</w:t>
      </w:r>
      <w:r w:rsidR="006377CC" w:rsidRPr="00300902">
        <w:rPr>
          <w:rFonts w:ascii="Times New Roman" w:hAnsi="Times New Roman" w:cs="Times New Roman"/>
          <w:sz w:val="24"/>
          <w:szCs w:val="24"/>
          <w:lang w:val="en-US"/>
        </w:rPr>
        <w:t xml:space="preserve">ustice cited with approval the dictum in both </w:t>
      </w:r>
      <w:r w:rsidR="009C6374" w:rsidRPr="00300902">
        <w:rPr>
          <w:rFonts w:ascii="Times New Roman" w:hAnsi="Times New Roman" w:cs="Times New Roman"/>
          <w:i/>
          <w:sz w:val="24"/>
          <w:szCs w:val="24"/>
          <w:lang w:val="en-US"/>
        </w:rPr>
        <w:lastRenderedPageBreak/>
        <w:t xml:space="preserve">Controller of Customs v </w:t>
      </w:r>
      <w:proofErr w:type="spellStart"/>
      <w:r w:rsidR="009C6374" w:rsidRPr="00300902">
        <w:rPr>
          <w:rFonts w:ascii="Times New Roman" w:hAnsi="Times New Roman" w:cs="Times New Roman"/>
          <w:i/>
          <w:sz w:val="24"/>
          <w:szCs w:val="24"/>
          <w:lang w:val="en-US"/>
        </w:rPr>
        <w:t>Guiffre</w:t>
      </w:r>
      <w:proofErr w:type="spellEnd"/>
      <w:r w:rsidR="009C6374" w:rsidRPr="00300902">
        <w:rPr>
          <w:rFonts w:ascii="Times New Roman" w:hAnsi="Times New Roman" w:cs="Times New Roman"/>
          <w:i/>
          <w:sz w:val="24"/>
          <w:szCs w:val="24"/>
          <w:lang w:val="en-US"/>
        </w:rPr>
        <w:t> 1971 (2) SA 81 (R) at 84A</w:t>
      </w:r>
      <w:r w:rsidR="006377CC" w:rsidRPr="00300902">
        <w:rPr>
          <w:rFonts w:ascii="Times New Roman" w:hAnsi="Times New Roman" w:cs="Times New Roman"/>
          <w:i/>
          <w:sz w:val="24"/>
          <w:szCs w:val="24"/>
          <w:lang w:val="en-US"/>
        </w:rPr>
        <w:t xml:space="preserve"> per</w:t>
      </w:r>
      <w:r w:rsidR="009C6374" w:rsidRPr="00300902">
        <w:rPr>
          <w:rFonts w:ascii="Times New Roman" w:hAnsi="Times New Roman" w:cs="Times New Roman"/>
          <w:i/>
          <w:sz w:val="24"/>
          <w:szCs w:val="24"/>
          <w:lang w:val="en-US"/>
        </w:rPr>
        <w:t>, BECK J,</w:t>
      </w:r>
      <w:r w:rsidR="006377CC" w:rsidRPr="00300902">
        <w:rPr>
          <w:rFonts w:ascii="Times New Roman" w:hAnsi="Times New Roman" w:cs="Times New Roman"/>
          <w:i/>
          <w:sz w:val="24"/>
          <w:szCs w:val="24"/>
          <w:lang w:val="en-US"/>
        </w:rPr>
        <w:t xml:space="preserve"> and</w:t>
      </w:r>
      <w:r w:rsidR="009C6374" w:rsidRPr="00300902">
        <w:rPr>
          <w:rFonts w:ascii="Times New Roman" w:hAnsi="Times New Roman" w:cs="Times New Roman"/>
          <w:i/>
          <w:sz w:val="24"/>
          <w:szCs w:val="24"/>
          <w:lang w:val="en-US"/>
        </w:rPr>
        <w:t xml:space="preserve"> in </w:t>
      </w:r>
      <w:proofErr w:type="spellStart"/>
      <w:r w:rsidR="009C6374" w:rsidRPr="00300902">
        <w:rPr>
          <w:rFonts w:ascii="Times New Roman" w:hAnsi="Times New Roman" w:cs="Times New Roman"/>
          <w:i/>
          <w:sz w:val="24"/>
          <w:szCs w:val="24"/>
          <w:lang w:val="en-US"/>
        </w:rPr>
        <w:t>Abrahamse</w:t>
      </w:r>
      <w:proofErr w:type="spellEnd"/>
      <w:r w:rsidR="009C6374" w:rsidRPr="00300902">
        <w:rPr>
          <w:rFonts w:ascii="Times New Roman" w:hAnsi="Times New Roman" w:cs="Times New Roman"/>
          <w:i/>
          <w:sz w:val="24"/>
          <w:szCs w:val="24"/>
          <w:lang w:val="en-US"/>
        </w:rPr>
        <w:t xml:space="preserve"> &amp; Sons v SA Railways and </w:t>
      </w:r>
      <w:proofErr w:type="spellStart"/>
      <w:r w:rsidR="009C6374" w:rsidRPr="00300902">
        <w:rPr>
          <w:rFonts w:ascii="Times New Roman" w:hAnsi="Times New Roman" w:cs="Times New Roman"/>
          <w:i/>
          <w:sz w:val="24"/>
          <w:szCs w:val="24"/>
          <w:lang w:val="en-US"/>
        </w:rPr>
        <w:t>Harbours</w:t>
      </w:r>
      <w:proofErr w:type="spellEnd"/>
      <w:r w:rsidR="009C6374" w:rsidRPr="00300902">
        <w:rPr>
          <w:rFonts w:ascii="Times New Roman" w:hAnsi="Times New Roman" w:cs="Times New Roman"/>
          <w:sz w:val="24"/>
          <w:szCs w:val="24"/>
          <w:lang w:val="en-US"/>
        </w:rPr>
        <w:t> 1933 CPD 626 at 637</w:t>
      </w:r>
      <w:r w:rsidR="006377CC" w:rsidRPr="00300902">
        <w:rPr>
          <w:rFonts w:ascii="Times New Roman" w:hAnsi="Times New Roman" w:cs="Times New Roman"/>
          <w:sz w:val="24"/>
          <w:szCs w:val="24"/>
          <w:lang w:val="en-US"/>
        </w:rPr>
        <w:t xml:space="preserve"> where </w:t>
      </w:r>
      <w:r w:rsidR="009C6374" w:rsidRPr="00300902">
        <w:rPr>
          <w:rFonts w:ascii="Times New Roman" w:hAnsi="Times New Roman" w:cs="Times New Roman"/>
          <w:sz w:val="24"/>
          <w:szCs w:val="24"/>
          <w:lang w:val="en-US"/>
        </w:rPr>
        <w:t>WATERMEYER J stated:</w:t>
      </w:r>
    </w:p>
    <w:p w14:paraId="4C8E0C2C" w14:textId="5054254E" w:rsidR="00A125D7" w:rsidRPr="008711A3" w:rsidRDefault="00030C1B" w:rsidP="008711A3">
      <w:pPr>
        <w:pStyle w:val="western"/>
        <w:shd w:val="clear" w:color="auto" w:fill="FFFFFF"/>
        <w:spacing w:after="198" w:afterAutospacing="0"/>
        <w:jc w:val="both"/>
        <w:rPr>
          <w:sz w:val="22"/>
          <w:szCs w:val="22"/>
          <w:lang w:val="en-US"/>
        </w:rPr>
      </w:pPr>
      <w:r w:rsidRPr="008711A3">
        <w:rPr>
          <w:sz w:val="22"/>
          <w:szCs w:val="22"/>
          <w:lang w:val="en-US"/>
        </w:rPr>
        <w:t>“</w:t>
      </w:r>
      <w:r w:rsidR="009C6374" w:rsidRPr="008711A3">
        <w:rPr>
          <w:sz w:val="22"/>
          <w:szCs w:val="22"/>
          <w:lang w:val="en-US"/>
        </w:rPr>
        <w:t>The proper legal meaning of the expression 'cause of action' is </w:t>
      </w:r>
      <w:r w:rsidR="009C6374" w:rsidRPr="008711A3">
        <w:rPr>
          <w:sz w:val="22"/>
          <w:szCs w:val="22"/>
          <w:u w:val="single"/>
          <w:lang w:val="en-US"/>
        </w:rPr>
        <w:t>the entire set of facts</w:t>
      </w:r>
      <w:r w:rsidR="009C6374" w:rsidRPr="008711A3">
        <w:rPr>
          <w:sz w:val="22"/>
          <w:szCs w:val="22"/>
          <w:lang w:val="en-US"/>
        </w:rPr>
        <w:t> which gives rise to an enforceable claim and </w:t>
      </w:r>
      <w:r w:rsidR="009C6374" w:rsidRPr="008711A3">
        <w:rPr>
          <w:sz w:val="22"/>
          <w:szCs w:val="22"/>
          <w:u w:val="single"/>
          <w:lang w:val="en-US"/>
        </w:rPr>
        <w:t>includes every act which is material </w:t>
      </w:r>
      <w:r w:rsidR="009C6374" w:rsidRPr="008711A3">
        <w:rPr>
          <w:sz w:val="22"/>
          <w:szCs w:val="22"/>
          <w:lang w:val="en-US"/>
        </w:rPr>
        <w:t>to be proved to entitle a plaintiff to succeed in his claim. It includes all that a plaintiff must set out in his declaration in order to disclose a cause of action. Such cause of action does not 'arise' or 'accrue' until the occurrence of the last of such facts and consequently the last of such facts is sometimes loosely spoken of as the cause of action. (See Halsbury, vol 1, sec 3, and the cases there cited.)'” (Underlined for emphasis).</w:t>
      </w:r>
    </w:p>
    <w:p w14:paraId="2D7646E2" w14:textId="2770C071" w:rsidR="002C6F7C" w:rsidRPr="00300902" w:rsidRDefault="00C34779" w:rsidP="00300902">
      <w:pPr>
        <w:autoSpaceDE w:val="0"/>
        <w:autoSpaceDN w:val="0"/>
        <w:adjustRightInd w:val="0"/>
        <w:spacing w:after="0" w:line="360" w:lineRule="auto"/>
        <w:ind w:firstLine="720"/>
        <w:jc w:val="both"/>
        <w:rPr>
          <w:rFonts w:ascii="Times New Roman" w:hAnsi="Times New Roman" w:cs="Times New Roman"/>
          <w:color w:val="231F20"/>
          <w:sz w:val="24"/>
          <w:szCs w:val="24"/>
        </w:rPr>
      </w:pPr>
      <w:r w:rsidRPr="00300902">
        <w:rPr>
          <w:rFonts w:ascii="Times New Roman" w:hAnsi="Times New Roman" w:cs="Times New Roman"/>
          <w:color w:val="231F20"/>
          <w:sz w:val="24"/>
          <w:szCs w:val="24"/>
        </w:rPr>
        <w:t>From the set of facts presented before thi</w:t>
      </w:r>
      <w:r w:rsidR="002C6F7C" w:rsidRPr="00300902">
        <w:rPr>
          <w:rFonts w:ascii="Times New Roman" w:hAnsi="Times New Roman" w:cs="Times New Roman"/>
          <w:color w:val="231F20"/>
          <w:sz w:val="24"/>
          <w:szCs w:val="24"/>
        </w:rPr>
        <w:t xml:space="preserve">s court I will agree with </w:t>
      </w:r>
      <w:r w:rsidR="002C6F7C" w:rsidRPr="00300902">
        <w:rPr>
          <w:rFonts w:ascii="Times New Roman" w:hAnsi="Times New Roman" w:cs="Times New Roman"/>
          <w:i/>
          <w:color w:val="231F20"/>
          <w:sz w:val="24"/>
          <w:szCs w:val="24"/>
        </w:rPr>
        <w:t xml:space="preserve">Mr </w:t>
      </w:r>
      <w:proofErr w:type="spellStart"/>
      <w:r w:rsidR="002C6F7C" w:rsidRPr="00300902">
        <w:rPr>
          <w:rFonts w:ascii="Times New Roman" w:hAnsi="Times New Roman" w:cs="Times New Roman"/>
          <w:i/>
          <w:color w:val="231F20"/>
          <w:sz w:val="24"/>
          <w:szCs w:val="24"/>
        </w:rPr>
        <w:t>Mutsv</w:t>
      </w:r>
      <w:r w:rsidRPr="00300902">
        <w:rPr>
          <w:rFonts w:ascii="Times New Roman" w:hAnsi="Times New Roman" w:cs="Times New Roman"/>
          <w:i/>
          <w:color w:val="231F20"/>
          <w:sz w:val="24"/>
          <w:szCs w:val="24"/>
        </w:rPr>
        <w:t>airo</w:t>
      </w:r>
      <w:proofErr w:type="spellEnd"/>
      <w:r w:rsidR="002C6F7C" w:rsidRPr="00300902">
        <w:rPr>
          <w:rFonts w:ascii="Times New Roman" w:hAnsi="Times New Roman" w:cs="Times New Roman"/>
          <w:i/>
          <w:color w:val="231F20"/>
          <w:sz w:val="24"/>
          <w:szCs w:val="24"/>
        </w:rPr>
        <w:t>,</w:t>
      </w:r>
      <w:r w:rsidRPr="00300902">
        <w:rPr>
          <w:rFonts w:ascii="Times New Roman" w:hAnsi="Times New Roman" w:cs="Times New Roman"/>
          <w:color w:val="231F20"/>
          <w:sz w:val="24"/>
          <w:szCs w:val="24"/>
        </w:rPr>
        <w:t xml:space="preserve"> that the cause of action arose when they first ha</w:t>
      </w:r>
      <w:r w:rsidR="009C6374" w:rsidRPr="00300902">
        <w:rPr>
          <w:rFonts w:ascii="Times New Roman" w:hAnsi="Times New Roman" w:cs="Times New Roman"/>
          <w:color w:val="231F20"/>
          <w:sz w:val="24"/>
          <w:szCs w:val="24"/>
        </w:rPr>
        <w:t xml:space="preserve">d knowledge of double sale in August 2023. </w:t>
      </w:r>
      <w:r w:rsidRPr="00300902">
        <w:rPr>
          <w:rFonts w:ascii="Times New Roman" w:hAnsi="Times New Roman" w:cs="Times New Roman"/>
          <w:color w:val="231F20"/>
          <w:sz w:val="24"/>
          <w:szCs w:val="24"/>
        </w:rPr>
        <w:t>They immediately took action and instituted these proceedings. I am not persuaded by the defendant’s argument that the cause of action arose in 2018 when the s</w:t>
      </w:r>
      <w:r w:rsidR="009C6374" w:rsidRPr="00300902">
        <w:rPr>
          <w:rFonts w:ascii="Times New Roman" w:hAnsi="Times New Roman" w:cs="Times New Roman"/>
          <w:color w:val="231F20"/>
          <w:sz w:val="24"/>
          <w:szCs w:val="24"/>
        </w:rPr>
        <w:t xml:space="preserve">ale transaction was sealed. Everything </w:t>
      </w:r>
      <w:r w:rsidRPr="00300902">
        <w:rPr>
          <w:rFonts w:ascii="Times New Roman" w:hAnsi="Times New Roman" w:cs="Times New Roman"/>
          <w:color w:val="231F20"/>
          <w:sz w:val="24"/>
          <w:szCs w:val="24"/>
        </w:rPr>
        <w:t xml:space="preserve">was in place </w:t>
      </w:r>
      <w:r w:rsidR="009C6374" w:rsidRPr="00300902">
        <w:rPr>
          <w:rFonts w:ascii="Times New Roman" w:hAnsi="Times New Roman" w:cs="Times New Roman"/>
          <w:color w:val="231F20"/>
          <w:sz w:val="24"/>
          <w:szCs w:val="24"/>
        </w:rPr>
        <w:t xml:space="preserve">and there was rapport </w:t>
      </w:r>
      <w:r w:rsidRPr="00300902">
        <w:rPr>
          <w:rFonts w:ascii="Times New Roman" w:hAnsi="Times New Roman" w:cs="Times New Roman"/>
          <w:color w:val="231F20"/>
          <w:sz w:val="24"/>
          <w:szCs w:val="24"/>
        </w:rPr>
        <w:t>because the plaintiff was even given the original title deed and the conveyancing process was triggered</w:t>
      </w:r>
      <w:r w:rsidR="002C6F7C" w:rsidRPr="00300902">
        <w:rPr>
          <w:rFonts w:ascii="Times New Roman" w:hAnsi="Times New Roman" w:cs="Times New Roman"/>
          <w:color w:val="231F20"/>
          <w:sz w:val="24"/>
          <w:szCs w:val="24"/>
        </w:rPr>
        <w:t xml:space="preserve"> until the August 2023when they became aware of the double sale.</w:t>
      </w:r>
      <w:r w:rsidRPr="00300902">
        <w:rPr>
          <w:rFonts w:ascii="Times New Roman" w:hAnsi="Times New Roman" w:cs="Times New Roman"/>
          <w:color w:val="231F20"/>
          <w:sz w:val="24"/>
          <w:szCs w:val="24"/>
        </w:rPr>
        <w:t xml:space="preserve"> </w:t>
      </w:r>
    </w:p>
    <w:p w14:paraId="2474878A" w14:textId="77777777" w:rsidR="002C6F7C" w:rsidRPr="00300902" w:rsidRDefault="002C6F7C" w:rsidP="00300902">
      <w:pPr>
        <w:autoSpaceDE w:val="0"/>
        <w:autoSpaceDN w:val="0"/>
        <w:adjustRightInd w:val="0"/>
        <w:spacing w:after="0" w:line="360" w:lineRule="auto"/>
        <w:jc w:val="both"/>
        <w:rPr>
          <w:rFonts w:ascii="Times New Roman" w:hAnsi="Times New Roman" w:cs="Times New Roman"/>
          <w:color w:val="231F20"/>
          <w:sz w:val="24"/>
          <w:szCs w:val="24"/>
        </w:rPr>
      </w:pPr>
    </w:p>
    <w:p w14:paraId="739362AD" w14:textId="76B55DD3" w:rsidR="002C6F7C" w:rsidRPr="00300902" w:rsidRDefault="00C34779" w:rsidP="00300902">
      <w:pPr>
        <w:autoSpaceDE w:val="0"/>
        <w:autoSpaceDN w:val="0"/>
        <w:adjustRightInd w:val="0"/>
        <w:spacing w:after="0" w:line="360" w:lineRule="auto"/>
        <w:ind w:firstLine="720"/>
        <w:jc w:val="both"/>
        <w:rPr>
          <w:rFonts w:ascii="Times New Roman" w:hAnsi="Times New Roman" w:cs="Times New Roman"/>
          <w:color w:val="231F20"/>
          <w:sz w:val="24"/>
          <w:szCs w:val="24"/>
        </w:rPr>
      </w:pPr>
      <w:r w:rsidRPr="00300902">
        <w:rPr>
          <w:rFonts w:ascii="Times New Roman" w:hAnsi="Times New Roman" w:cs="Times New Roman"/>
          <w:color w:val="231F20"/>
          <w:sz w:val="24"/>
          <w:szCs w:val="24"/>
        </w:rPr>
        <w:t xml:space="preserve">The only impediment in the completion of the conveyancing process was as submitted by the plaintiff in his evidence on this interlocutory issue that after pumping out such large sums of money he did not have sufficient money to complete the process. Further, it was not disputed that he indeed took occupation through his tenant who was operating a crèche on the premises. Given that the ball to </w:t>
      </w:r>
      <w:r w:rsidR="009C6374" w:rsidRPr="00300902">
        <w:rPr>
          <w:rFonts w:ascii="Times New Roman" w:hAnsi="Times New Roman" w:cs="Times New Roman"/>
          <w:color w:val="231F20"/>
          <w:sz w:val="24"/>
          <w:szCs w:val="24"/>
        </w:rPr>
        <w:t>finalise conveyancing was in the plaintiff’s</w:t>
      </w:r>
      <w:r w:rsidRPr="00300902">
        <w:rPr>
          <w:rFonts w:ascii="Times New Roman" w:hAnsi="Times New Roman" w:cs="Times New Roman"/>
          <w:color w:val="231F20"/>
          <w:sz w:val="24"/>
          <w:szCs w:val="24"/>
        </w:rPr>
        <w:t xml:space="preserve"> court</w:t>
      </w:r>
      <w:r w:rsidR="002C6F7C" w:rsidRPr="00300902">
        <w:rPr>
          <w:rFonts w:ascii="Times New Roman" w:hAnsi="Times New Roman" w:cs="Times New Roman"/>
          <w:color w:val="231F20"/>
          <w:sz w:val="24"/>
          <w:szCs w:val="24"/>
        </w:rPr>
        <w:t>. T</w:t>
      </w:r>
      <w:r w:rsidRPr="00300902">
        <w:rPr>
          <w:rFonts w:ascii="Times New Roman" w:hAnsi="Times New Roman" w:cs="Times New Roman"/>
          <w:color w:val="231F20"/>
          <w:sz w:val="24"/>
          <w:szCs w:val="24"/>
        </w:rPr>
        <w:t xml:space="preserve">here was no need to place the seller’s representative </w:t>
      </w:r>
      <w:r w:rsidRPr="00300902">
        <w:rPr>
          <w:rFonts w:ascii="Times New Roman" w:hAnsi="Times New Roman" w:cs="Times New Roman"/>
          <w:i/>
          <w:color w:val="231F20"/>
          <w:sz w:val="24"/>
          <w:szCs w:val="24"/>
        </w:rPr>
        <w:t xml:space="preserve">in mora </w:t>
      </w:r>
      <w:r w:rsidRPr="00300902">
        <w:rPr>
          <w:rFonts w:ascii="Times New Roman" w:hAnsi="Times New Roman" w:cs="Times New Roman"/>
          <w:color w:val="231F20"/>
          <w:sz w:val="24"/>
          <w:szCs w:val="24"/>
        </w:rPr>
        <w:t>in order to effect transfer. Sluggard as he may have been</w:t>
      </w:r>
      <w:r w:rsidR="00485977" w:rsidRPr="00300902">
        <w:rPr>
          <w:rFonts w:ascii="Times New Roman" w:hAnsi="Times New Roman" w:cs="Times New Roman"/>
          <w:color w:val="231F20"/>
          <w:sz w:val="24"/>
          <w:szCs w:val="24"/>
        </w:rPr>
        <w:t xml:space="preserve"> in his delay to complete this feat</w:t>
      </w:r>
      <w:r w:rsidRPr="00300902">
        <w:rPr>
          <w:rFonts w:ascii="Times New Roman" w:hAnsi="Times New Roman" w:cs="Times New Roman"/>
          <w:color w:val="231F20"/>
          <w:sz w:val="24"/>
          <w:szCs w:val="24"/>
        </w:rPr>
        <w:t xml:space="preserve">, that does not alter the position </w:t>
      </w:r>
      <w:r w:rsidR="009C6374" w:rsidRPr="00300902">
        <w:rPr>
          <w:rFonts w:ascii="Times New Roman" w:hAnsi="Times New Roman" w:cs="Times New Roman"/>
          <w:color w:val="231F20"/>
          <w:sz w:val="24"/>
          <w:szCs w:val="24"/>
        </w:rPr>
        <w:t xml:space="preserve">as to </w:t>
      </w:r>
      <w:r w:rsidRPr="00300902">
        <w:rPr>
          <w:rFonts w:ascii="Times New Roman" w:hAnsi="Times New Roman" w:cs="Times New Roman"/>
          <w:color w:val="231F20"/>
          <w:sz w:val="24"/>
          <w:szCs w:val="24"/>
        </w:rPr>
        <w:t>when the cause of action arose.</w:t>
      </w:r>
    </w:p>
    <w:p w14:paraId="26D3111C" w14:textId="1E33C624" w:rsidR="00485977" w:rsidRPr="00300902" w:rsidRDefault="002C6F7C" w:rsidP="00300902">
      <w:pPr>
        <w:autoSpaceDE w:val="0"/>
        <w:autoSpaceDN w:val="0"/>
        <w:adjustRightInd w:val="0"/>
        <w:spacing w:after="0" w:line="360" w:lineRule="auto"/>
        <w:ind w:firstLine="720"/>
        <w:jc w:val="both"/>
        <w:rPr>
          <w:rFonts w:ascii="Times New Roman" w:hAnsi="Times New Roman" w:cs="Times New Roman"/>
          <w:sz w:val="24"/>
          <w:szCs w:val="24"/>
          <w:shd w:val="clear" w:color="auto" w:fill="FFFFFF"/>
        </w:rPr>
      </w:pPr>
      <w:r w:rsidRPr="00300902">
        <w:rPr>
          <w:rFonts w:ascii="Times New Roman" w:hAnsi="Times New Roman" w:cs="Times New Roman"/>
          <w:color w:val="231F20"/>
          <w:sz w:val="24"/>
          <w:szCs w:val="24"/>
        </w:rPr>
        <w:t xml:space="preserve">Mr, </w:t>
      </w:r>
      <w:proofErr w:type="spellStart"/>
      <w:r w:rsidRPr="00300902">
        <w:rPr>
          <w:rFonts w:ascii="Times New Roman" w:hAnsi="Times New Roman" w:cs="Times New Roman"/>
          <w:i/>
          <w:color w:val="231F20"/>
          <w:sz w:val="24"/>
          <w:szCs w:val="24"/>
        </w:rPr>
        <w:t>Chemhere</w:t>
      </w:r>
      <w:proofErr w:type="spellEnd"/>
      <w:r w:rsidRPr="00300902">
        <w:rPr>
          <w:rFonts w:ascii="Times New Roman" w:hAnsi="Times New Roman" w:cs="Times New Roman"/>
          <w:color w:val="231F20"/>
          <w:sz w:val="24"/>
          <w:szCs w:val="24"/>
        </w:rPr>
        <w:t>, for t</w:t>
      </w:r>
      <w:r w:rsidR="00A125D7" w:rsidRPr="00300902">
        <w:rPr>
          <w:rFonts w:ascii="Times New Roman" w:hAnsi="Times New Roman" w:cs="Times New Roman"/>
          <w:color w:val="231F20"/>
          <w:sz w:val="24"/>
          <w:szCs w:val="24"/>
        </w:rPr>
        <w:t>he defendant failed to discharge its onus on the discovery or knowledge rul</w:t>
      </w:r>
      <w:r w:rsidR="009C6374" w:rsidRPr="00300902">
        <w:rPr>
          <w:rFonts w:ascii="Times New Roman" w:hAnsi="Times New Roman" w:cs="Times New Roman"/>
          <w:color w:val="231F20"/>
          <w:sz w:val="24"/>
          <w:szCs w:val="24"/>
        </w:rPr>
        <w:t>e. It did not adduce evidence</w:t>
      </w:r>
      <w:r w:rsidR="007820CB" w:rsidRPr="00300902">
        <w:rPr>
          <w:rFonts w:ascii="Times New Roman" w:hAnsi="Times New Roman" w:cs="Times New Roman"/>
          <w:color w:val="231F20"/>
          <w:sz w:val="24"/>
          <w:szCs w:val="24"/>
        </w:rPr>
        <w:t xml:space="preserve"> to</w:t>
      </w:r>
      <w:r w:rsidR="009C6374" w:rsidRPr="00300902">
        <w:rPr>
          <w:rFonts w:ascii="Times New Roman" w:hAnsi="Times New Roman" w:cs="Times New Roman"/>
          <w:color w:val="231F20"/>
          <w:sz w:val="24"/>
          <w:szCs w:val="24"/>
        </w:rPr>
        <w:t xml:space="preserve"> disprove</w:t>
      </w:r>
      <w:r w:rsidR="00A125D7" w:rsidRPr="00300902">
        <w:rPr>
          <w:rFonts w:ascii="Times New Roman" w:hAnsi="Times New Roman" w:cs="Times New Roman"/>
          <w:color w:val="231F20"/>
          <w:sz w:val="24"/>
          <w:szCs w:val="24"/>
        </w:rPr>
        <w:t xml:space="preserve"> that the plaintiff had knowledge of the</w:t>
      </w:r>
      <w:r w:rsidR="009C6374" w:rsidRPr="00300902">
        <w:rPr>
          <w:rFonts w:ascii="Times New Roman" w:hAnsi="Times New Roman" w:cs="Times New Roman"/>
          <w:color w:val="231F20"/>
          <w:sz w:val="24"/>
          <w:szCs w:val="24"/>
        </w:rPr>
        <w:t xml:space="preserve"> cause of action prior to August 2023 or that there was need for the plaintiff to act in September 2018.</w:t>
      </w:r>
      <w:r w:rsidR="00485977" w:rsidRPr="00300902">
        <w:rPr>
          <w:rFonts w:ascii="Times New Roman" w:hAnsi="Times New Roman" w:cs="Times New Roman"/>
          <w:color w:val="231F20"/>
          <w:sz w:val="24"/>
          <w:szCs w:val="24"/>
        </w:rPr>
        <w:t xml:space="preserve"> This was clearly pronounced by </w:t>
      </w:r>
      <w:r w:rsidR="00485977" w:rsidRPr="00300902">
        <w:rPr>
          <w:rFonts w:ascii="Times New Roman" w:hAnsi="Times New Roman" w:cs="Times New Roman"/>
          <w:sz w:val="24"/>
          <w:szCs w:val="24"/>
          <w:shd w:val="clear" w:color="auto" w:fill="FFFFFF"/>
        </w:rPr>
        <w:t>MALABA</w:t>
      </w:r>
      <w:r w:rsidR="00A125D7" w:rsidRPr="00300902">
        <w:rPr>
          <w:rFonts w:ascii="Times New Roman" w:hAnsi="Times New Roman" w:cs="Times New Roman"/>
          <w:sz w:val="24"/>
          <w:szCs w:val="24"/>
          <w:shd w:val="clear" w:color="auto" w:fill="FFFFFF"/>
        </w:rPr>
        <w:t xml:space="preserve"> J</w:t>
      </w:r>
      <w:r w:rsidR="00485977" w:rsidRPr="00300902">
        <w:rPr>
          <w:rFonts w:ascii="Times New Roman" w:hAnsi="Times New Roman" w:cs="Times New Roman"/>
          <w:sz w:val="24"/>
          <w:szCs w:val="24"/>
          <w:shd w:val="clear" w:color="auto" w:fill="FFFFFF"/>
        </w:rPr>
        <w:t>,</w:t>
      </w:r>
      <w:r w:rsidR="00A125D7" w:rsidRPr="00300902">
        <w:rPr>
          <w:rFonts w:ascii="Times New Roman" w:hAnsi="Times New Roman" w:cs="Times New Roman"/>
          <w:sz w:val="24"/>
          <w:szCs w:val="24"/>
          <w:shd w:val="clear" w:color="auto" w:fill="FFFFFF"/>
        </w:rPr>
        <w:t xml:space="preserve"> as he the</w:t>
      </w:r>
      <w:r w:rsidR="00485977" w:rsidRPr="00300902">
        <w:rPr>
          <w:rFonts w:ascii="Times New Roman" w:hAnsi="Times New Roman" w:cs="Times New Roman"/>
          <w:sz w:val="24"/>
          <w:szCs w:val="24"/>
          <w:shd w:val="clear" w:color="auto" w:fill="FFFFFF"/>
        </w:rPr>
        <w:t>n</w:t>
      </w:r>
      <w:r w:rsidR="00A125D7" w:rsidRPr="00300902">
        <w:rPr>
          <w:rFonts w:ascii="Times New Roman" w:hAnsi="Times New Roman" w:cs="Times New Roman"/>
          <w:sz w:val="24"/>
          <w:szCs w:val="24"/>
          <w:shd w:val="clear" w:color="auto" w:fill="FFFFFF"/>
        </w:rPr>
        <w:t xml:space="preserve"> was</w:t>
      </w:r>
      <w:r w:rsidR="00485977" w:rsidRPr="00300902">
        <w:rPr>
          <w:rFonts w:ascii="Times New Roman" w:hAnsi="Times New Roman" w:cs="Times New Roman"/>
          <w:sz w:val="24"/>
          <w:szCs w:val="24"/>
          <w:shd w:val="clear" w:color="auto" w:fill="FFFFFF"/>
        </w:rPr>
        <w:t>,</w:t>
      </w:r>
      <w:r w:rsidR="00A125D7" w:rsidRPr="00300902">
        <w:rPr>
          <w:rFonts w:ascii="Times New Roman" w:hAnsi="Times New Roman" w:cs="Times New Roman"/>
          <w:sz w:val="24"/>
          <w:szCs w:val="24"/>
          <w:shd w:val="clear" w:color="auto" w:fill="FFFFFF"/>
        </w:rPr>
        <w:t xml:space="preserve"> in the case of </w:t>
      </w:r>
      <w:r w:rsidR="00A125D7" w:rsidRPr="00300902">
        <w:rPr>
          <w:rFonts w:ascii="Times New Roman" w:hAnsi="Times New Roman" w:cs="Times New Roman"/>
          <w:i/>
          <w:sz w:val="24"/>
          <w:szCs w:val="24"/>
          <w:shd w:val="clear" w:color="auto" w:fill="FFFFFF"/>
        </w:rPr>
        <w:t>Peebles above</w:t>
      </w:r>
      <w:r w:rsidR="00485977" w:rsidRPr="00300902">
        <w:rPr>
          <w:rFonts w:ascii="Times New Roman" w:hAnsi="Times New Roman" w:cs="Times New Roman"/>
          <w:sz w:val="24"/>
          <w:szCs w:val="24"/>
          <w:shd w:val="clear" w:color="auto" w:fill="FFFFFF"/>
        </w:rPr>
        <w:t xml:space="preserve">. </w:t>
      </w:r>
      <w:r w:rsidR="00485977" w:rsidRPr="00300902">
        <w:rPr>
          <w:rStyle w:val="FootnoteReference"/>
          <w:rFonts w:ascii="Times New Roman" w:hAnsi="Times New Roman" w:cs="Times New Roman"/>
          <w:sz w:val="24"/>
          <w:szCs w:val="24"/>
          <w:shd w:val="clear" w:color="auto" w:fill="FFFFFF"/>
        </w:rPr>
        <w:footnoteReference w:id="6"/>
      </w:r>
    </w:p>
    <w:p w14:paraId="4330E952" w14:textId="433A4624" w:rsidR="00D7278C" w:rsidRPr="00300902" w:rsidRDefault="00485977" w:rsidP="00300902">
      <w:pPr>
        <w:jc w:val="both"/>
        <w:rPr>
          <w:rFonts w:ascii="Times New Roman" w:hAnsi="Times New Roman" w:cs="Times New Roman"/>
          <w:sz w:val="24"/>
          <w:szCs w:val="24"/>
          <w:lang w:val="en-US"/>
        </w:rPr>
      </w:pPr>
      <w:r w:rsidRPr="00300902">
        <w:rPr>
          <w:rFonts w:ascii="Times New Roman" w:hAnsi="Times New Roman" w:cs="Times New Roman"/>
          <w:sz w:val="24"/>
          <w:szCs w:val="24"/>
          <w:shd w:val="clear" w:color="auto" w:fill="FFFFFF"/>
        </w:rPr>
        <w:lastRenderedPageBreak/>
        <w:t xml:space="preserve"> </w:t>
      </w:r>
    </w:p>
    <w:p w14:paraId="41989211" w14:textId="77777777" w:rsidR="004E6C0F" w:rsidRPr="00300902" w:rsidRDefault="004E6C0F" w:rsidP="00300902">
      <w:pPr>
        <w:spacing w:line="240" w:lineRule="auto"/>
        <w:jc w:val="both"/>
        <w:rPr>
          <w:rFonts w:ascii="Times New Roman" w:hAnsi="Times New Roman" w:cs="Times New Roman"/>
          <w:b/>
          <w:sz w:val="24"/>
          <w:szCs w:val="24"/>
        </w:rPr>
      </w:pPr>
      <w:r w:rsidRPr="00300902">
        <w:rPr>
          <w:rFonts w:ascii="Times New Roman" w:hAnsi="Times New Roman" w:cs="Times New Roman"/>
          <w:b/>
          <w:sz w:val="24"/>
          <w:szCs w:val="24"/>
        </w:rPr>
        <w:t>Whether or not the Plaintiff’s cause of action has prescribed in terms of the Prescription Act, [Chapter8:11]?</w:t>
      </w:r>
    </w:p>
    <w:p w14:paraId="15E25238" w14:textId="77777777" w:rsidR="00275F3C" w:rsidRDefault="00485977" w:rsidP="00275F3C">
      <w:pPr>
        <w:spacing w:line="360" w:lineRule="auto"/>
        <w:ind w:firstLine="720"/>
        <w:jc w:val="both"/>
        <w:rPr>
          <w:rFonts w:ascii="Times New Roman" w:hAnsi="Times New Roman" w:cs="Times New Roman"/>
          <w:sz w:val="24"/>
          <w:szCs w:val="24"/>
        </w:rPr>
      </w:pPr>
      <w:r w:rsidRPr="00300902">
        <w:rPr>
          <w:rFonts w:ascii="Times New Roman" w:hAnsi="Times New Roman" w:cs="Times New Roman"/>
          <w:sz w:val="24"/>
          <w:szCs w:val="24"/>
        </w:rPr>
        <w:t xml:space="preserve">A finding has already been made that the </w:t>
      </w:r>
      <w:r w:rsidR="00300902" w:rsidRPr="00300902">
        <w:rPr>
          <w:rFonts w:ascii="Times New Roman" w:hAnsi="Times New Roman" w:cs="Times New Roman"/>
          <w:sz w:val="24"/>
          <w:szCs w:val="24"/>
        </w:rPr>
        <w:t>plaintiff’s</w:t>
      </w:r>
      <w:r w:rsidRPr="00300902">
        <w:rPr>
          <w:rFonts w:ascii="Times New Roman" w:hAnsi="Times New Roman" w:cs="Times New Roman"/>
          <w:sz w:val="24"/>
          <w:szCs w:val="24"/>
        </w:rPr>
        <w:t xml:space="preserve"> cause of action arose on in August 2023. </w:t>
      </w:r>
      <w:r w:rsidR="008F5D58" w:rsidRPr="00300902">
        <w:rPr>
          <w:rFonts w:ascii="Times New Roman" w:hAnsi="Times New Roman" w:cs="Times New Roman"/>
          <w:sz w:val="24"/>
          <w:szCs w:val="24"/>
        </w:rPr>
        <w:t>The summons where issued on24 August 2023.P</w:t>
      </w:r>
      <w:r w:rsidR="00265975" w:rsidRPr="00300902">
        <w:rPr>
          <w:rFonts w:ascii="Times New Roman" w:hAnsi="Times New Roman" w:cs="Times New Roman"/>
          <w:sz w:val="24"/>
          <w:szCs w:val="24"/>
        </w:rPr>
        <w:t>rescription start</w:t>
      </w:r>
      <w:r w:rsidR="008F5D58" w:rsidRPr="00300902">
        <w:rPr>
          <w:rFonts w:ascii="Times New Roman" w:hAnsi="Times New Roman" w:cs="Times New Roman"/>
          <w:sz w:val="24"/>
          <w:szCs w:val="24"/>
        </w:rPr>
        <w:t>ed running from</w:t>
      </w:r>
      <w:r w:rsidR="00265975" w:rsidRPr="00300902">
        <w:rPr>
          <w:rFonts w:ascii="Times New Roman" w:hAnsi="Times New Roman" w:cs="Times New Roman"/>
          <w:sz w:val="24"/>
          <w:szCs w:val="24"/>
        </w:rPr>
        <w:t xml:space="preserve"> August 2023 that is when the debt became due. The plaintiff is within its </w:t>
      </w:r>
      <w:r w:rsidR="00030C1B" w:rsidRPr="00300902">
        <w:rPr>
          <w:rFonts w:ascii="Times New Roman" w:hAnsi="Times New Roman" w:cs="Times New Roman"/>
          <w:sz w:val="24"/>
          <w:szCs w:val="24"/>
        </w:rPr>
        <w:t>three-year</w:t>
      </w:r>
      <w:r w:rsidR="00265975" w:rsidRPr="00300902">
        <w:rPr>
          <w:rFonts w:ascii="Times New Roman" w:hAnsi="Times New Roman" w:cs="Times New Roman"/>
          <w:sz w:val="24"/>
          <w:szCs w:val="24"/>
        </w:rPr>
        <w:t xml:space="preserve"> timeframe stipulated by the </w:t>
      </w:r>
      <w:r w:rsidR="00300902" w:rsidRPr="00300902">
        <w:rPr>
          <w:rFonts w:ascii="Times New Roman" w:hAnsi="Times New Roman" w:cs="Times New Roman"/>
          <w:sz w:val="24"/>
          <w:szCs w:val="24"/>
        </w:rPr>
        <w:t>Prescription</w:t>
      </w:r>
      <w:r w:rsidR="00265975" w:rsidRPr="00300902">
        <w:rPr>
          <w:rFonts w:ascii="Times New Roman" w:hAnsi="Times New Roman" w:cs="Times New Roman"/>
          <w:sz w:val="24"/>
          <w:szCs w:val="24"/>
        </w:rPr>
        <w:t xml:space="preserve"> Act. See </w:t>
      </w:r>
      <w:proofErr w:type="spellStart"/>
      <w:r w:rsidR="00265975" w:rsidRPr="00300902">
        <w:rPr>
          <w:rFonts w:ascii="Times New Roman" w:hAnsi="Times New Roman" w:cs="Times New Roman"/>
          <w:i/>
          <w:sz w:val="24"/>
          <w:szCs w:val="24"/>
        </w:rPr>
        <w:t>Mudhanda</w:t>
      </w:r>
      <w:proofErr w:type="spellEnd"/>
      <w:r w:rsidR="00265975" w:rsidRPr="00300902">
        <w:rPr>
          <w:rFonts w:ascii="Times New Roman" w:hAnsi="Times New Roman" w:cs="Times New Roman"/>
          <w:sz w:val="24"/>
          <w:szCs w:val="24"/>
        </w:rPr>
        <w:t xml:space="preserve"> case above.</w:t>
      </w:r>
    </w:p>
    <w:p w14:paraId="1422FCA2" w14:textId="461E5CFE" w:rsidR="001B04E1" w:rsidRPr="00275F3C" w:rsidRDefault="00485977" w:rsidP="00275F3C">
      <w:pPr>
        <w:spacing w:line="360" w:lineRule="auto"/>
        <w:ind w:firstLine="720"/>
        <w:jc w:val="both"/>
        <w:rPr>
          <w:rFonts w:ascii="Times New Roman" w:hAnsi="Times New Roman" w:cs="Times New Roman"/>
          <w:color w:val="212529"/>
          <w:sz w:val="24"/>
          <w:szCs w:val="24"/>
        </w:rPr>
      </w:pPr>
      <w:r w:rsidRPr="00300902">
        <w:rPr>
          <w:rFonts w:ascii="Times New Roman" w:hAnsi="Times New Roman" w:cs="Times New Roman"/>
          <w:color w:val="212529"/>
          <w:sz w:val="24"/>
          <w:szCs w:val="24"/>
        </w:rPr>
        <w:br/>
      </w:r>
      <w:r w:rsidR="00030C1B">
        <w:t xml:space="preserve">    </w:t>
      </w:r>
      <w:r w:rsidR="00030C1B">
        <w:tab/>
      </w:r>
      <w:r w:rsidR="001B04E1" w:rsidRPr="00300902">
        <w:rPr>
          <w:rFonts w:ascii="Times New Roman" w:hAnsi="Times New Roman" w:cs="Times New Roman"/>
          <w:sz w:val="24"/>
          <w:szCs w:val="24"/>
        </w:rPr>
        <w:t xml:space="preserve">In terms of s16 (1) of </w:t>
      </w:r>
      <w:r w:rsidR="00DD2E31" w:rsidRPr="00300902">
        <w:rPr>
          <w:rFonts w:ascii="Times New Roman" w:hAnsi="Times New Roman" w:cs="Times New Roman"/>
          <w:sz w:val="24"/>
          <w:szCs w:val="24"/>
        </w:rPr>
        <w:t>the Prescription Act [Chapter8.11]</w:t>
      </w:r>
      <w:r w:rsidR="00030C1B">
        <w:t xml:space="preserve"> </w:t>
      </w:r>
      <w:r w:rsidR="001B04E1" w:rsidRPr="00300902">
        <w:rPr>
          <w:rFonts w:ascii="Times New Roman" w:hAnsi="Times New Roman" w:cs="Times New Roman"/>
          <w:sz w:val="24"/>
          <w:szCs w:val="24"/>
        </w:rPr>
        <w:t>the prescription</w:t>
      </w:r>
      <w:r w:rsidR="00030C1B">
        <w:t xml:space="preserve"> </w:t>
      </w:r>
      <w:r w:rsidR="001B04E1" w:rsidRPr="00300902">
        <w:rPr>
          <w:rFonts w:ascii="Times New Roman" w:hAnsi="Times New Roman" w:cs="Times New Roman"/>
          <w:sz w:val="24"/>
          <w:szCs w:val="24"/>
        </w:rPr>
        <w:t>shall commence to run as soon as the debt is due. Section 16(3) denotes that A debt shall not be deemed to be due until the creditor becomes aware of the such identity</w:t>
      </w:r>
      <w:r w:rsidR="005968EB" w:rsidRPr="00300902">
        <w:rPr>
          <w:rFonts w:ascii="Times New Roman" w:hAnsi="Times New Roman" w:cs="Times New Roman"/>
          <w:sz w:val="24"/>
          <w:szCs w:val="24"/>
        </w:rPr>
        <w:t xml:space="preserve"> </w:t>
      </w:r>
      <w:r w:rsidR="001B04E1" w:rsidRPr="00300902">
        <w:rPr>
          <w:rFonts w:ascii="Times New Roman" w:hAnsi="Times New Roman" w:cs="Times New Roman"/>
          <w:sz w:val="24"/>
          <w:szCs w:val="24"/>
        </w:rPr>
        <w:t>of the debtor and the facts from which the debt arises, provided that a creditor shall be deemed to have become aware of such identity and of such facts if he could have acquired knowledge thereof by exercising reasonable care.</w:t>
      </w:r>
      <w:r w:rsidR="00265975" w:rsidRPr="00300902">
        <w:rPr>
          <w:rFonts w:ascii="Times New Roman" w:hAnsi="Times New Roman" w:cs="Times New Roman"/>
          <w:sz w:val="24"/>
          <w:szCs w:val="24"/>
        </w:rPr>
        <w:t xml:space="preserve"> The failure by the plaintiff to see the notice in the </w:t>
      </w:r>
      <w:proofErr w:type="spellStart"/>
      <w:r w:rsidR="00265975" w:rsidRPr="00300902">
        <w:rPr>
          <w:rFonts w:ascii="Times New Roman" w:hAnsi="Times New Roman" w:cs="Times New Roman"/>
          <w:sz w:val="24"/>
          <w:szCs w:val="24"/>
        </w:rPr>
        <w:t>Gazzette</w:t>
      </w:r>
      <w:proofErr w:type="spellEnd"/>
      <w:r w:rsidR="00265975" w:rsidRPr="00300902">
        <w:rPr>
          <w:rFonts w:ascii="Times New Roman" w:hAnsi="Times New Roman" w:cs="Times New Roman"/>
          <w:sz w:val="24"/>
          <w:szCs w:val="24"/>
        </w:rPr>
        <w:t xml:space="preserve"> cannot be held against him. He countered that there was also the need to advertise the lost title deed notice in the readily accessible local newspaper as well as the Government gazette. The 6</w:t>
      </w:r>
      <w:r w:rsidR="00265975" w:rsidRPr="00300902">
        <w:rPr>
          <w:rFonts w:ascii="Times New Roman" w:hAnsi="Times New Roman" w:cs="Times New Roman"/>
          <w:sz w:val="24"/>
          <w:szCs w:val="24"/>
          <w:vertAlign w:val="superscript"/>
        </w:rPr>
        <w:t>th</w:t>
      </w:r>
      <w:r w:rsidR="00265975" w:rsidRPr="00300902">
        <w:rPr>
          <w:rFonts w:ascii="Times New Roman" w:hAnsi="Times New Roman" w:cs="Times New Roman"/>
          <w:sz w:val="24"/>
          <w:szCs w:val="24"/>
        </w:rPr>
        <w:t xml:space="preserve"> defendant did not rebut this averment by producing the requisite proof thereof.</w:t>
      </w:r>
      <w:r w:rsidR="001B04E1" w:rsidRPr="00300902">
        <w:rPr>
          <w:rFonts w:ascii="Times New Roman" w:hAnsi="Times New Roman" w:cs="Times New Roman"/>
          <w:sz w:val="24"/>
          <w:szCs w:val="24"/>
        </w:rPr>
        <w:t xml:space="preserve"> </w:t>
      </w:r>
      <w:r w:rsidR="00265975" w:rsidRPr="00300902">
        <w:rPr>
          <w:rFonts w:ascii="Times New Roman" w:hAnsi="Times New Roman" w:cs="Times New Roman"/>
          <w:sz w:val="24"/>
          <w:szCs w:val="24"/>
        </w:rPr>
        <w:t xml:space="preserve"> </w:t>
      </w:r>
    </w:p>
    <w:p w14:paraId="76F384A9" w14:textId="4D87421C" w:rsidR="005513F3" w:rsidRPr="00300902" w:rsidRDefault="00275F3C" w:rsidP="00300902">
      <w:pPr>
        <w:shd w:val="clear" w:color="auto" w:fill="FFFFFF"/>
        <w:tabs>
          <w:tab w:val="left" w:pos="5565"/>
        </w:tabs>
        <w:spacing w:before="100" w:beforeAutospacing="1" w:after="15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7CC" w:rsidRPr="00300902">
        <w:rPr>
          <w:rFonts w:ascii="Times New Roman" w:hAnsi="Times New Roman" w:cs="Times New Roman"/>
          <w:sz w:val="24"/>
          <w:szCs w:val="24"/>
        </w:rPr>
        <w:t xml:space="preserve">In </w:t>
      </w:r>
      <w:r w:rsidR="00030C1B" w:rsidRPr="00300902">
        <w:rPr>
          <w:rFonts w:ascii="Times New Roman" w:hAnsi="Times New Roman" w:cs="Times New Roman"/>
          <w:sz w:val="24"/>
          <w:szCs w:val="24"/>
        </w:rPr>
        <w:t>conclusion, the</w:t>
      </w:r>
      <w:r w:rsidR="005513F3" w:rsidRPr="00300902">
        <w:rPr>
          <w:rFonts w:ascii="Times New Roman" w:hAnsi="Times New Roman" w:cs="Times New Roman"/>
          <w:sz w:val="24"/>
          <w:szCs w:val="24"/>
        </w:rPr>
        <w:t xml:space="preserve"> cause of action has not prescribed. The presc</w:t>
      </w:r>
      <w:r w:rsidR="00265975" w:rsidRPr="00300902">
        <w:rPr>
          <w:rFonts w:ascii="Times New Roman" w:hAnsi="Times New Roman" w:cs="Times New Roman"/>
          <w:sz w:val="24"/>
          <w:szCs w:val="24"/>
        </w:rPr>
        <w:t>ription</w:t>
      </w:r>
      <w:r w:rsidR="006377CC" w:rsidRPr="00300902">
        <w:rPr>
          <w:rFonts w:ascii="Times New Roman" w:hAnsi="Times New Roman" w:cs="Times New Roman"/>
          <w:sz w:val="24"/>
          <w:szCs w:val="24"/>
        </w:rPr>
        <w:t xml:space="preserve"> started running in August 2023.</w:t>
      </w:r>
      <w:r w:rsidR="008F5D58" w:rsidRPr="00300902">
        <w:rPr>
          <w:rFonts w:ascii="Times New Roman" w:hAnsi="Times New Roman" w:cs="Times New Roman"/>
          <w:sz w:val="24"/>
          <w:szCs w:val="24"/>
        </w:rPr>
        <w:t xml:space="preserve"> The </w:t>
      </w:r>
      <w:r w:rsidR="00300902" w:rsidRPr="00300902">
        <w:rPr>
          <w:rFonts w:ascii="Times New Roman" w:hAnsi="Times New Roman" w:cs="Times New Roman"/>
          <w:sz w:val="24"/>
          <w:szCs w:val="24"/>
        </w:rPr>
        <w:t>Summons were</w:t>
      </w:r>
      <w:r w:rsidR="005513F3" w:rsidRPr="00300902">
        <w:rPr>
          <w:rFonts w:ascii="Times New Roman" w:hAnsi="Times New Roman" w:cs="Times New Roman"/>
          <w:sz w:val="24"/>
          <w:szCs w:val="24"/>
        </w:rPr>
        <w:t xml:space="preserve"> issued on the</w:t>
      </w:r>
      <w:r w:rsidR="008F5D58" w:rsidRPr="00300902">
        <w:rPr>
          <w:rFonts w:ascii="Times New Roman" w:hAnsi="Times New Roman" w:cs="Times New Roman"/>
          <w:sz w:val="24"/>
          <w:szCs w:val="24"/>
        </w:rPr>
        <w:t xml:space="preserve"> 24</w:t>
      </w:r>
      <w:r w:rsidR="008F5D58" w:rsidRPr="00300902">
        <w:rPr>
          <w:rFonts w:ascii="Times New Roman" w:hAnsi="Times New Roman" w:cs="Times New Roman"/>
          <w:sz w:val="24"/>
          <w:szCs w:val="24"/>
          <w:vertAlign w:val="superscript"/>
        </w:rPr>
        <w:t>th</w:t>
      </w:r>
      <w:r w:rsidR="008F5D58" w:rsidRPr="00300902">
        <w:rPr>
          <w:rFonts w:ascii="Times New Roman" w:hAnsi="Times New Roman" w:cs="Times New Roman"/>
          <w:sz w:val="24"/>
          <w:szCs w:val="24"/>
        </w:rPr>
        <w:t xml:space="preserve"> of August 2023,</w:t>
      </w:r>
      <w:r w:rsidR="005513F3" w:rsidRPr="00300902">
        <w:rPr>
          <w:rFonts w:ascii="Times New Roman" w:hAnsi="Times New Roman" w:cs="Times New Roman"/>
          <w:sz w:val="24"/>
          <w:szCs w:val="24"/>
        </w:rPr>
        <w:t xml:space="preserve"> within the </w:t>
      </w:r>
      <w:r w:rsidR="00030C1B" w:rsidRPr="00300902">
        <w:rPr>
          <w:rFonts w:ascii="Times New Roman" w:hAnsi="Times New Roman" w:cs="Times New Roman"/>
          <w:sz w:val="24"/>
          <w:szCs w:val="24"/>
        </w:rPr>
        <w:t>three-year</w:t>
      </w:r>
      <w:r w:rsidR="005513F3" w:rsidRPr="00300902">
        <w:rPr>
          <w:rFonts w:ascii="Times New Roman" w:hAnsi="Times New Roman" w:cs="Times New Roman"/>
          <w:sz w:val="24"/>
          <w:szCs w:val="24"/>
        </w:rPr>
        <w:t xml:space="preserve"> extinctive period.  Punitive costs are not justified as they defeat a party’s right of access to the courts and to be heard.</w:t>
      </w:r>
    </w:p>
    <w:p w14:paraId="408338EC" w14:textId="6CCAB601" w:rsidR="005513F3" w:rsidRPr="00300902" w:rsidRDefault="00030C1B" w:rsidP="00300902">
      <w:pPr>
        <w:shd w:val="clear" w:color="auto" w:fill="FFFFFF"/>
        <w:tabs>
          <w:tab w:val="center" w:pos="4513"/>
        </w:tabs>
        <w:spacing w:before="100" w:beforeAutospacing="1" w:after="150" w:line="384" w:lineRule="atLeast"/>
        <w:jc w:val="both"/>
        <w:rPr>
          <w:rFonts w:ascii="Times New Roman" w:hAnsi="Times New Roman" w:cs="Times New Roman"/>
          <w:sz w:val="24"/>
          <w:szCs w:val="24"/>
        </w:rPr>
      </w:pPr>
      <w:r w:rsidRPr="00300902">
        <w:rPr>
          <w:rFonts w:ascii="Times New Roman" w:hAnsi="Times New Roman" w:cs="Times New Roman"/>
          <w:sz w:val="24"/>
          <w:szCs w:val="24"/>
        </w:rPr>
        <w:t>Accordingly,</w:t>
      </w:r>
      <w:r w:rsidR="005513F3" w:rsidRPr="00300902">
        <w:rPr>
          <w:rFonts w:ascii="Times New Roman" w:hAnsi="Times New Roman" w:cs="Times New Roman"/>
          <w:sz w:val="24"/>
          <w:szCs w:val="24"/>
        </w:rPr>
        <w:t xml:space="preserve"> </w:t>
      </w:r>
      <w:r w:rsidR="008F5D58" w:rsidRPr="00300902">
        <w:rPr>
          <w:rFonts w:ascii="Times New Roman" w:hAnsi="Times New Roman" w:cs="Times New Roman"/>
          <w:sz w:val="24"/>
          <w:szCs w:val="24"/>
        </w:rPr>
        <w:t>it is ordered</w:t>
      </w:r>
      <w:r w:rsidR="00300902" w:rsidRPr="00300902">
        <w:rPr>
          <w:rFonts w:ascii="Times New Roman" w:hAnsi="Times New Roman" w:cs="Times New Roman"/>
          <w:sz w:val="24"/>
          <w:szCs w:val="24"/>
        </w:rPr>
        <w:t xml:space="preserve"> that:</w:t>
      </w:r>
      <w:r w:rsidR="008F5D58" w:rsidRPr="00300902">
        <w:rPr>
          <w:rFonts w:ascii="Times New Roman" w:hAnsi="Times New Roman" w:cs="Times New Roman"/>
          <w:sz w:val="24"/>
          <w:szCs w:val="24"/>
        </w:rPr>
        <w:tab/>
      </w:r>
    </w:p>
    <w:p w14:paraId="7525D382" w14:textId="40368830" w:rsidR="005513F3" w:rsidRPr="00275F3C" w:rsidRDefault="005513F3" w:rsidP="00275F3C">
      <w:pPr>
        <w:pStyle w:val="ListParagraph"/>
        <w:numPr>
          <w:ilvl w:val="0"/>
          <w:numId w:val="36"/>
        </w:numPr>
        <w:shd w:val="clear" w:color="auto" w:fill="FFFFFF"/>
        <w:tabs>
          <w:tab w:val="left" w:pos="5565"/>
        </w:tabs>
        <w:spacing w:before="100" w:beforeAutospacing="1" w:after="150" w:line="384" w:lineRule="atLeast"/>
        <w:jc w:val="both"/>
        <w:rPr>
          <w:rFonts w:ascii="Times New Roman" w:hAnsi="Times New Roman" w:cs="Times New Roman"/>
          <w:sz w:val="24"/>
          <w:szCs w:val="24"/>
        </w:rPr>
      </w:pPr>
      <w:r w:rsidRPr="00275F3C">
        <w:rPr>
          <w:rFonts w:ascii="Times New Roman" w:hAnsi="Times New Roman" w:cs="Times New Roman"/>
          <w:sz w:val="24"/>
          <w:szCs w:val="24"/>
        </w:rPr>
        <w:t xml:space="preserve">The plaintiff’s point of law </w:t>
      </w:r>
      <w:r w:rsidRPr="00275F3C">
        <w:rPr>
          <w:rFonts w:ascii="Times New Roman" w:hAnsi="Times New Roman" w:cs="Times New Roman"/>
          <w:i/>
          <w:sz w:val="24"/>
          <w:szCs w:val="24"/>
        </w:rPr>
        <w:t xml:space="preserve">in </w:t>
      </w:r>
      <w:proofErr w:type="spellStart"/>
      <w:r w:rsidRPr="00275F3C">
        <w:rPr>
          <w:rFonts w:ascii="Times New Roman" w:hAnsi="Times New Roman" w:cs="Times New Roman"/>
          <w:i/>
          <w:sz w:val="24"/>
          <w:szCs w:val="24"/>
        </w:rPr>
        <w:t>limine</w:t>
      </w:r>
      <w:proofErr w:type="spellEnd"/>
      <w:r w:rsidRPr="00275F3C">
        <w:rPr>
          <w:rFonts w:ascii="Times New Roman" w:hAnsi="Times New Roman" w:cs="Times New Roman"/>
          <w:sz w:val="24"/>
          <w:szCs w:val="24"/>
        </w:rPr>
        <w:t xml:space="preserve"> is hereby dismissed.</w:t>
      </w:r>
    </w:p>
    <w:p w14:paraId="795C25BF" w14:textId="757D181E" w:rsidR="005513F3" w:rsidRPr="00275F3C" w:rsidRDefault="005513F3" w:rsidP="00275F3C">
      <w:pPr>
        <w:pStyle w:val="ListParagraph"/>
        <w:numPr>
          <w:ilvl w:val="0"/>
          <w:numId w:val="36"/>
        </w:numPr>
        <w:shd w:val="clear" w:color="auto" w:fill="FFFFFF"/>
        <w:tabs>
          <w:tab w:val="left" w:pos="5565"/>
        </w:tabs>
        <w:spacing w:before="100" w:beforeAutospacing="1" w:after="150" w:line="384" w:lineRule="atLeast"/>
        <w:jc w:val="both"/>
        <w:rPr>
          <w:rFonts w:ascii="Times New Roman" w:eastAsia="Times New Roman" w:hAnsi="Times New Roman" w:cs="Times New Roman"/>
          <w:sz w:val="24"/>
          <w:szCs w:val="24"/>
          <w:lang w:val="en-GB" w:eastAsia="en-ZW"/>
        </w:rPr>
      </w:pPr>
      <w:r w:rsidRPr="00275F3C">
        <w:rPr>
          <w:rFonts w:ascii="Times New Roman" w:eastAsia="Times New Roman" w:hAnsi="Times New Roman" w:cs="Times New Roman"/>
          <w:sz w:val="24"/>
          <w:szCs w:val="24"/>
          <w:lang w:val="en-GB" w:eastAsia="en-ZW"/>
        </w:rPr>
        <w:t>The plea of pr</w:t>
      </w:r>
      <w:r w:rsidR="00DD2E31" w:rsidRPr="00275F3C">
        <w:rPr>
          <w:rFonts w:ascii="Times New Roman" w:eastAsia="Times New Roman" w:hAnsi="Times New Roman" w:cs="Times New Roman"/>
          <w:sz w:val="24"/>
          <w:szCs w:val="24"/>
          <w:lang w:val="en-GB" w:eastAsia="en-ZW"/>
        </w:rPr>
        <w:t>e</w:t>
      </w:r>
      <w:r w:rsidRPr="00275F3C">
        <w:rPr>
          <w:rFonts w:ascii="Times New Roman" w:eastAsia="Times New Roman" w:hAnsi="Times New Roman" w:cs="Times New Roman"/>
          <w:sz w:val="24"/>
          <w:szCs w:val="24"/>
          <w:lang w:val="en-GB" w:eastAsia="en-ZW"/>
        </w:rPr>
        <w:t>scription is dismissed</w:t>
      </w:r>
      <w:r w:rsidR="00C35779">
        <w:rPr>
          <w:rFonts w:ascii="Times New Roman" w:eastAsia="Times New Roman" w:hAnsi="Times New Roman" w:cs="Times New Roman"/>
          <w:sz w:val="24"/>
          <w:szCs w:val="24"/>
          <w:lang w:val="en-GB" w:eastAsia="en-ZW"/>
        </w:rPr>
        <w:t>.</w:t>
      </w:r>
    </w:p>
    <w:p w14:paraId="59A1E677" w14:textId="5B131D19" w:rsidR="00D7278C" w:rsidRPr="00275F3C" w:rsidRDefault="005513F3" w:rsidP="00275F3C">
      <w:pPr>
        <w:pStyle w:val="ListParagraph"/>
        <w:numPr>
          <w:ilvl w:val="0"/>
          <w:numId w:val="36"/>
        </w:numPr>
        <w:shd w:val="clear" w:color="auto" w:fill="FFFFFF"/>
        <w:tabs>
          <w:tab w:val="left" w:pos="5565"/>
        </w:tabs>
        <w:spacing w:before="100" w:beforeAutospacing="1" w:after="150" w:line="384" w:lineRule="atLeast"/>
        <w:jc w:val="both"/>
        <w:rPr>
          <w:rFonts w:ascii="Times New Roman" w:eastAsia="Times New Roman" w:hAnsi="Times New Roman" w:cs="Times New Roman"/>
          <w:sz w:val="24"/>
          <w:szCs w:val="24"/>
          <w:lang w:eastAsia="en-ZW"/>
        </w:rPr>
      </w:pPr>
      <w:r w:rsidRPr="00275F3C">
        <w:rPr>
          <w:rFonts w:ascii="Times New Roman" w:eastAsia="Times New Roman" w:hAnsi="Times New Roman" w:cs="Times New Roman"/>
          <w:sz w:val="24"/>
          <w:szCs w:val="24"/>
          <w:lang w:val="en-GB" w:eastAsia="en-ZW"/>
        </w:rPr>
        <w:t>The matter is remitted to trial for continuation on the merits</w:t>
      </w:r>
      <w:r w:rsidR="00C35779">
        <w:rPr>
          <w:rFonts w:ascii="Times New Roman" w:eastAsia="Times New Roman" w:hAnsi="Times New Roman" w:cs="Times New Roman"/>
          <w:sz w:val="24"/>
          <w:szCs w:val="24"/>
          <w:lang w:val="en-GB" w:eastAsia="en-ZW"/>
        </w:rPr>
        <w:t>.</w:t>
      </w:r>
    </w:p>
    <w:p w14:paraId="36F010AF" w14:textId="77777777" w:rsidR="00030C1B" w:rsidRDefault="00030C1B" w:rsidP="00030C1B">
      <w:pPr>
        <w:spacing w:before="100" w:beforeAutospacing="1" w:after="100" w:afterAutospacing="1" w:line="240" w:lineRule="auto"/>
        <w:rPr>
          <w:rFonts w:ascii="Times New Roman" w:eastAsia="Times New Roman" w:hAnsi="Times New Roman" w:cs="Times New Roman"/>
          <w:i/>
          <w:color w:val="000000"/>
          <w:sz w:val="24"/>
          <w:szCs w:val="24"/>
          <w:lang w:eastAsia="en-ZW"/>
        </w:rPr>
      </w:pPr>
    </w:p>
    <w:p w14:paraId="4A7F421D" w14:textId="1A6BD3E3" w:rsidR="005F0FAB" w:rsidRPr="00275F3C" w:rsidRDefault="008A3358" w:rsidP="00275F3C">
      <w:pPr>
        <w:spacing w:before="100" w:beforeAutospacing="1" w:after="100" w:afterAutospacing="1" w:line="240" w:lineRule="auto"/>
        <w:rPr>
          <w:rFonts w:ascii="Times New Roman" w:eastAsia="Times New Roman" w:hAnsi="Times New Roman" w:cs="Times New Roman"/>
          <w:color w:val="000000"/>
          <w:sz w:val="24"/>
          <w:szCs w:val="24"/>
          <w:lang w:eastAsia="en-ZW"/>
        </w:rPr>
      </w:pPr>
      <w:proofErr w:type="spellStart"/>
      <w:r w:rsidRPr="00300902">
        <w:rPr>
          <w:rFonts w:ascii="Times New Roman" w:eastAsia="Times New Roman" w:hAnsi="Times New Roman" w:cs="Times New Roman"/>
          <w:i/>
          <w:color w:val="000000"/>
          <w:sz w:val="24"/>
          <w:szCs w:val="24"/>
          <w:lang w:eastAsia="en-ZW"/>
        </w:rPr>
        <w:t>Mushonga</w:t>
      </w:r>
      <w:proofErr w:type="spellEnd"/>
      <w:r w:rsidRPr="00300902">
        <w:rPr>
          <w:rFonts w:ascii="Times New Roman" w:eastAsia="Times New Roman" w:hAnsi="Times New Roman" w:cs="Times New Roman"/>
          <w:i/>
          <w:color w:val="000000"/>
          <w:sz w:val="24"/>
          <w:szCs w:val="24"/>
          <w:lang w:eastAsia="en-ZW"/>
        </w:rPr>
        <w:t xml:space="preserve">, </w:t>
      </w:r>
      <w:proofErr w:type="spellStart"/>
      <w:r w:rsidRPr="00300902">
        <w:rPr>
          <w:rFonts w:ascii="Times New Roman" w:eastAsia="Times New Roman" w:hAnsi="Times New Roman" w:cs="Times New Roman"/>
          <w:i/>
          <w:color w:val="000000"/>
          <w:sz w:val="24"/>
          <w:szCs w:val="24"/>
          <w:lang w:eastAsia="en-ZW"/>
        </w:rPr>
        <w:t>Mutsvairo</w:t>
      </w:r>
      <w:proofErr w:type="spellEnd"/>
      <w:r w:rsidRPr="00300902">
        <w:rPr>
          <w:rFonts w:ascii="Times New Roman" w:eastAsia="Times New Roman" w:hAnsi="Times New Roman" w:cs="Times New Roman"/>
          <w:i/>
          <w:color w:val="000000"/>
          <w:sz w:val="24"/>
          <w:szCs w:val="24"/>
          <w:lang w:eastAsia="en-ZW"/>
        </w:rPr>
        <w:t xml:space="preserve"> &amp; Associates,</w:t>
      </w:r>
      <w:r w:rsidR="00030C1B">
        <w:rPr>
          <w:rFonts w:ascii="Times New Roman" w:eastAsia="Times New Roman" w:hAnsi="Times New Roman" w:cs="Times New Roman"/>
          <w:i/>
          <w:color w:val="000000"/>
          <w:sz w:val="24"/>
          <w:szCs w:val="24"/>
          <w:lang w:eastAsia="en-ZW"/>
        </w:rPr>
        <w:t xml:space="preserve"> </w:t>
      </w:r>
      <w:r w:rsidR="00C35779">
        <w:rPr>
          <w:rFonts w:ascii="Times New Roman" w:eastAsia="Times New Roman" w:hAnsi="Times New Roman" w:cs="Times New Roman"/>
          <w:color w:val="000000"/>
          <w:sz w:val="24"/>
          <w:szCs w:val="24"/>
          <w:lang w:eastAsia="en-ZW"/>
        </w:rPr>
        <w:t>p</w:t>
      </w:r>
      <w:r w:rsidRPr="00300902">
        <w:rPr>
          <w:rFonts w:ascii="Times New Roman" w:eastAsia="Times New Roman" w:hAnsi="Times New Roman" w:cs="Times New Roman"/>
          <w:color w:val="000000"/>
          <w:sz w:val="24"/>
          <w:szCs w:val="24"/>
          <w:lang w:eastAsia="en-ZW"/>
        </w:rPr>
        <w:t>laintiff ‘s legal practitioners</w:t>
      </w:r>
      <w:r w:rsidRPr="00300902">
        <w:rPr>
          <w:rFonts w:ascii="Times New Roman" w:eastAsia="Times New Roman" w:hAnsi="Times New Roman" w:cs="Times New Roman"/>
          <w:color w:val="000000"/>
          <w:sz w:val="24"/>
          <w:szCs w:val="24"/>
          <w:lang w:eastAsia="en-ZW"/>
        </w:rPr>
        <w:br/>
      </w:r>
      <w:proofErr w:type="spellStart"/>
      <w:r w:rsidRPr="00300902">
        <w:rPr>
          <w:rFonts w:ascii="Times New Roman" w:eastAsia="Times New Roman" w:hAnsi="Times New Roman" w:cs="Times New Roman"/>
          <w:i/>
          <w:color w:val="000000"/>
          <w:sz w:val="24"/>
          <w:szCs w:val="24"/>
          <w:lang w:eastAsia="en-ZW"/>
        </w:rPr>
        <w:t>Mutuso</w:t>
      </w:r>
      <w:proofErr w:type="spellEnd"/>
      <w:r w:rsidRPr="00300902">
        <w:rPr>
          <w:rFonts w:ascii="Times New Roman" w:eastAsia="Times New Roman" w:hAnsi="Times New Roman" w:cs="Times New Roman"/>
          <w:i/>
          <w:color w:val="000000"/>
          <w:sz w:val="24"/>
          <w:szCs w:val="24"/>
          <w:lang w:eastAsia="en-ZW"/>
        </w:rPr>
        <w:t xml:space="preserve">, </w:t>
      </w:r>
      <w:proofErr w:type="spellStart"/>
      <w:r w:rsidRPr="00300902">
        <w:rPr>
          <w:rFonts w:ascii="Times New Roman" w:eastAsia="Times New Roman" w:hAnsi="Times New Roman" w:cs="Times New Roman"/>
          <w:i/>
          <w:color w:val="000000"/>
          <w:sz w:val="24"/>
          <w:szCs w:val="24"/>
          <w:lang w:eastAsia="en-ZW"/>
        </w:rPr>
        <w:t>Taruvinga</w:t>
      </w:r>
      <w:proofErr w:type="spellEnd"/>
      <w:r w:rsidRPr="00300902">
        <w:rPr>
          <w:rFonts w:ascii="Times New Roman" w:eastAsia="Times New Roman" w:hAnsi="Times New Roman" w:cs="Times New Roman"/>
          <w:i/>
          <w:color w:val="000000"/>
          <w:sz w:val="24"/>
          <w:szCs w:val="24"/>
          <w:lang w:eastAsia="en-ZW"/>
        </w:rPr>
        <w:t xml:space="preserve"> &amp; </w:t>
      </w:r>
      <w:proofErr w:type="spellStart"/>
      <w:r w:rsidRPr="00300902">
        <w:rPr>
          <w:rFonts w:ascii="Times New Roman" w:eastAsia="Times New Roman" w:hAnsi="Times New Roman" w:cs="Times New Roman"/>
          <w:i/>
          <w:color w:val="000000"/>
          <w:sz w:val="24"/>
          <w:szCs w:val="24"/>
          <w:lang w:eastAsia="en-ZW"/>
        </w:rPr>
        <w:t>Mhiribidi</w:t>
      </w:r>
      <w:proofErr w:type="spellEnd"/>
      <w:r w:rsidRPr="00300902">
        <w:rPr>
          <w:rFonts w:ascii="Times New Roman" w:eastAsia="Times New Roman" w:hAnsi="Times New Roman" w:cs="Times New Roman"/>
          <w:i/>
          <w:color w:val="000000"/>
          <w:sz w:val="24"/>
          <w:szCs w:val="24"/>
          <w:lang w:eastAsia="en-ZW"/>
        </w:rPr>
        <w:t xml:space="preserve"> </w:t>
      </w:r>
      <w:r w:rsidR="00030C1B" w:rsidRPr="00300902">
        <w:rPr>
          <w:rFonts w:ascii="Times New Roman" w:eastAsia="Times New Roman" w:hAnsi="Times New Roman" w:cs="Times New Roman"/>
          <w:i/>
          <w:color w:val="000000"/>
          <w:sz w:val="24"/>
          <w:szCs w:val="24"/>
          <w:lang w:eastAsia="en-ZW"/>
        </w:rPr>
        <w:t>Attorneys</w:t>
      </w:r>
      <w:r w:rsidR="00030C1B">
        <w:rPr>
          <w:rFonts w:ascii="Times New Roman" w:eastAsia="Times New Roman" w:hAnsi="Times New Roman" w:cs="Times New Roman"/>
          <w:i/>
          <w:color w:val="000000"/>
          <w:sz w:val="24"/>
          <w:szCs w:val="24"/>
          <w:lang w:eastAsia="en-ZW"/>
        </w:rPr>
        <w:t>,</w:t>
      </w:r>
      <w:r w:rsidR="00030C1B" w:rsidRPr="00300902">
        <w:rPr>
          <w:rFonts w:ascii="Times New Roman" w:eastAsia="Times New Roman" w:hAnsi="Times New Roman" w:cs="Times New Roman"/>
          <w:color w:val="000000"/>
          <w:sz w:val="24"/>
          <w:szCs w:val="24"/>
          <w:lang w:eastAsia="en-ZW"/>
        </w:rPr>
        <w:t xml:space="preserve"> 3</w:t>
      </w:r>
      <w:r w:rsidRPr="00300902">
        <w:rPr>
          <w:rFonts w:ascii="Times New Roman" w:eastAsia="Times New Roman" w:hAnsi="Times New Roman" w:cs="Times New Roman"/>
          <w:color w:val="000000"/>
          <w:sz w:val="24"/>
          <w:szCs w:val="24"/>
          <w:vertAlign w:val="superscript"/>
          <w:lang w:eastAsia="en-ZW"/>
        </w:rPr>
        <w:t>rd</w:t>
      </w:r>
      <w:r w:rsidRPr="00300902">
        <w:rPr>
          <w:rFonts w:ascii="Times New Roman" w:eastAsia="Times New Roman" w:hAnsi="Times New Roman" w:cs="Times New Roman"/>
          <w:color w:val="000000"/>
          <w:sz w:val="24"/>
          <w:szCs w:val="24"/>
          <w:lang w:eastAsia="en-ZW"/>
        </w:rPr>
        <w:t xml:space="preserve"> defendant’s legal practitioners</w:t>
      </w:r>
      <w:r w:rsidRPr="00300902">
        <w:rPr>
          <w:rFonts w:ascii="Times New Roman" w:eastAsia="Times New Roman" w:hAnsi="Times New Roman" w:cs="Times New Roman"/>
          <w:color w:val="000000"/>
          <w:sz w:val="24"/>
          <w:szCs w:val="24"/>
          <w:lang w:eastAsia="en-ZW"/>
        </w:rPr>
        <w:br/>
      </w:r>
      <w:proofErr w:type="spellStart"/>
      <w:r w:rsidRPr="00300902">
        <w:rPr>
          <w:rFonts w:ascii="Times New Roman" w:eastAsia="Times New Roman" w:hAnsi="Times New Roman" w:cs="Times New Roman"/>
          <w:i/>
          <w:color w:val="000000"/>
          <w:sz w:val="24"/>
          <w:szCs w:val="24"/>
          <w:lang w:eastAsia="en-ZW"/>
        </w:rPr>
        <w:t>Chimuka</w:t>
      </w:r>
      <w:proofErr w:type="spellEnd"/>
      <w:r w:rsidRPr="00300902">
        <w:rPr>
          <w:rFonts w:ascii="Times New Roman" w:eastAsia="Times New Roman" w:hAnsi="Times New Roman" w:cs="Times New Roman"/>
          <w:i/>
          <w:color w:val="000000"/>
          <w:sz w:val="24"/>
          <w:szCs w:val="24"/>
          <w:lang w:eastAsia="en-ZW"/>
        </w:rPr>
        <w:t xml:space="preserve"> </w:t>
      </w:r>
      <w:proofErr w:type="spellStart"/>
      <w:r w:rsidRPr="00300902">
        <w:rPr>
          <w:rFonts w:ascii="Times New Roman" w:eastAsia="Times New Roman" w:hAnsi="Times New Roman" w:cs="Times New Roman"/>
          <w:i/>
          <w:color w:val="000000"/>
          <w:sz w:val="24"/>
          <w:szCs w:val="24"/>
          <w:lang w:eastAsia="en-ZW"/>
        </w:rPr>
        <w:t>Mafunga</w:t>
      </w:r>
      <w:proofErr w:type="spellEnd"/>
      <w:r w:rsidRPr="00300902">
        <w:rPr>
          <w:rFonts w:ascii="Times New Roman" w:eastAsia="Times New Roman" w:hAnsi="Times New Roman" w:cs="Times New Roman"/>
          <w:i/>
          <w:color w:val="000000"/>
          <w:sz w:val="24"/>
          <w:szCs w:val="24"/>
          <w:lang w:eastAsia="en-ZW"/>
        </w:rPr>
        <w:t xml:space="preserve"> Commercial </w:t>
      </w:r>
      <w:r w:rsidR="00030C1B" w:rsidRPr="00300902">
        <w:rPr>
          <w:rFonts w:ascii="Times New Roman" w:eastAsia="Times New Roman" w:hAnsi="Times New Roman" w:cs="Times New Roman"/>
          <w:i/>
          <w:color w:val="000000"/>
          <w:sz w:val="24"/>
          <w:szCs w:val="24"/>
          <w:lang w:eastAsia="en-ZW"/>
        </w:rPr>
        <w:t>Attorneys,</w:t>
      </w:r>
      <w:r w:rsidR="00030C1B" w:rsidRPr="00300902">
        <w:rPr>
          <w:rFonts w:ascii="Times New Roman" w:eastAsia="Times New Roman" w:hAnsi="Times New Roman" w:cs="Times New Roman"/>
          <w:color w:val="000000"/>
          <w:sz w:val="24"/>
          <w:szCs w:val="24"/>
          <w:lang w:eastAsia="en-ZW"/>
        </w:rPr>
        <w:t xml:space="preserve"> 6</w:t>
      </w:r>
      <w:r w:rsidRPr="00300902">
        <w:rPr>
          <w:rFonts w:ascii="Times New Roman" w:eastAsia="Times New Roman" w:hAnsi="Times New Roman" w:cs="Times New Roman"/>
          <w:color w:val="000000"/>
          <w:sz w:val="24"/>
          <w:szCs w:val="24"/>
          <w:vertAlign w:val="superscript"/>
          <w:lang w:eastAsia="en-ZW"/>
        </w:rPr>
        <w:t>th</w:t>
      </w:r>
      <w:r w:rsidRPr="00300902">
        <w:rPr>
          <w:rFonts w:ascii="Times New Roman" w:eastAsia="Times New Roman" w:hAnsi="Times New Roman" w:cs="Times New Roman"/>
          <w:color w:val="000000"/>
          <w:sz w:val="24"/>
          <w:szCs w:val="24"/>
          <w:lang w:eastAsia="en-ZW"/>
        </w:rPr>
        <w:t xml:space="preserve"> </w:t>
      </w:r>
      <w:r w:rsidR="00030C1B">
        <w:rPr>
          <w:rFonts w:ascii="Times New Roman" w:eastAsia="Times New Roman" w:hAnsi="Times New Roman" w:cs="Times New Roman"/>
          <w:color w:val="000000"/>
          <w:sz w:val="24"/>
          <w:szCs w:val="24"/>
          <w:lang w:eastAsia="en-ZW"/>
        </w:rPr>
        <w:t>d</w:t>
      </w:r>
      <w:r w:rsidR="00030C1B" w:rsidRPr="00300902">
        <w:rPr>
          <w:rFonts w:ascii="Times New Roman" w:eastAsia="Times New Roman" w:hAnsi="Times New Roman" w:cs="Times New Roman"/>
          <w:color w:val="000000"/>
          <w:sz w:val="24"/>
          <w:szCs w:val="24"/>
          <w:lang w:eastAsia="en-ZW"/>
        </w:rPr>
        <w:t>efendant’s legal</w:t>
      </w:r>
      <w:r w:rsidRPr="00300902">
        <w:rPr>
          <w:rFonts w:ascii="Times New Roman" w:eastAsia="Times New Roman" w:hAnsi="Times New Roman" w:cs="Times New Roman"/>
          <w:color w:val="000000"/>
          <w:sz w:val="24"/>
          <w:szCs w:val="24"/>
          <w:lang w:eastAsia="en-ZW"/>
        </w:rPr>
        <w:t xml:space="preserve"> practitioners</w:t>
      </w:r>
    </w:p>
    <w:sectPr w:rsidR="005F0FAB" w:rsidRPr="00275F3C" w:rsidSect="0050194E">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45B1B" w14:textId="77777777" w:rsidR="007A0D2B" w:rsidRDefault="007A0D2B" w:rsidP="00C373F1">
      <w:pPr>
        <w:spacing w:after="0" w:line="240" w:lineRule="auto"/>
      </w:pPr>
      <w:r>
        <w:separator/>
      </w:r>
    </w:p>
  </w:endnote>
  <w:endnote w:type="continuationSeparator" w:id="0">
    <w:p w14:paraId="42F6784F" w14:textId="77777777" w:rsidR="007A0D2B" w:rsidRDefault="007A0D2B"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7836" w14:textId="77777777" w:rsidR="007A0D2B" w:rsidRDefault="007A0D2B" w:rsidP="00C373F1">
      <w:pPr>
        <w:spacing w:after="0" w:line="240" w:lineRule="auto"/>
      </w:pPr>
      <w:r>
        <w:separator/>
      </w:r>
    </w:p>
  </w:footnote>
  <w:footnote w:type="continuationSeparator" w:id="0">
    <w:p w14:paraId="65EC9CB3" w14:textId="77777777" w:rsidR="007A0D2B" w:rsidRDefault="007A0D2B" w:rsidP="00C373F1">
      <w:pPr>
        <w:spacing w:after="0" w:line="240" w:lineRule="auto"/>
      </w:pPr>
      <w:r>
        <w:continuationSeparator/>
      </w:r>
    </w:p>
  </w:footnote>
  <w:footnote w:id="1">
    <w:p w14:paraId="3E27FFDB" w14:textId="77777777" w:rsidR="00485977" w:rsidRPr="00DC151C" w:rsidRDefault="00485977" w:rsidP="00DC151C">
      <w:pPr>
        <w:autoSpaceDE w:val="0"/>
        <w:autoSpaceDN w:val="0"/>
        <w:adjustRightInd w:val="0"/>
        <w:spacing w:after="0" w:line="240" w:lineRule="auto"/>
        <w:rPr>
          <w:rFonts w:ascii="Times New Roman" w:hAnsi="Times New Roman" w:cs="Times New Roman"/>
          <w:b/>
          <w:bCs/>
          <w:color w:val="231F20"/>
          <w:sz w:val="16"/>
          <w:szCs w:val="16"/>
        </w:rPr>
      </w:pPr>
      <w:r>
        <w:rPr>
          <w:rStyle w:val="FootnoteReference"/>
        </w:rPr>
        <w:footnoteRef/>
      </w:r>
      <w:r>
        <w:t xml:space="preserve"> </w:t>
      </w:r>
      <w:r w:rsidRPr="00DC151C">
        <w:rPr>
          <w:rFonts w:ascii="Times New Roman" w:hAnsi="Times New Roman" w:cs="Times New Roman"/>
          <w:b/>
          <w:bCs/>
          <w:color w:val="231F20"/>
          <w:sz w:val="16"/>
          <w:szCs w:val="16"/>
        </w:rPr>
        <w:t>High Court may determine future or contingent rights</w:t>
      </w:r>
    </w:p>
    <w:p w14:paraId="1F8F5093" w14:textId="77777777" w:rsidR="00485977" w:rsidRPr="00DC151C" w:rsidRDefault="00485977" w:rsidP="00DC151C">
      <w:pPr>
        <w:autoSpaceDE w:val="0"/>
        <w:autoSpaceDN w:val="0"/>
        <w:adjustRightInd w:val="0"/>
        <w:spacing w:after="0" w:line="240" w:lineRule="auto"/>
        <w:rPr>
          <w:rFonts w:ascii="Times New Roman" w:hAnsi="Times New Roman" w:cs="Times New Roman"/>
          <w:color w:val="231F20"/>
          <w:sz w:val="16"/>
          <w:szCs w:val="16"/>
        </w:rPr>
      </w:pPr>
      <w:r w:rsidRPr="00DC151C">
        <w:rPr>
          <w:rFonts w:ascii="Times New Roman" w:hAnsi="Times New Roman" w:cs="Times New Roman"/>
          <w:color w:val="231F20"/>
          <w:sz w:val="16"/>
          <w:szCs w:val="16"/>
        </w:rPr>
        <w:t>The High Court may, in its discretion, at the instance of any interested person, inquire into and</w:t>
      </w:r>
    </w:p>
    <w:p w14:paraId="5812CCFA" w14:textId="77777777" w:rsidR="00485977" w:rsidRPr="00DC151C" w:rsidRDefault="00485977" w:rsidP="00DC151C">
      <w:pPr>
        <w:autoSpaceDE w:val="0"/>
        <w:autoSpaceDN w:val="0"/>
        <w:adjustRightInd w:val="0"/>
        <w:spacing w:after="0" w:line="240" w:lineRule="auto"/>
        <w:rPr>
          <w:rFonts w:ascii="Times New Roman" w:hAnsi="Times New Roman" w:cs="Times New Roman"/>
          <w:color w:val="231F20"/>
          <w:sz w:val="16"/>
          <w:szCs w:val="16"/>
        </w:rPr>
      </w:pPr>
      <w:r w:rsidRPr="00DC151C">
        <w:rPr>
          <w:rFonts w:ascii="Times New Roman" w:hAnsi="Times New Roman" w:cs="Times New Roman"/>
          <w:color w:val="231F20"/>
          <w:sz w:val="16"/>
          <w:szCs w:val="16"/>
        </w:rPr>
        <w:t>determine any existing, future or contingent right or obligation, notwithstanding that such person</w:t>
      </w:r>
    </w:p>
    <w:p w14:paraId="2EF08979" w14:textId="636C0F0B" w:rsidR="00485977" w:rsidRPr="00DC151C" w:rsidRDefault="00485977" w:rsidP="00393885">
      <w:pPr>
        <w:autoSpaceDE w:val="0"/>
        <w:autoSpaceDN w:val="0"/>
        <w:adjustRightInd w:val="0"/>
        <w:spacing w:after="0" w:line="240" w:lineRule="auto"/>
        <w:jc w:val="both"/>
        <w:rPr>
          <w:rFonts w:ascii="Helvetica" w:eastAsia="Times New Roman" w:hAnsi="Helvetica" w:cs="Times New Roman"/>
          <w:sz w:val="16"/>
          <w:szCs w:val="16"/>
          <w:lang w:val="en-US" w:eastAsia="en-ZW"/>
        </w:rPr>
      </w:pPr>
      <w:r w:rsidRPr="00DC151C">
        <w:rPr>
          <w:rFonts w:ascii="Times New Roman" w:hAnsi="Times New Roman" w:cs="Times New Roman"/>
          <w:color w:val="231F20"/>
          <w:sz w:val="16"/>
          <w:szCs w:val="16"/>
        </w:rPr>
        <w:t>cannot claim any relief consequential upon such determination.</w:t>
      </w:r>
      <w:r w:rsidRPr="00DC151C">
        <w:rPr>
          <w:rFonts w:ascii="Times New Roman" w:eastAsia="Times New Roman" w:hAnsi="Times New Roman" w:cs="Times New Roman"/>
          <w:sz w:val="16"/>
          <w:szCs w:val="16"/>
          <w:lang w:val="en-US" w:eastAsia="en-ZW"/>
        </w:rPr>
        <w:t>The meaning of this section was amply pronounced in </w:t>
      </w:r>
      <w:r w:rsidRPr="00DC151C">
        <w:rPr>
          <w:rFonts w:ascii="Times New Roman" w:eastAsia="Times New Roman" w:hAnsi="Times New Roman" w:cs="Times New Roman"/>
          <w:i/>
          <w:sz w:val="16"/>
          <w:szCs w:val="16"/>
          <w:lang w:val="en-US" w:eastAsia="en-ZW"/>
        </w:rPr>
        <w:t>Johnsen v Agricultural Finance Corporation</w:t>
      </w:r>
      <w:r w:rsidRPr="00DC151C">
        <w:rPr>
          <w:rFonts w:ascii="Times New Roman" w:eastAsia="Times New Roman" w:hAnsi="Times New Roman" w:cs="Times New Roman"/>
          <w:i/>
          <w:iCs/>
          <w:sz w:val="16"/>
          <w:szCs w:val="16"/>
          <w:lang w:val="en-US" w:eastAsia="en-ZW"/>
        </w:rPr>
        <w:t> </w:t>
      </w:r>
      <w:r w:rsidRPr="00DC151C">
        <w:rPr>
          <w:rFonts w:ascii="Times New Roman" w:eastAsia="Times New Roman" w:hAnsi="Times New Roman" w:cs="Times New Roman"/>
          <w:i/>
          <w:sz w:val="16"/>
          <w:szCs w:val="16"/>
          <w:lang w:val="en-US" w:eastAsia="en-ZW"/>
        </w:rPr>
        <w:t>1995 (1) ZLR 65 (S) at 72E-</w:t>
      </w:r>
      <w:r w:rsidRPr="00DC151C">
        <w:rPr>
          <w:rFonts w:ascii="Times New Roman" w:eastAsia="Times New Roman" w:hAnsi="Times New Roman" w:cs="Times New Roman"/>
          <w:sz w:val="16"/>
          <w:szCs w:val="16"/>
          <w:lang w:val="en-US" w:eastAsia="en-ZW"/>
        </w:rPr>
        <w:t>F where GUBBAY CJ said that:</w:t>
      </w:r>
    </w:p>
    <w:p w14:paraId="5CD6BFAC" w14:textId="77777777" w:rsidR="00485977" w:rsidRPr="00DC151C" w:rsidRDefault="00485977" w:rsidP="00393885">
      <w:pPr>
        <w:spacing w:line="240" w:lineRule="auto"/>
        <w:jc w:val="both"/>
        <w:rPr>
          <w:rFonts w:ascii="Times New Roman" w:eastAsia="Times New Roman" w:hAnsi="Times New Roman" w:cs="Times New Roman"/>
          <w:sz w:val="16"/>
          <w:szCs w:val="16"/>
          <w:lang w:val="en-US" w:eastAsia="en-ZW"/>
        </w:rPr>
      </w:pPr>
      <w:r w:rsidRPr="00DC151C">
        <w:rPr>
          <w:rFonts w:ascii="Helvetica" w:eastAsia="Times New Roman" w:hAnsi="Helvetica" w:cs="Times New Roman"/>
          <w:sz w:val="16"/>
          <w:szCs w:val="16"/>
          <w:lang w:val="en-US" w:eastAsia="en-ZW"/>
        </w:rPr>
        <w:t>“</w:t>
      </w:r>
      <w:r w:rsidRPr="00DC151C">
        <w:rPr>
          <w:rFonts w:ascii="Times New Roman" w:eastAsia="Times New Roman" w:hAnsi="Times New Roman" w:cs="Times New Roman"/>
          <w:sz w:val="16"/>
          <w:szCs w:val="16"/>
          <w:lang w:val="en-US" w:eastAsia="en-ZW"/>
        </w:rPr>
        <w:t>The condition precedent to the grant of a declaratory order under section 14 of the High Court of Zimbabwe Act 1981 is that the applicant must be an 'interested person' in the sense of having a direct and substantial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 interested is not a prerequisite to the exercise of jurisdiction.”</w:t>
      </w:r>
    </w:p>
    <w:p w14:paraId="358405B9" w14:textId="77777777" w:rsidR="00485977" w:rsidRPr="00DC151C" w:rsidRDefault="00485977" w:rsidP="00393885">
      <w:pPr>
        <w:jc w:val="both"/>
        <w:rPr>
          <w:rFonts w:ascii="new roman" w:eastAsia="Times New Roman" w:hAnsi="new roman" w:cs="Arial"/>
          <w:sz w:val="16"/>
          <w:szCs w:val="16"/>
          <w:lang w:val="en-GB" w:eastAsia="en-ZW"/>
        </w:rPr>
      </w:pPr>
      <w:r w:rsidRPr="00DC151C">
        <w:rPr>
          <w:rFonts w:ascii="new roman" w:eastAsia="Times New Roman" w:hAnsi="new roman" w:cs="Arial"/>
          <w:sz w:val="16"/>
          <w:szCs w:val="16"/>
          <w:lang w:val="en-GB" w:eastAsia="en-ZW"/>
        </w:rPr>
        <w:t xml:space="preserve">MALABA J.as he then was  in the case of </w:t>
      </w:r>
      <w:r w:rsidRPr="00DC151C">
        <w:rPr>
          <w:rFonts w:ascii="new roman" w:eastAsia="Times New Roman" w:hAnsi="new roman" w:cs="Arial"/>
          <w:i/>
          <w:sz w:val="16"/>
          <w:szCs w:val="16"/>
          <w:lang w:val="en-GB" w:eastAsia="en-ZW"/>
        </w:rPr>
        <w:t>Peebles v Dairiboard Zimbabwe</w:t>
      </w:r>
      <w:r w:rsidRPr="00DC151C">
        <w:rPr>
          <w:rFonts w:ascii="new roman" w:eastAsia="Times New Roman" w:hAnsi="new roman" w:cs="Arial"/>
          <w:sz w:val="16"/>
          <w:szCs w:val="16"/>
          <w:lang w:val="en-GB" w:eastAsia="en-ZW"/>
        </w:rPr>
        <w:t xml:space="preserve"> (Pvt) Ltd 1999 (1) ZLR 41 (H)highlighted that,</w:t>
      </w:r>
    </w:p>
    <w:p w14:paraId="24DC54B0" w14:textId="77777777" w:rsidR="00485977" w:rsidRPr="003D5A8E" w:rsidRDefault="00485977" w:rsidP="00393885">
      <w:pPr>
        <w:spacing w:line="240" w:lineRule="auto"/>
        <w:jc w:val="both"/>
        <w:rPr>
          <w:rFonts w:ascii="new roman" w:hAnsi="new roman" w:cs="Times New Roman"/>
          <w:sz w:val="16"/>
          <w:szCs w:val="16"/>
        </w:rPr>
      </w:pPr>
      <w:r>
        <w:rPr>
          <w:rFonts w:ascii="new roman" w:eastAsia="Times New Roman" w:hAnsi="new roman" w:cs="Arial"/>
          <w:sz w:val="24"/>
          <w:szCs w:val="24"/>
          <w:lang w:val="en-GB" w:eastAsia="en-ZW"/>
        </w:rPr>
        <w:t xml:space="preserve"> </w:t>
      </w:r>
      <w:r w:rsidRPr="00DC151C">
        <w:rPr>
          <w:rFonts w:ascii="new roman" w:eastAsia="Times New Roman" w:hAnsi="new roman" w:cs="Arial"/>
          <w:sz w:val="16"/>
          <w:szCs w:val="16"/>
          <w:lang w:val="en-GB" w:eastAsia="en-ZW"/>
        </w:rPr>
        <w:t>‘T</w:t>
      </w:r>
      <w:r w:rsidRPr="00DC151C">
        <w:rPr>
          <w:rFonts w:ascii="new roman" w:hAnsi="new roman"/>
          <w:sz w:val="16"/>
          <w:szCs w:val="16"/>
          <w:shd w:val="clear" w:color="auto" w:fill="FFFFFF"/>
        </w:rPr>
        <w:t>he power of this court to issue a declaratory order in the matter is not in dispute. It is trite that where there is a concrete controversy involving the invasion of an applicant's rights, the courts will issue a declaratory order in the matter, whether it is exercising its inherent jurisdiction or acting under</w:t>
      </w:r>
      <w:r w:rsidRPr="005E0419">
        <w:rPr>
          <w:rFonts w:ascii="new roman" w:hAnsi="new roman"/>
          <w:shd w:val="clear" w:color="auto" w:fill="FFFFFF"/>
        </w:rPr>
        <w:t xml:space="preserve"> </w:t>
      </w:r>
      <w:r w:rsidRPr="00DC151C">
        <w:rPr>
          <w:rFonts w:ascii="new roman" w:hAnsi="new roman"/>
          <w:sz w:val="16"/>
          <w:szCs w:val="16"/>
          <w:shd w:val="clear" w:color="auto" w:fill="FFFFFF"/>
        </w:rPr>
        <w:t>the specific powers granted it under section 14 of the High Court Act [Chapter</w:t>
      </w:r>
      <w:r w:rsidRPr="007A0862">
        <w:rPr>
          <w:rFonts w:ascii="new roman" w:hAnsi="new roman"/>
          <w:sz w:val="24"/>
          <w:szCs w:val="24"/>
          <w:shd w:val="clear" w:color="auto" w:fill="FFFFFF"/>
        </w:rPr>
        <w:t xml:space="preserve"> 7.06]</w:t>
      </w:r>
      <w:r>
        <w:rPr>
          <w:rFonts w:ascii="new roman" w:hAnsi="new roman"/>
          <w:sz w:val="24"/>
          <w:szCs w:val="24"/>
          <w:shd w:val="clear" w:color="auto" w:fill="FFFFFF"/>
        </w:rPr>
        <w:t>”</w:t>
      </w:r>
      <w:r w:rsidRPr="007A0862">
        <w:rPr>
          <w:rFonts w:ascii="new roman" w:hAnsi="new roman"/>
          <w:sz w:val="24"/>
          <w:szCs w:val="24"/>
          <w:shd w:val="clear" w:color="auto" w:fill="FFFFFF"/>
        </w:rPr>
        <w:t>. (See </w:t>
      </w:r>
      <w:r w:rsidRPr="007A0862">
        <w:rPr>
          <w:rFonts w:ascii="new roman" w:hAnsi="new roman"/>
          <w:i/>
          <w:iCs/>
          <w:sz w:val="24"/>
          <w:szCs w:val="24"/>
          <w:shd w:val="clear" w:color="auto" w:fill="FFFFFF"/>
        </w:rPr>
        <w:t xml:space="preserve">Nolan v </w:t>
      </w:r>
      <w:r w:rsidRPr="003D5A8E">
        <w:rPr>
          <w:rFonts w:ascii="new roman" w:hAnsi="new roman"/>
          <w:i/>
          <w:iCs/>
          <w:sz w:val="16"/>
          <w:szCs w:val="16"/>
          <w:shd w:val="clear" w:color="auto" w:fill="FFFFFF"/>
        </w:rPr>
        <w:t>Povall and Others</w:t>
      </w:r>
      <w:r w:rsidRPr="003D5A8E">
        <w:rPr>
          <w:rFonts w:ascii="new roman" w:hAnsi="new roman"/>
          <w:sz w:val="16"/>
          <w:szCs w:val="16"/>
          <w:shd w:val="clear" w:color="auto" w:fill="FFFFFF"/>
        </w:rPr>
        <w:t>1953 (2) SA 202 (SR); </w:t>
      </w:r>
      <w:r w:rsidRPr="003D5A8E">
        <w:rPr>
          <w:rFonts w:ascii="new roman" w:hAnsi="new roman"/>
          <w:i/>
          <w:iCs/>
          <w:sz w:val="16"/>
          <w:szCs w:val="16"/>
          <w:shd w:val="clear" w:color="auto" w:fill="FFFFFF"/>
        </w:rPr>
        <w:t>Barron v Greendale Town Managemnt Board</w:t>
      </w:r>
      <w:r w:rsidRPr="003D5A8E">
        <w:rPr>
          <w:rFonts w:ascii="new roman" w:hAnsi="new roman"/>
          <w:sz w:val="16"/>
          <w:szCs w:val="16"/>
          <w:shd w:val="clear" w:color="auto" w:fill="FFFFFF"/>
        </w:rPr>
        <w:t> 1957 (2) SA 521 (SR); </w:t>
      </w:r>
      <w:r w:rsidRPr="003D5A8E">
        <w:rPr>
          <w:rFonts w:ascii="new roman" w:hAnsi="new roman"/>
          <w:i/>
          <w:iCs/>
          <w:sz w:val="16"/>
          <w:szCs w:val="16"/>
          <w:shd w:val="clear" w:color="auto" w:fill="FFFFFF"/>
        </w:rPr>
        <w:t>Musara v Zinatha</w:t>
      </w:r>
      <w:r w:rsidRPr="003D5A8E">
        <w:rPr>
          <w:rFonts w:ascii="new roman" w:hAnsi="new roman"/>
          <w:sz w:val="16"/>
          <w:szCs w:val="16"/>
          <w:shd w:val="clear" w:color="auto" w:fill="FFFFFF"/>
        </w:rPr>
        <w:t> 1992 (1) ZLR 9 (H) </w:t>
      </w:r>
      <w:r w:rsidRPr="003D5A8E">
        <w:rPr>
          <w:rFonts w:ascii="new roman" w:hAnsi="new roman"/>
          <w:i/>
          <w:iCs/>
          <w:sz w:val="16"/>
          <w:szCs w:val="16"/>
          <w:shd w:val="clear" w:color="auto" w:fill="FFFFFF"/>
        </w:rPr>
        <w:t>Lupu v Lupu</w:t>
      </w:r>
      <w:r w:rsidRPr="003D5A8E">
        <w:rPr>
          <w:rFonts w:ascii="new roman" w:hAnsi="new roman"/>
          <w:sz w:val="16"/>
          <w:szCs w:val="16"/>
          <w:shd w:val="clear" w:color="auto" w:fill="FFFFFF"/>
        </w:rPr>
        <w:t> 2000 (1) ZLR 120 (SC)).</w:t>
      </w:r>
    </w:p>
    <w:p w14:paraId="230D1AE4" w14:textId="08ED423C" w:rsidR="00485977" w:rsidRPr="003D5A8E" w:rsidRDefault="00485977" w:rsidP="00393885">
      <w:pPr>
        <w:pStyle w:val="FootnoteText"/>
        <w:jc w:val="both"/>
        <w:rPr>
          <w:sz w:val="16"/>
          <w:szCs w:val="16"/>
          <w:lang w:val="en-US"/>
        </w:rPr>
      </w:pPr>
    </w:p>
  </w:footnote>
  <w:footnote w:id="2">
    <w:p w14:paraId="0F4D2AB7" w14:textId="4570515C" w:rsidR="00485977" w:rsidRPr="003D5A8E" w:rsidRDefault="00485977" w:rsidP="00393885">
      <w:pPr>
        <w:pStyle w:val="FootnoteText"/>
        <w:jc w:val="both"/>
        <w:rPr>
          <w:sz w:val="16"/>
          <w:szCs w:val="16"/>
          <w:lang w:val="en-US"/>
        </w:rPr>
      </w:pPr>
      <w:r w:rsidRPr="003D5A8E">
        <w:rPr>
          <w:rStyle w:val="FootnoteReference"/>
          <w:sz w:val="16"/>
          <w:szCs w:val="16"/>
        </w:rPr>
        <w:footnoteRef/>
      </w:r>
      <w:r w:rsidRPr="003D5A8E">
        <w:rPr>
          <w:sz w:val="16"/>
          <w:szCs w:val="16"/>
        </w:rPr>
        <w:t xml:space="preserve"> </w:t>
      </w:r>
      <w:r>
        <w:rPr>
          <w:rFonts w:ascii="new roman" w:hAnsi="new roman" w:cs="Segoe UI"/>
          <w:color w:val="000000" w:themeColor="text1"/>
          <w:sz w:val="16"/>
          <w:szCs w:val="16"/>
        </w:rPr>
        <w:t>See, the dicta in</w:t>
      </w:r>
      <w:r w:rsidRPr="003D5A8E">
        <w:rPr>
          <w:rFonts w:ascii="new roman" w:hAnsi="new roman" w:cs="Segoe UI"/>
          <w:i/>
          <w:color w:val="000000" w:themeColor="text1"/>
          <w:sz w:val="16"/>
          <w:szCs w:val="16"/>
        </w:rPr>
        <w:t>Off –Beat Holiday Club and Another v Sanbonani Spa Shareblock limited and</w:t>
      </w:r>
      <w:r>
        <w:rPr>
          <w:rFonts w:ascii="new roman" w:hAnsi="new roman" w:cs="Segoe UI"/>
          <w:i/>
          <w:color w:val="000000" w:themeColor="text1"/>
          <w:sz w:val="16"/>
          <w:szCs w:val="16"/>
        </w:rPr>
        <w:t xml:space="preserve"> Another v Sanbonani Spa Shareblock Limited and Others 2017 SA 9(CC)</w:t>
      </w:r>
    </w:p>
  </w:footnote>
  <w:footnote w:id="3">
    <w:p w14:paraId="291A4863" w14:textId="77777777" w:rsidR="00485977" w:rsidRPr="00534BB7" w:rsidRDefault="00485977" w:rsidP="00393885">
      <w:pPr>
        <w:jc w:val="both"/>
        <w:rPr>
          <w:rFonts w:ascii="new roman" w:hAnsi="new roman" w:cs="Times New Roman"/>
          <w:sz w:val="16"/>
          <w:szCs w:val="16"/>
        </w:rPr>
      </w:pPr>
      <w:r>
        <w:rPr>
          <w:rStyle w:val="FootnoteReference"/>
        </w:rPr>
        <w:footnoteRef/>
      </w:r>
      <w:r>
        <w:t xml:space="preserve"> </w:t>
      </w:r>
      <w:r w:rsidRPr="00534BB7">
        <w:rPr>
          <w:rFonts w:ascii="new roman" w:hAnsi="new roman"/>
          <w:color w:val="242121"/>
          <w:sz w:val="16"/>
          <w:szCs w:val="16"/>
          <w:shd w:val="clear" w:color="auto" w:fill="FFFFFF"/>
          <w:lang w:val="en-GB"/>
        </w:rPr>
        <w:t>However, before an analysis can be undertaken as to whether the applicant’s claim constitutes a debt for purposes of the </w:t>
      </w:r>
      <w:r w:rsidRPr="00534BB7">
        <w:rPr>
          <w:rFonts w:ascii="new roman" w:hAnsi="new roman"/>
          <w:bCs/>
          <w:sz w:val="16"/>
          <w:szCs w:val="16"/>
          <w:shd w:val="clear" w:color="auto" w:fill="FFFFFF"/>
          <w:lang w:val="en-GB"/>
        </w:rPr>
        <w:t>Prescription Act.,</w:t>
      </w:r>
      <w:r w:rsidRPr="00534BB7">
        <w:rPr>
          <w:rFonts w:ascii="new roman" w:hAnsi="new roman"/>
          <w:color w:val="242121"/>
          <w:sz w:val="16"/>
          <w:szCs w:val="16"/>
          <w:shd w:val="clear" w:color="auto" w:fill="FFFFFF"/>
          <w:lang w:val="en-GB"/>
        </w:rPr>
        <w:t>must be established first what the correct characterisation of the claim is.  Because a given claim can be characterised in different ways, it can constitute a debt on one characterisation but not another.  The applicants argue that their claim is in no way a debt because it is a claim for declaratory relief, which is not a debt in the ordinary sense of the term according to </w:t>
      </w:r>
      <w:r w:rsidRPr="00534BB7">
        <w:rPr>
          <w:rFonts w:ascii="new roman" w:hAnsi="new roman"/>
          <w:i/>
          <w:iCs/>
          <w:color w:val="242121"/>
          <w:sz w:val="16"/>
          <w:szCs w:val="16"/>
          <w:shd w:val="clear" w:color="auto" w:fill="FFFFFF"/>
          <w:lang w:val="en-GB"/>
        </w:rPr>
        <w:t>Escom</w:t>
      </w:r>
      <w:r w:rsidRPr="00534BB7">
        <w:rPr>
          <w:rFonts w:ascii="new roman" w:hAnsi="new roman"/>
          <w:color w:val="242121"/>
          <w:sz w:val="16"/>
          <w:szCs w:val="16"/>
          <w:shd w:val="clear" w:color="auto" w:fill="FFFFFF"/>
          <w:lang w:val="en-GB"/>
        </w:rPr>
        <w:t>.  However, the respondents argue that the claim is a debt, because an alteration of the articles would lead in effect to a new contract.  Thus, there is a need for there to be an objective characterisation of the claim independent of the averments of the parties that can be easily identified by a court and that advances rather than diminishes the purposes of the Prescription Act.</w:t>
      </w:r>
    </w:p>
    <w:p w14:paraId="7057CB37" w14:textId="77777777" w:rsidR="00485977" w:rsidRPr="00534BB7" w:rsidRDefault="00485977" w:rsidP="00393885">
      <w:pPr>
        <w:jc w:val="both"/>
        <w:rPr>
          <w:rFonts w:ascii="new roman" w:hAnsi="new roman" w:cs="Times New Roman"/>
          <w:sz w:val="16"/>
          <w:szCs w:val="16"/>
        </w:rPr>
      </w:pPr>
      <w:r w:rsidRPr="00534BB7">
        <w:rPr>
          <w:rFonts w:ascii="new roman" w:hAnsi="new roman"/>
          <w:color w:val="000000"/>
          <w:sz w:val="16"/>
          <w:szCs w:val="16"/>
          <w:shd w:val="clear" w:color="auto" w:fill="FFFFFF"/>
          <w:lang w:val="en-GB"/>
        </w:rPr>
        <w:t> </w:t>
      </w:r>
      <w:r w:rsidRPr="00534BB7">
        <w:rPr>
          <w:rFonts w:ascii="new roman" w:hAnsi="new roman"/>
          <w:color w:val="242121"/>
          <w:sz w:val="16"/>
          <w:szCs w:val="16"/>
          <w:shd w:val="clear" w:color="auto" w:fill="FFFFFF"/>
          <w:lang w:val="en-GB"/>
        </w:rPr>
        <w:t>In my view, the correct characterisation of a claim for purposes of the </w:t>
      </w:r>
      <w:hyperlink r:id="rId1" w:history="1">
        <w:r w:rsidRPr="00534BB7">
          <w:rPr>
            <w:rStyle w:val="Hyperlink"/>
            <w:rFonts w:ascii="new roman" w:hAnsi="new roman"/>
            <w:b/>
            <w:bCs/>
            <w:color w:val="0B4B0B"/>
            <w:sz w:val="16"/>
            <w:szCs w:val="16"/>
            <w:shd w:val="clear" w:color="auto" w:fill="FFFFFF"/>
            <w:lang w:val="en-GB"/>
          </w:rPr>
          <w:t>Prescription Act is</w:t>
        </w:r>
      </w:hyperlink>
      <w:r w:rsidRPr="00534BB7">
        <w:rPr>
          <w:rFonts w:ascii="new roman" w:hAnsi="new roman"/>
          <w:color w:val="242121"/>
          <w:sz w:val="16"/>
          <w:szCs w:val="16"/>
          <w:shd w:val="clear" w:color="auto" w:fill="FFFFFF"/>
          <w:lang w:val="en-GB"/>
        </w:rPr>
        <w:t> the characterisation arising from the relevant legal provisions on which the claim is based. Here, the claim is based on section 252 of the Companies Act, the plain text of which discusses an entitlement to an equitable judicial determination.  Thus, according to section 252, the applicants’ claim is for declaratory relief, not an alteration of the terms of a contract or a money award.  The respondents’ alternate proposal that attention should be given instead to the ultimate effects or aims of the relief sought is less desirable because it requires that a court perform a complicated causal or psychological inquiry that is certain to yield disparate results for what is essentially the same type of claim across cases. This would undermine the purposes of the </w:t>
      </w:r>
      <w:hyperlink r:id="rId2" w:history="1">
        <w:r w:rsidRPr="00534BB7">
          <w:rPr>
            <w:rStyle w:val="Hyperlink"/>
            <w:rFonts w:ascii="new roman" w:hAnsi="new roman"/>
            <w:b/>
            <w:bCs/>
            <w:color w:val="0B4B0B"/>
            <w:sz w:val="16"/>
            <w:szCs w:val="16"/>
            <w:shd w:val="clear" w:color="auto" w:fill="FFFFFF"/>
            <w:lang w:val="en-GB"/>
          </w:rPr>
          <w:t>Prescription Act which</w:t>
        </w:r>
      </w:hyperlink>
      <w:r w:rsidRPr="00534BB7">
        <w:rPr>
          <w:rFonts w:ascii="new roman" w:hAnsi="new roman"/>
          <w:color w:val="242121"/>
          <w:sz w:val="16"/>
          <w:szCs w:val="16"/>
          <w:shd w:val="clear" w:color="auto" w:fill="FFFFFF"/>
          <w:lang w:val="en-GB"/>
        </w:rPr>
        <w:t> assumes that claims can be readily classified as one kind or another.  My solution is that courts restrict themselves to the text of the legal provision on which the claim is based.  In order to identify what the relevant claim is, the court should use the applicants’ cause of action as guidance.  However, the court is not beholden to the applicants’ characterisation of the claim, which might be at variance with the relevant legal provision.  The latter governs.</w:t>
      </w:r>
    </w:p>
    <w:p w14:paraId="25BA6937" w14:textId="237E16E2" w:rsidR="00485977" w:rsidRPr="00534BB7" w:rsidRDefault="00485977" w:rsidP="00393885">
      <w:pPr>
        <w:pStyle w:val="FootnoteText"/>
        <w:jc w:val="both"/>
        <w:rPr>
          <w:lang w:val="en-US"/>
        </w:rPr>
      </w:pPr>
    </w:p>
  </w:footnote>
  <w:footnote w:id="4">
    <w:p w14:paraId="4D030D74" w14:textId="0D50831F" w:rsidR="00485977" w:rsidRPr="00467843" w:rsidRDefault="00485977" w:rsidP="00393885">
      <w:pPr>
        <w:pStyle w:val="FootnoteText"/>
        <w:jc w:val="both"/>
        <w:rPr>
          <w:sz w:val="16"/>
          <w:szCs w:val="16"/>
          <w:lang w:val="en-US"/>
        </w:rPr>
      </w:pPr>
      <w:r>
        <w:rPr>
          <w:rStyle w:val="FootnoteReference"/>
        </w:rPr>
        <w:footnoteRef/>
      </w:r>
      <w:r>
        <w:t xml:space="preserve"> T</w:t>
      </w:r>
      <w:r w:rsidRPr="004C5809">
        <w:rPr>
          <w:rFonts w:ascii="new roman" w:hAnsi="new roman"/>
        </w:rPr>
        <w:t xml:space="preserve">he honourable </w:t>
      </w:r>
      <w:r w:rsidR="008A3358" w:rsidRPr="004C5809">
        <w:rPr>
          <w:rFonts w:ascii="new roman" w:hAnsi="new roman"/>
        </w:rPr>
        <w:t xml:space="preserve">CHIGUMBA </w:t>
      </w:r>
      <w:r w:rsidR="008A3358">
        <w:rPr>
          <w:rFonts w:ascii="new roman" w:hAnsi="new roman"/>
        </w:rPr>
        <w:t xml:space="preserve">J </w:t>
      </w:r>
      <w:r w:rsidRPr="004C5809">
        <w:rPr>
          <w:rFonts w:ascii="new roman" w:hAnsi="new roman"/>
        </w:rPr>
        <w:t>remarked</w:t>
      </w:r>
      <w:r>
        <w:t xml:space="preserve"> that”</w:t>
      </w:r>
      <w:r w:rsidR="00300902">
        <w:t xml:space="preserve"> </w:t>
      </w:r>
      <w:r>
        <w:rPr>
          <w:rFonts w:ascii="new roman" w:hAnsi="new roman" w:cs="Arial"/>
          <w:color w:val="212529"/>
        </w:rPr>
        <w:t xml:space="preserve">Prescription </w:t>
      </w:r>
      <w:r w:rsidRPr="00467843">
        <w:rPr>
          <w:rFonts w:ascii="new roman" w:hAnsi="new roman" w:cs="Arial"/>
          <w:color w:val="212529"/>
          <w:sz w:val="16"/>
          <w:szCs w:val="16"/>
        </w:rPr>
        <w:t>applies as much to a </w:t>
      </w:r>
      <w:r w:rsidRPr="00467843">
        <w:rPr>
          <w:rFonts w:ascii="new roman" w:hAnsi="new roman" w:cs="Arial"/>
          <w:i/>
          <w:iCs/>
          <w:color w:val="212529"/>
          <w:sz w:val="16"/>
          <w:szCs w:val="16"/>
        </w:rPr>
        <w:t>declaratur</w:t>
      </w:r>
      <w:r w:rsidRPr="00467843">
        <w:rPr>
          <w:rFonts w:ascii="new roman" w:hAnsi="new roman" w:cs="Arial"/>
          <w:color w:val="212529"/>
          <w:sz w:val="16"/>
          <w:szCs w:val="16"/>
        </w:rPr>
        <w:t> as to an interdict, which are common law remedies. See </w:t>
      </w:r>
      <w:r w:rsidRPr="00467843">
        <w:rPr>
          <w:rFonts w:ascii="new roman" w:hAnsi="new roman" w:cs="Arial"/>
          <w:b/>
          <w:bCs/>
          <w:i/>
          <w:iCs/>
          <w:color w:val="212529"/>
          <w:sz w:val="16"/>
          <w:szCs w:val="16"/>
        </w:rPr>
        <w:t>Syfin </w:t>
      </w:r>
      <w:r w:rsidRPr="00467843">
        <w:rPr>
          <w:rFonts w:ascii="new roman" w:hAnsi="new roman" w:cs="Arial"/>
          <w:b/>
          <w:bCs/>
          <w:color w:val="212529"/>
          <w:sz w:val="16"/>
          <w:szCs w:val="16"/>
        </w:rPr>
        <w:t>v</w:t>
      </w:r>
      <w:r w:rsidRPr="00467843">
        <w:rPr>
          <w:rFonts w:ascii="new roman" w:hAnsi="new roman" w:cs="Arial"/>
          <w:b/>
          <w:bCs/>
          <w:i/>
          <w:iCs/>
          <w:color w:val="212529"/>
          <w:sz w:val="16"/>
          <w:szCs w:val="16"/>
        </w:rPr>
        <w:t> Pickering</w:t>
      </w:r>
      <w:r>
        <w:rPr>
          <w:rFonts w:ascii="new roman" w:hAnsi="new roman" w:cs="Arial"/>
          <w:b/>
          <w:bCs/>
          <w:i/>
          <w:iCs/>
          <w:color w:val="212529"/>
          <w:sz w:val="16"/>
          <w:szCs w:val="16"/>
          <w:vertAlign w:val="superscript"/>
        </w:rPr>
        <w:t xml:space="preserve">1981 </w:t>
      </w:r>
      <w:r>
        <w:rPr>
          <w:rFonts w:ascii="new roman" w:hAnsi="new roman" w:cs="Arial"/>
          <w:b/>
          <w:bCs/>
          <w:i/>
          <w:iCs/>
          <w:color w:val="212529"/>
          <w:sz w:val="16"/>
          <w:szCs w:val="16"/>
        </w:rPr>
        <w:t>ZLR 344(H), “</w:t>
      </w:r>
    </w:p>
  </w:footnote>
  <w:footnote w:id="5">
    <w:p w14:paraId="57E713AD" w14:textId="77777777" w:rsidR="00485977" w:rsidRDefault="00485977" w:rsidP="00393885">
      <w:pPr>
        <w:pStyle w:val="western"/>
        <w:shd w:val="clear" w:color="auto" w:fill="FFFFFF"/>
        <w:spacing w:after="198" w:afterAutospacing="0"/>
        <w:jc w:val="both"/>
        <w:rPr>
          <w:sz w:val="16"/>
          <w:szCs w:val="16"/>
          <w:lang w:val="en-US"/>
        </w:rPr>
      </w:pPr>
      <w:r>
        <w:rPr>
          <w:rStyle w:val="FootnoteReference"/>
        </w:rPr>
        <w:footnoteRef/>
      </w:r>
      <w:r w:rsidRPr="005513F3">
        <w:rPr>
          <w:rFonts w:ascii="Helvetica" w:hAnsi="Helvetica"/>
          <w:lang w:val="en-US"/>
        </w:rPr>
        <w:t>“</w:t>
      </w:r>
      <w:r w:rsidRPr="004C5809">
        <w:rPr>
          <w:sz w:val="16"/>
          <w:szCs w:val="16"/>
          <w:lang w:val="en-US"/>
        </w:rPr>
        <w:t xml:space="preserve">A cause of action is defined by Lord Esher in Reed v Brown (188) 22 QB 131 as every fact which it would be necessary for the plaintiff to prove if transversed in order to support his right to judgment of the court. In the same case, Lord Fry at 132-133 said the phrase meant everything which if not proved gives the defendant an immediate right to judgment. In Letang v Cooper [1965] 1 QB 232 at 242-3 Diplock LJ (as he then was) said a cause of action is simply a factual situation the existence of which entitled one person to obtain from the court a remedy against another person.” </w:t>
      </w:r>
    </w:p>
    <w:p w14:paraId="5302E01A" w14:textId="211C7FFB" w:rsidR="00485977" w:rsidRPr="004C5809" w:rsidRDefault="00485977" w:rsidP="00393885">
      <w:pPr>
        <w:pStyle w:val="western"/>
        <w:shd w:val="clear" w:color="auto" w:fill="FFFFFF"/>
        <w:spacing w:after="198" w:afterAutospacing="0"/>
        <w:jc w:val="both"/>
        <w:rPr>
          <w:rFonts w:ascii="Helvetica" w:hAnsi="Helvetica"/>
          <w:sz w:val="16"/>
          <w:szCs w:val="16"/>
          <w:lang w:val="en-US"/>
        </w:rPr>
      </w:pPr>
      <w:r w:rsidRPr="004C5809">
        <w:rPr>
          <w:sz w:val="16"/>
          <w:szCs w:val="16"/>
          <w:lang w:val="en-US"/>
        </w:rPr>
        <w:t xml:space="preserve">See </w:t>
      </w:r>
      <w:r w:rsidRPr="004C5809">
        <w:rPr>
          <w:i/>
          <w:sz w:val="16"/>
          <w:szCs w:val="16"/>
          <w:lang w:val="en-US"/>
        </w:rPr>
        <w:t>Andrew Chigovera v Minister of Energy &amp; Power Development Zimbabwe Electricity Board</w:t>
      </w:r>
      <w:r>
        <w:rPr>
          <w:sz w:val="16"/>
          <w:szCs w:val="16"/>
          <w:lang w:val="en-US"/>
        </w:rPr>
        <w:t xml:space="preserve"> </w:t>
      </w:r>
      <w:r w:rsidRPr="004C5809">
        <w:rPr>
          <w:sz w:val="16"/>
          <w:szCs w:val="16"/>
          <w:lang w:val="en-US"/>
        </w:rPr>
        <w:t>SC115/21.</w:t>
      </w:r>
    </w:p>
    <w:p w14:paraId="305C16E5" w14:textId="77777777" w:rsidR="00485977" w:rsidRPr="007A0862" w:rsidRDefault="00485977" w:rsidP="00393885">
      <w:pPr>
        <w:jc w:val="both"/>
        <w:rPr>
          <w:rFonts w:ascii="Times New Roman" w:hAnsi="Times New Roman" w:cs="Times New Roman"/>
          <w:color w:val="231F20"/>
          <w:sz w:val="24"/>
          <w:szCs w:val="24"/>
        </w:rPr>
      </w:pPr>
    </w:p>
    <w:p w14:paraId="0FB52678" w14:textId="2244617A" w:rsidR="00485977" w:rsidRPr="004C5809" w:rsidRDefault="00485977">
      <w:pPr>
        <w:pStyle w:val="FootnoteText"/>
        <w:rPr>
          <w:lang w:val="en-US"/>
        </w:rPr>
      </w:pPr>
      <w:r>
        <w:t xml:space="preserve"> </w:t>
      </w:r>
      <w:r>
        <w:rPr>
          <w:lang w:val="en-US"/>
        </w:rPr>
        <w:t xml:space="preserve"> </w:t>
      </w:r>
    </w:p>
  </w:footnote>
  <w:footnote w:id="6">
    <w:p w14:paraId="700E08A0" w14:textId="77777777" w:rsidR="00485977" w:rsidRPr="00485977" w:rsidRDefault="00485977" w:rsidP="00393885">
      <w:pPr>
        <w:jc w:val="both"/>
        <w:rPr>
          <w:rFonts w:ascii="new roman" w:hAnsi="new roman"/>
          <w:sz w:val="16"/>
          <w:szCs w:val="16"/>
          <w:lang w:val="en-US"/>
        </w:rPr>
      </w:pPr>
      <w:r>
        <w:rPr>
          <w:rStyle w:val="FootnoteReference"/>
        </w:rPr>
        <w:footnoteRef/>
      </w:r>
      <w:r>
        <w:t xml:space="preserve"> </w:t>
      </w:r>
      <w:r w:rsidRPr="00485977">
        <w:rPr>
          <w:rFonts w:ascii="new roman" w:hAnsi="new roman" w:cs="Arial"/>
          <w:sz w:val="16"/>
          <w:szCs w:val="16"/>
          <w:shd w:val="clear" w:color="auto" w:fill="FFFFFF"/>
        </w:rPr>
        <w:t>The Honourable now Chief Justice highlighted that, “The onus is on Dairiboard, which raised the defence of prescription, to show that Mr. Peebles had knowledge, or should be deemed to have first had knowledge, of such facts on any date more than three years prior to the date on which summons was served on it, that is to say, a date between 9 May and 30 September 1994; Gericke v Sack 1978 B (1) SA 821 (A); Brand v Williams 1988 (3) SA 908 (C) at 910B…The he rule applied is the discovery or knowledge rule. In the application of the rule, contained in section 16(3) of the Act, to decide whether Dairiboard has shown, on a balance of probabilities that Mr. Peebles acquired, during the relevant period, the requisite knowledge of the facts from which the cause of the action arose, it is not necessary to seek knowledge of meticulous particulars of the cause of action. The court must look at all the circumstances of the case and decide whether Mr. Peebles had, or should be deemed to have had, knowledge of the broad or material facts establishing the essential elements of the cause  of action”</w:t>
      </w:r>
    </w:p>
    <w:p w14:paraId="07C67F68" w14:textId="11709364" w:rsidR="00485977" w:rsidRPr="00485977" w:rsidRDefault="0048597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40747"/>
      <w:docPartObj>
        <w:docPartGallery w:val="Page Numbers (Top of Page)"/>
        <w:docPartUnique/>
      </w:docPartObj>
    </w:sdtPr>
    <w:sdtEndPr>
      <w:rPr>
        <w:noProof/>
      </w:rPr>
    </w:sdtEndPr>
    <w:sdtContent>
      <w:p w14:paraId="3AE07C01" w14:textId="071A07EC" w:rsidR="00485977" w:rsidRDefault="00485977">
        <w:pPr>
          <w:pStyle w:val="Header"/>
          <w:jc w:val="right"/>
          <w:rPr>
            <w:noProof/>
          </w:rPr>
        </w:pPr>
        <w:r>
          <w:fldChar w:fldCharType="begin"/>
        </w:r>
        <w:r>
          <w:instrText xml:space="preserve"> PAGE   \* MERGEFORMAT </w:instrText>
        </w:r>
        <w:r>
          <w:fldChar w:fldCharType="separate"/>
        </w:r>
        <w:r w:rsidR="007820CB">
          <w:rPr>
            <w:noProof/>
          </w:rPr>
          <w:t>7</w:t>
        </w:r>
        <w:r>
          <w:rPr>
            <w:noProof/>
          </w:rPr>
          <w:fldChar w:fldCharType="end"/>
        </w:r>
      </w:p>
      <w:p w14:paraId="5C5CAD3F" w14:textId="23B4179F" w:rsidR="00485977" w:rsidRDefault="00485977" w:rsidP="00D829B0">
        <w:pPr>
          <w:pStyle w:val="Header"/>
          <w:jc w:val="right"/>
          <w:rPr>
            <w:noProof/>
          </w:rPr>
        </w:pPr>
        <w:r>
          <w:rPr>
            <w:noProof/>
          </w:rPr>
          <w:t xml:space="preserve">HCC </w:t>
        </w:r>
        <w:r w:rsidR="00E62006">
          <w:rPr>
            <w:noProof/>
          </w:rPr>
          <w:t>68/24</w:t>
        </w:r>
      </w:p>
      <w:p w14:paraId="5433D43D" w14:textId="6BAE72B8" w:rsidR="00485977" w:rsidRDefault="00485977" w:rsidP="00D829B0">
        <w:pPr>
          <w:pStyle w:val="Header"/>
          <w:jc w:val="right"/>
          <w:rPr>
            <w:noProof/>
          </w:rPr>
        </w:pPr>
        <w:r>
          <w:rPr>
            <w:noProof/>
          </w:rPr>
          <w:t>HCC 185/23</w:t>
        </w:r>
      </w:p>
    </w:sdtContent>
  </w:sdt>
  <w:p w14:paraId="63620119" w14:textId="77777777" w:rsidR="00485977" w:rsidRDefault="004859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D64"/>
    <w:multiLevelType w:val="hybridMultilevel"/>
    <w:tmpl w:val="70DE951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7130DBE"/>
    <w:multiLevelType w:val="hybridMultilevel"/>
    <w:tmpl w:val="6C3828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417F00"/>
    <w:multiLevelType w:val="hybridMultilevel"/>
    <w:tmpl w:val="DCE8693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E854274"/>
    <w:multiLevelType w:val="hybridMultilevel"/>
    <w:tmpl w:val="A0BAB19E"/>
    <w:lvl w:ilvl="0" w:tplc="DA0A4C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14B1489"/>
    <w:multiLevelType w:val="hybridMultilevel"/>
    <w:tmpl w:val="6D2499E6"/>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16C126E"/>
    <w:multiLevelType w:val="hybridMultilevel"/>
    <w:tmpl w:val="1B98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F5B0B"/>
    <w:multiLevelType w:val="hybridMultilevel"/>
    <w:tmpl w:val="9D02C198"/>
    <w:lvl w:ilvl="0" w:tplc="37EE378E">
      <w:start w:val="1"/>
      <w:numFmt w:val="decimal"/>
      <w:lvlText w:val="%1."/>
      <w:lvlJc w:val="left"/>
      <w:pPr>
        <w:ind w:left="644" w:hanging="360"/>
      </w:pPr>
      <w:rPr>
        <w:rFonts w:hint="default"/>
      </w:rPr>
    </w:lvl>
    <w:lvl w:ilvl="1" w:tplc="30090019" w:tentative="1">
      <w:start w:val="1"/>
      <w:numFmt w:val="lowerLetter"/>
      <w:lvlText w:val="%2."/>
      <w:lvlJc w:val="left"/>
      <w:pPr>
        <w:ind w:left="1364" w:hanging="360"/>
      </w:p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abstractNum w:abstractNumId="7" w15:restartNumberingAfterBreak="0">
    <w:nsid w:val="18595053"/>
    <w:multiLevelType w:val="hybridMultilevel"/>
    <w:tmpl w:val="15AE2CD4"/>
    <w:lvl w:ilvl="0" w:tplc="6442C05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EA25D43"/>
    <w:multiLevelType w:val="hybridMultilevel"/>
    <w:tmpl w:val="5FCA3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1A4206"/>
    <w:multiLevelType w:val="hybridMultilevel"/>
    <w:tmpl w:val="A4AE3710"/>
    <w:lvl w:ilvl="0" w:tplc="FFCCD1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80E62FF"/>
    <w:multiLevelType w:val="hybridMultilevel"/>
    <w:tmpl w:val="12FA65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67828"/>
    <w:multiLevelType w:val="hybridMultilevel"/>
    <w:tmpl w:val="6D2499E6"/>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173407F"/>
    <w:multiLevelType w:val="multilevel"/>
    <w:tmpl w:val="40D0D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new roman" w:eastAsia="Times New Roman" w:hAnsi="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D236E9"/>
    <w:multiLevelType w:val="hybridMultilevel"/>
    <w:tmpl w:val="0AE65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913C9"/>
    <w:multiLevelType w:val="hybridMultilevel"/>
    <w:tmpl w:val="5D3C32F0"/>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359425D3"/>
    <w:multiLevelType w:val="hybridMultilevel"/>
    <w:tmpl w:val="1242E17A"/>
    <w:lvl w:ilvl="0" w:tplc="819A8BB0">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CB41093"/>
    <w:multiLevelType w:val="hybridMultilevel"/>
    <w:tmpl w:val="997A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B3772"/>
    <w:multiLevelType w:val="multilevel"/>
    <w:tmpl w:val="A328B9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1E24C80"/>
    <w:multiLevelType w:val="hybridMultilevel"/>
    <w:tmpl w:val="8A6E42E4"/>
    <w:lvl w:ilvl="0" w:tplc="11180B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47B106CE"/>
    <w:multiLevelType w:val="hybridMultilevel"/>
    <w:tmpl w:val="0608A5AA"/>
    <w:lvl w:ilvl="0" w:tplc="DB12DA44">
      <w:start w:val="1"/>
      <w:numFmt w:val="lowerLetter"/>
      <w:lvlText w:val="(%1)"/>
      <w:lvlJc w:val="left"/>
      <w:pPr>
        <w:ind w:left="1119" w:hanging="435"/>
      </w:pPr>
      <w:rPr>
        <w:rFonts w:hint="default"/>
      </w:rPr>
    </w:lvl>
    <w:lvl w:ilvl="1" w:tplc="30090019" w:tentative="1">
      <w:start w:val="1"/>
      <w:numFmt w:val="lowerLetter"/>
      <w:lvlText w:val="%2."/>
      <w:lvlJc w:val="left"/>
      <w:pPr>
        <w:ind w:left="1764" w:hanging="360"/>
      </w:pPr>
    </w:lvl>
    <w:lvl w:ilvl="2" w:tplc="3009001B" w:tentative="1">
      <w:start w:val="1"/>
      <w:numFmt w:val="lowerRoman"/>
      <w:lvlText w:val="%3."/>
      <w:lvlJc w:val="right"/>
      <w:pPr>
        <w:ind w:left="2484" w:hanging="180"/>
      </w:pPr>
    </w:lvl>
    <w:lvl w:ilvl="3" w:tplc="3009000F" w:tentative="1">
      <w:start w:val="1"/>
      <w:numFmt w:val="decimal"/>
      <w:lvlText w:val="%4."/>
      <w:lvlJc w:val="left"/>
      <w:pPr>
        <w:ind w:left="3204" w:hanging="360"/>
      </w:pPr>
    </w:lvl>
    <w:lvl w:ilvl="4" w:tplc="30090019" w:tentative="1">
      <w:start w:val="1"/>
      <w:numFmt w:val="lowerLetter"/>
      <w:lvlText w:val="%5."/>
      <w:lvlJc w:val="left"/>
      <w:pPr>
        <w:ind w:left="3924" w:hanging="360"/>
      </w:pPr>
    </w:lvl>
    <w:lvl w:ilvl="5" w:tplc="3009001B" w:tentative="1">
      <w:start w:val="1"/>
      <w:numFmt w:val="lowerRoman"/>
      <w:lvlText w:val="%6."/>
      <w:lvlJc w:val="right"/>
      <w:pPr>
        <w:ind w:left="4644" w:hanging="180"/>
      </w:pPr>
    </w:lvl>
    <w:lvl w:ilvl="6" w:tplc="3009000F" w:tentative="1">
      <w:start w:val="1"/>
      <w:numFmt w:val="decimal"/>
      <w:lvlText w:val="%7."/>
      <w:lvlJc w:val="left"/>
      <w:pPr>
        <w:ind w:left="5364" w:hanging="360"/>
      </w:pPr>
    </w:lvl>
    <w:lvl w:ilvl="7" w:tplc="30090019" w:tentative="1">
      <w:start w:val="1"/>
      <w:numFmt w:val="lowerLetter"/>
      <w:lvlText w:val="%8."/>
      <w:lvlJc w:val="left"/>
      <w:pPr>
        <w:ind w:left="6084" w:hanging="360"/>
      </w:pPr>
    </w:lvl>
    <w:lvl w:ilvl="8" w:tplc="3009001B" w:tentative="1">
      <w:start w:val="1"/>
      <w:numFmt w:val="lowerRoman"/>
      <w:lvlText w:val="%9."/>
      <w:lvlJc w:val="right"/>
      <w:pPr>
        <w:ind w:left="6804" w:hanging="180"/>
      </w:pPr>
    </w:lvl>
  </w:abstractNum>
  <w:abstractNum w:abstractNumId="20" w15:restartNumberingAfterBreak="0">
    <w:nsid w:val="4AC7715B"/>
    <w:multiLevelType w:val="hybridMultilevel"/>
    <w:tmpl w:val="6C6CF566"/>
    <w:lvl w:ilvl="0" w:tplc="3F7A97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C35449B"/>
    <w:multiLevelType w:val="hybridMultilevel"/>
    <w:tmpl w:val="6D2499E6"/>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4F036075"/>
    <w:multiLevelType w:val="hybridMultilevel"/>
    <w:tmpl w:val="BE78B30C"/>
    <w:lvl w:ilvl="0" w:tplc="C8061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5127D5"/>
    <w:multiLevelType w:val="hybridMultilevel"/>
    <w:tmpl w:val="3C02AA0E"/>
    <w:lvl w:ilvl="0" w:tplc="927C3C0E">
      <w:start w:val="1"/>
      <w:numFmt w:val="lowerLetter"/>
      <w:lvlText w:val="(%1)"/>
      <w:lvlJc w:val="left"/>
      <w:pPr>
        <w:ind w:left="1050" w:hanging="360"/>
      </w:pPr>
      <w:rPr>
        <w:rFonts w:hint="default"/>
      </w:rPr>
    </w:lvl>
    <w:lvl w:ilvl="1" w:tplc="30090019" w:tentative="1">
      <w:start w:val="1"/>
      <w:numFmt w:val="lowerLetter"/>
      <w:lvlText w:val="%2."/>
      <w:lvlJc w:val="left"/>
      <w:pPr>
        <w:ind w:left="1770" w:hanging="360"/>
      </w:pPr>
    </w:lvl>
    <w:lvl w:ilvl="2" w:tplc="3009001B" w:tentative="1">
      <w:start w:val="1"/>
      <w:numFmt w:val="lowerRoman"/>
      <w:lvlText w:val="%3."/>
      <w:lvlJc w:val="right"/>
      <w:pPr>
        <w:ind w:left="2490" w:hanging="180"/>
      </w:pPr>
    </w:lvl>
    <w:lvl w:ilvl="3" w:tplc="3009000F" w:tentative="1">
      <w:start w:val="1"/>
      <w:numFmt w:val="decimal"/>
      <w:lvlText w:val="%4."/>
      <w:lvlJc w:val="left"/>
      <w:pPr>
        <w:ind w:left="3210" w:hanging="360"/>
      </w:pPr>
    </w:lvl>
    <w:lvl w:ilvl="4" w:tplc="30090019" w:tentative="1">
      <w:start w:val="1"/>
      <w:numFmt w:val="lowerLetter"/>
      <w:lvlText w:val="%5."/>
      <w:lvlJc w:val="left"/>
      <w:pPr>
        <w:ind w:left="3930" w:hanging="360"/>
      </w:pPr>
    </w:lvl>
    <w:lvl w:ilvl="5" w:tplc="3009001B" w:tentative="1">
      <w:start w:val="1"/>
      <w:numFmt w:val="lowerRoman"/>
      <w:lvlText w:val="%6."/>
      <w:lvlJc w:val="right"/>
      <w:pPr>
        <w:ind w:left="4650" w:hanging="180"/>
      </w:pPr>
    </w:lvl>
    <w:lvl w:ilvl="6" w:tplc="3009000F" w:tentative="1">
      <w:start w:val="1"/>
      <w:numFmt w:val="decimal"/>
      <w:lvlText w:val="%7."/>
      <w:lvlJc w:val="left"/>
      <w:pPr>
        <w:ind w:left="5370" w:hanging="360"/>
      </w:pPr>
    </w:lvl>
    <w:lvl w:ilvl="7" w:tplc="30090019" w:tentative="1">
      <w:start w:val="1"/>
      <w:numFmt w:val="lowerLetter"/>
      <w:lvlText w:val="%8."/>
      <w:lvlJc w:val="left"/>
      <w:pPr>
        <w:ind w:left="6090" w:hanging="360"/>
      </w:pPr>
    </w:lvl>
    <w:lvl w:ilvl="8" w:tplc="3009001B" w:tentative="1">
      <w:start w:val="1"/>
      <w:numFmt w:val="lowerRoman"/>
      <w:lvlText w:val="%9."/>
      <w:lvlJc w:val="right"/>
      <w:pPr>
        <w:ind w:left="6810" w:hanging="180"/>
      </w:pPr>
    </w:lvl>
  </w:abstractNum>
  <w:abstractNum w:abstractNumId="24" w15:restartNumberingAfterBreak="0">
    <w:nsid w:val="52BF31DE"/>
    <w:multiLevelType w:val="hybridMultilevel"/>
    <w:tmpl w:val="5DEA5D1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56B6501B"/>
    <w:multiLevelType w:val="hybridMultilevel"/>
    <w:tmpl w:val="9C981908"/>
    <w:lvl w:ilvl="0" w:tplc="1422BB2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5B1213FD"/>
    <w:multiLevelType w:val="hybridMultilevel"/>
    <w:tmpl w:val="D8FE22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5D0724AD"/>
    <w:multiLevelType w:val="hybridMultilevel"/>
    <w:tmpl w:val="A9C44DF6"/>
    <w:lvl w:ilvl="0" w:tplc="60CAB268">
      <w:start w:val="1"/>
      <w:numFmt w:val="lowerRoman"/>
      <w:lvlText w:val="%1."/>
      <w:lvlJc w:val="left"/>
      <w:pPr>
        <w:ind w:left="36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61D0271B"/>
    <w:multiLevelType w:val="hybridMultilevel"/>
    <w:tmpl w:val="E1D8AA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62965DF8"/>
    <w:multiLevelType w:val="multilevel"/>
    <w:tmpl w:val="455064E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987153"/>
    <w:multiLevelType w:val="hybridMultilevel"/>
    <w:tmpl w:val="54C20A8E"/>
    <w:lvl w:ilvl="0" w:tplc="638A39D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79132099"/>
    <w:multiLevelType w:val="multilevel"/>
    <w:tmpl w:val="AACA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023D9"/>
    <w:multiLevelType w:val="hybridMultilevel"/>
    <w:tmpl w:val="3662DC70"/>
    <w:lvl w:ilvl="0" w:tplc="617A20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FEC48A8"/>
    <w:multiLevelType w:val="hybridMultilevel"/>
    <w:tmpl w:val="51860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7"/>
  </w:num>
  <w:num w:numId="3">
    <w:abstractNumId w:val="22"/>
  </w:num>
  <w:num w:numId="4">
    <w:abstractNumId w:val="5"/>
  </w:num>
  <w:num w:numId="5">
    <w:abstractNumId w:val="16"/>
  </w:num>
  <w:num w:numId="6">
    <w:abstractNumId w:val="14"/>
  </w:num>
  <w:num w:numId="7">
    <w:abstractNumId w:val="28"/>
  </w:num>
  <w:num w:numId="8">
    <w:abstractNumId w:val="30"/>
  </w:num>
  <w:num w:numId="9">
    <w:abstractNumId w:val="34"/>
  </w:num>
  <w:num w:numId="10">
    <w:abstractNumId w:val="8"/>
  </w:num>
  <w:num w:numId="11">
    <w:abstractNumId w:val="13"/>
  </w:num>
  <w:num w:numId="12">
    <w:abstractNumId w:val="10"/>
  </w:num>
  <w:num w:numId="13">
    <w:abstractNumId w:val="35"/>
  </w:num>
  <w:num w:numId="14">
    <w:abstractNumId w:val="2"/>
  </w:num>
  <w:num w:numId="15">
    <w:abstractNumId w:val="29"/>
  </w:num>
  <w:num w:numId="16">
    <w:abstractNumId w:val="7"/>
  </w:num>
  <w:num w:numId="17">
    <w:abstractNumId w:val="15"/>
  </w:num>
  <w:num w:numId="18">
    <w:abstractNumId w:val="26"/>
  </w:num>
  <w:num w:numId="19">
    <w:abstractNumId w:val="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32"/>
  </w:num>
  <w:num w:numId="23">
    <w:abstractNumId w:val="31"/>
  </w:num>
  <w:num w:numId="24">
    <w:abstractNumId w:val="17"/>
  </w:num>
  <w:num w:numId="25">
    <w:abstractNumId w:val="20"/>
  </w:num>
  <w:num w:numId="26">
    <w:abstractNumId w:val="18"/>
  </w:num>
  <w:num w:numId="27">
    <w:abstractNumId w:val="9"/>
  </w:num>
  <w:num w:numId="28">
    <w:abstractNumId w:val="0"/>
  </w:num>
  <w:num w:numId="29">
    <w:abstractNumId w:val="19"/>
  </w:num>
  <w:num w:numId="30">
    <w:abstractNumId w:val="23"/>
  </w:num>
  <w:num w:numId="31">
    <w:abstractNumId w:val="3"/>
  </w:num>
  <w:num w:numId="32">
    <w:abstractNumId w:val="11"/>
  </w:num>
  <w:num w:numId="33">
    <w:abstractNumId w:val="33"/>
  </w:num>
  <w:num w:numId="34">
    <w:abstractNumId w:val="4"/>
  </w:num>
  <w:num w:numId="35">
    <w:abstractNumId w:val="2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07D9"/>
    <w:rsid w:val="00004F90"/>
    <w:rsid w:val="00005EFB"/>
    <w:rsid w:val="00011EC0"/>
    <w:rsid w:val="0001208A"/>
    <w:rsid w:val="0001212D"/>
    <w:rsid w:val="00013300"/>
    <w:rsid w:val="00014D4C"/>
    <w:rsid w:val="00016E8C"/>
    <w:rsid w:val="00022B36"/>
    <w:rsid w:val="00030C1B"/>
    <w:rsid w:val="000342B8"/>
    <w:rsid w:val="00035AF2"/>
    <w:rsid w:val="0003670D"/>
    <w:rsid w:val="00037518"/>
    <w:rsid w:val="00040D23"/>
    <w:rsid w:val="0004101A"/>
    <w:rsid w:val="000419AE"/>
    <w:rsid w:val="00042F2C"/>
    <w:rsid w:val="00043A83"/>
    <w:rsid w:val="000465DD"/>
    <w:rsid w:val="00050549"/>
    <w:rsid w:val="000512DE"/>
    <w:rsid w:val="00057201"/>
    <w:rsid w:val="00066E32"/>
    <w:rsid w:val="00071DA4"/>
    <w:rsid w:val="0007207E"/>
    <w:rsid w:val="00074057"/>
    <w:rsid w:val="00074282"/>
    <w:rsid w:val="00075A17"/>
    <w:rsid w:val="00075C1B"/>
    <w:rsid w:val="00081E25"/>
    <w:rsid w:val="000852CA"/>
    <w:rsid w:val="00085D2A"/>
    <w:rsid w:val="000867E7"/>
    <w:rsid w:val="00087408"/>
    <w:rsid w:val="000906E2"/>
    <w:rsid w:val="00092ABA"/>
    <w:rsid w:val="00093F8C"/>
    <w:rsid w:val="00095B36"/>
    <w:rsid w:val="000964CF"/>
    <w:rsid w:val="00096A69"/>
    <w:rsid w:val="000978F4"/>
    <w:rsid w:val="000A01CF"/>
    <w:rsid w:val="000A384F"/>
    <w:rsid w:val="000A4C13"/>
    <w:rsid w:val="000A637D"/>
    <w:rsid w:val="000B1457"/>
    <w:rsid w:val="000B16C4"/>
    <w:rsid w:val="000B16D3"/>
    <w:rsid w:val="000B2288"/>
    <w:rsid w:val="000B53AD"/>
    <w:rsid w:val="000B7120"/>
    <w:rsid w:val="000C33E9"/>
    <w:rsid w:val="000C6475"/>
    <w:rsid w:val="000C6654"/>
    <w:rsid w:val="000D02BE"/>
    <w:rsid w:val="000D7D17"/>
    <w:rsid w:val="000E1309"/>
    <w:rsid w:val="000E1D20"/>
    <w:rsid w:val="000E3B8D"/>
    <w:rsid w:val="000F2D91"/>
    <w:rsid w:val="000F37FB"/>
    <w:rsid w:val="000F3E5B"/>
    <w:rsid w:val="000F599B"/>
    <w:rsid w:val="000F6A5F"/>
    <w:rsid w:val="000F706E"/>
    <w:rsid w:val="0010082A"/>
    <w:rsid w:val="00100D64"/>
    <w:rsid w:val="00101FF2"/>
    <w:rsid w:val="00102BFA"/>
    <w:rsid w:val="00106120"/>
    <w:rsid w:val="0010687F"/>
    <w:rsid w:val="00106F49"/>
    <w:rsid w:val="001111A9"/>
    <w:rsid w:val="0011178A"/>
    <w:rsid w:val="001134A9"/>
    <w:rsid w:val="001167EF"/>
    <w:rsid w:val="00126ACB"/>
    <w:rsid w:val="001301CB"/>
    <w:rsid w:val="00130F49"/>
    <w:rsid w:val="00131F3B"/>
    <w:rsid w:val="00137792"/>
    <w:rsid w:val="00140480"/>
    <w:rsid w:val="0014171E"/>
    <w:rsid w:val="00141A03"/>
    <w:rsid w:val="00142057"/>
    <w:rsid w:val="00143615"/>
    <w:rsid w:val="00143722"/>
    <w:rsid w:val="00144804"/>
    <w:rsid w:val="00147208"/>
    <w:rsid w:val="00151706"/>
    <w:rsid w:val="00153CE5"/>
    <w:rsid w:val="00154BD8"/>
    <w:rsid w:val="00154CAD"/>
    <w:rsid w:val="001579FD"/>
    <w:rsid w:val="001610AB"/>
    <w:rsid w:val="001616D5"/>
    <w:rsid w:val="001632AF"/>
    <w:rsid w:val="001633CA"/>
    <w:rsid w:val="00164548"/>
    <w:rsid w:val="001661D6"/>
    <w:rsid w:val="00167C08"/>
    <w:rsid w:val="001719D5"/>
    <w:rsid w:val="001733CF"/>
    <w:rsid w:val="00175069"/>
    <w:rsid w:val="00176B3D"/>
    <w:rsid w:val="00190453"/>
    <w:rsid w:val="00194400"/>
    <w:rsid w:val="001A3C01"/>
    <w:rsid w:val="001A6870"/>
    <w:rsid w:val="001A6DF9"/>
    <w:rsid w:val="001A74FC"/>
    <w:rsid w:val="001A77D9"/>
    <w:rsid w:val="001A7C87"/>
    <w:rsid w:val="001B04E1"/>
    <w:rsid w:val="001B2F5A"/>
    <w:rsid w:val="001C4E3B"/>
    <w:rsid w:val="001C4ED9"/>
    <w:rsid w:val="001C6508"/>
    <w:rsid w:val="001D302A"/>
    <w:rsid w:val="001D6E0D"/>
    <w:rsid w:val="001E213D"/>
    <w:rsid w:val="001E5A77"/>
    <w:rsid w:val="001E696B"/>
    <w:rsid w:val="001F0C38"/>
    <w:rsid w:val="001F0F39"/>
    <w:rsid w:val="001F1BEC"/>
    <w:rsid w:val="001F4444"/>
    <w:rsid w:val="001F7259"/>
    <w:rsid w:val="00200AEE"/>
    <w:rsid w:val="002013DD"/>
    <w:rsid w:val="00203DBB"/>
    <w:rsid w:val="00205076"/>
    <w:rsid w:val="00205A10"/>
    <w:rsid w:val="00207293"/>
    <w:rsid w:val="002076DF"/>
    <w:rsid w:val="00210179"/>
    <w:rsid w:val="00210F42"/>
    <w:rsid w:val="002122B5"/>
    <w:rsid w:val="002128D2"/>
    <w:rsid w:val="002138F0"/>
    <w:rsid w:val="0021450A"/>
    <w:rsid w:val="00216B3A"/>
    <w:rsid w:val="00220419"/>
    <w:rsid w:val="0023060F"/>
    <w:rsid w:val="0023415D"/>
    <w:rsid w:val="00235C4B"/>
    <w:rsid w:val="00241378"/>
    <w:rsid w:val="0024423A"/>
    <w:rsid w:val="00244B56"/>
    <w:rsid w:val="00247600"/>
    <w:rsid w:val="0025015A"/>
    <w:rsid w:val="002516E8"/>
    <w:rsid w:val="00253646"/>
    <w:rsid w:val="00254336"/>
    <w:rsid w:val="002572E5"/>
    <w:rsid w:val="00257A1A"/>
    <w:rsid w:val="0026072A"/>
    <w:rsid w:val="0026075B"/>
    <w:rsid w:val="002615CE"/>
    <w:rsid w:val="00261FF4"/>
    <w:rsid w:val="002620AE"/>
    <w:rsid w:val="00264620"/>
    <w:rsid w:val="0026583A"/>
    <w:rsid w:val="00265975"/>
    <w:rsid w:val="00266591"/>
    <w:rsid w:val="00267540"/>
    <w:rsid w:val="002675EA"/>
    <w:rsid w:val="00275F3C"/>
    <w:rsid w:val="00277B9E"/>
    <w:rsid w:val="00282C1E"/>
    <w:rsid w:val="00284288"/>
    <w:rsid w:val="002878BA"/>
    <w:rsid w:val="00287BF7"/>
    <w:rsid w:val="00291996"/>
    <w:rsid w:val="00294348"/>
    <w:rsid w:val="002A391A"/>
    <w:rsid w:val="002A49C1"/>
    <w:rsid w:val="002A61B7"/>
    <w:rsid w:val="002A6A3B"/>
    <w:rsid w:val="002A6C57"/>
    <w:rsid w:val="002A7D8B"/>
    <w:rsid w:val="002B1EDA"/>
    <w:rsid w:val="002B2544"/>
    <w:rsid w:val="002B41E8"/>
    <w:rsid w:val="002B42AD"/>
    <w:rsid w:val="002B458A"/>
    <w:rsid w:val="002B5804"/>
    <w:rsid w:val="002B77F4"/>
    <w:rsid w:val="002C40D2"/>
    <w:rsid w:val="002C46D8"/>
    <w:rsid w:val="002C4DAD"/>
    <w:rsid w:val="002C6E2B"/>
    <w:rsid w:val="002C6F7C"/>
    <w:rsid w:val="002D0245"/>
    <w:rsid w:val="002D3736"/>
    <w:rsid w:val="002D4006"/>
    <w:rsid w:val="002E069A"/>
    <w:rsid w:val="002E2658"/>
    <w:rsid w:val="002E6A3D"/>
    <w:rsid w:val="002E7CE4"/>
    <w:rsid w:val="002F2C6F"/>
    <w:rsid w:val="002F36A7"/>
    <w:rsid w:val="002F5D1F"/>
    <w:rsid w:val="0030062C"/>
    <w:rsid w:val="00300902"/>
    <w:rsid w:val="003013FA"/>
    <w:rsid w:val="00302226"/>
    <w:rsid w:val="003043D9"/>
    <w:rsid w:val="0030709F"/>
    <w:rsid w:val="003073EA"/>
    <w:rsid w:val="003122DD"/>
    <w:rsid w:val="003129C4"/>
    <w:rsid w:val="003143BE"/>
    <w:rsid w:val="00320B40"/>
    <w:rsid w:val="00320EA3"/>
    <w:rsid w:val="00320F70"/>
    <w:rsid w:val="00324085"/>
    <w:rsid w:val="00324996"/>
    <w:rsid w:val="00324EFB"/>
    <w:rsid w:val="003263FD"/>
    <w:rsid w:val="003277AB"/>
    <w:rsid w:val="0033030F"/>
    <w:rsid w:val="00330FC1"/>
    <w:rsid w:val="00331430"/>
    <w:rsid w:val="00333C3B"/>
    <w:rsid w:val="00335C8D"/>
    <w:rsid w:val="00336A26"/>
    <w:rsid w:val="003434D7"/>
    <w:rsid w:val="0034637E"/>
    <w:rsid w:val="003467EB"/>
    <w:rsid w:val="00351EB2"/>
    <w:rsid w:val="00351F84"/>
    <w:rsid w:val="00353253"/>
    <w:rsid w:val="00360C7E"/>
    <w:rsid w:val="00361971"/>
    <w:rsid w:val="00363C83"/>
    <w:rsid w:val="0037016E"/>
    <w:rsid w:val="00370BDE"/>
    <w:rsid w:val="0037165E"/>
    <w:rsid w:val="00372298"/>
    <w:rsid w:val="00376C10"/>
    <w:rsid w:val="00380137"/>
    <w:rsid w:val="00381208"/>
    <w:rsid w:val="0038160E"/>
    <w:rsid w:val="00383A07"/>
    <w:rsid w:val="003859C8"/>
    <w:rsid w:val="00387174"/>
    <w:rsid w:val="00391AFB"/>
    <w:rsid w:val="00391B1D"/>
    <w:rsid w:val="00392B0F"/>
    <w:rsid w:val="00393885"/>
    <w:rsid w:val="003948E7"/>
    <w:rsid w:val="003949A2"/>
    <w:rsid w:val="00395695"/>
    <w:rsid w:val="003A330D"/>
    <w:rsid w:val="003A44CF"/>
    <w:rsid w:val="003A4DD3"/>
    <w:rsid w:val="003B2DA4"/>
    <w:rsid w:val="003B3C85"/>
    <w:rsid w:val="003B3CA5"/>
    <w:rsid w:val="003B4803"/>
    <w:rsid w:val="003B4A86"/>
    <w:rsid w:val="003B577C"/>
    <w:rsid w:val="003B57CE"/>
    <w:rsid w:val="003B5B34"/>
    <w:rsid w:val="003B658A"/>
    <w:rsid w:val="003B7DD4"/>
    <w:rsid w:val="003C07BB"/>
    <w:rsid w:val="003C09E1"/>
    <w:rsid w:val="003C2ADD"/>
    <w:rsid w:val="003C42F8"/>
    <w:rsid w:val="003C5E79"/>
    <w:rsid w:val="003C746C"/>
    <w:rsid w:val="003D0B8C"/>
    <w:rsid w:val="003D1492"/>
    <w:rsid w:val="003D176D"/>
    <w:rsid w:val="003D1C17"/>
    <w:rsid w:val="003D1F6C"/>
    <w:rsid w:val="003D59AE"/>
    <w:rsid w:val="003D5A8E"/>
    <w:rsid w:val="003E1466"/>
    <w:rsid w:val="003E1FCC"/>
    <w:rsid w:val="003E48D1"/>
    <w:rsid w:val="003E7152"/>
    <w:rsid w:val="003E7392"/>
    <w:rsid w:val="003F0930"/>
    <w:rsid w:val="003F0C7F"/>
    <w:rsid w:val="003F2919"/>
    <w:rsid w:val="003F3304"/>
    <w:rsid w:val="00404814"/>
    <w:rsid w:val="004072ED"/>
    <w:rsid w:val="00411393"/>
    <w:rsid w:val="00411F17"/>
    <w:rsid w:val="00412CF1"/>
    <w:rsid w:val="00423A6B"/>
    <w:rsid w:val="00425B2F"/>
    <w:rsid w:val="00427E95"/>
    <w:rsid w:val="0043149B"/>
    <w:rsid w:val="00432DCC"/>
    <w:rsid w:val="00432E63"/>
    <w:rsid w:val="004338D2"/>
    <w:rsid w:val="004352B4"/>
    <w:rsid w:val="00436B52"/>
    <w:rsid w:val="004409B7"/>
    <w:rsid w:val="00442A4B"/>
    <w:rsid w:val="004441DD"/>
    <w:rsid w:val="00444ACB"/>
    <w:rsid w:val="00445D7B"/>
    <w:rsid w:val="00446467"/>
    <w:rsid w:val="0044787D"/>
    <w:rsid w:val="00447D4C"/>
    <w:rsid w:val="0045037E"/>
    <w:rsid w:val="00453345"/>
    <w:rsid w:val="0045490F"/>
    <w:rsid w:val="00456360"/>
    <w:rsid w:val="0046127F"/>
    <w:rsid w:val="004649F0"/>
    <w:rsid w:val="004653F9"/>
    <w:rsid w:val="00465778"/>
    <w:rsid w:val="0046682F"/>
    <w:rsid w:val="00467843"/>
    <w:rsid w:val="00470BA1"/>
    <w:rsid w:val="004710FE"/>
    <w:rsid w:val="00471677"/>
    <w:rsid w:val="00472AD1"/>
    <w:rsid w:val="00475945"/>
    <w:rsid w:val="00475CC2"/>
    <w:rsid w:val="0047637B"/>
    <w:rsid w:val="004806E3"/>
    <w:rsid w:val="004808D4"/>
    <w:rsid w:val="00481178"/>
    <w:rsid w:val="00484876"/>
    <w:rsid w:val="00484CAE"/>
    <w:rsid w:val="00485977"/>
    <w:rsid w:val="004872B2"/>
    <w:rsid w:val="00493F0F"/>
    <w:rsid w:val="004961A2"/>
    <w:rsid w:val="004A0B88"/>
    <w:rsid w:val="004A44B8"/>
    <w:rsid w:val="004A6834"/>
    <w:rsid w:val="004B0DC6"/>
    <w:rsid w:val="004C4C72"/>
    <w:rsid w:val="004C5809"/>
    <w:rsid w:val="004C5B75"/>
    <w:rsid w:val="004C6B92"/>
    <w:rsid w:val="004D098A"/>
    <w:rsid w:val="004D0CB0"/>
    <w:rsid w:val="004D570E"/>
    <w:rsid w:val="004D7909"/>
    <w:rsid w:val="004E4C76"/>
    <w:rsid w:val="004E553A"/>
    <w:rsid w:val="004E63F6"/>
    <w:rsid w:val="004E6C0F"/>
    <w:rsid w:val="004E6F85"/>
    <w:rsid w:val="004E70FD"/>
    <w:rsid w:val="004E76E9"/>
    <w:rsid w:val="004F0AF9"/>
    <w:rsid w:val="004F0DA7"/>
    <w:rsid w:val="004F3F8A"/>
    <w:rsid w:val="004F596D"/>
    <w:rsid w:val="004F747D"/>
    <w:rsid w:val="0050018D"/>
    <w:rsid w:val="00501450"/>
    <w:rsid w:val="0050194E"/>
    <w:rsid w:val="00501EDC"/>
    <w:rsid w:val="005027AF"/>
    <w:rsid w:val="00502CF8"/>
    <w:rsid w:val="0050479C"/>
    <w:rsid w:val="00512460"/>
    <w:rsid w:val="00513279"/>
    <w:rsid w:val="00515A61"/>
    <w:rsid w:val="005178F8"/>
    <w:rsid w:val="00520511"/>
    <w:rsid w:val="00524F73"/>
    <w:rsid w:val="00526248"/>
    <w:rsid w:val="005266CE"/>
    <w:rsid w:val="00526712"/>
    <w:rsid w:val="005268D1"/>
    <w:rsid w:val="00527976"/>
    <w:rsid w:val="005336A3"/>
    <w:rsid w:val="00534BB7"/>
    <w:rsid w:val="00534D34"/>
    <w:rsid w:val="00535F1F"/>
    <w:rsid w:val="00536703"/>
    <w:rsid w:val="005369AF"/>
    <w:rsid w:val="00542238"/>
    <w:rsid w:val="00543A3A"/>
    <w:rsid w:val="00543D32"/>
    <w:rsid w:val="00550537"/>
    <w:rsid w:val="005513F3"/>
    <w:rsid w:val="00554A56"/>
    <w:rsid w:val="0055515C"/>
    <w:rsid w:val="00556FD0"/>
    <w:rsid w:val="00561009"/>
    <w:rsid w:val="00561929"/>
    <w:rsid w:val="0056224F"/>
    <w:rsid w:val="00562546"/>
    <w:rsid w:val="00564B27"/>
    <w:rsid w:val="00565037"/>
    <w:rsid w:val="00566C0D"/>
    <w:rsid w:val="00567C2C"/>
    <w:rsid w:val="005701A3"/>
    <w:rsid w:val="005749F7"/>
    <w:rsid w:val="0058465E"/>
    <w:rsid w:val="00584BBD"/>
    <w:rsid w:val="00587A7F"/>
    <w:rsid w:val="00587CA0"/>
    <w:rsid w:val="00592B00"/>
    <w:rsid w:val="00594FE2"/>
    <w:rsid w:val="005957EB"/>
    <w:rsid w:val="00596421"/>
    <w:rsid w:val="005967A9"/>
    <w:rsid w:val="005968EB"/>
    <w:rsid w:val="005A05F3"/>
    <w:rsid w:val="005A1429"/>
    <w:rsid w:val="005A29BA"/>
    <w:rsid w:val="005A2E2B"/>
    <w:rsid w:val="005A44A7"/>
    <w:rsid w:val="005A4A3C"/>
    <w:rsid w:val="005A50DF"/>
    <w:rsid w:val="005A5A3A"/>
    <w:rsid w:val="005B1806"/>
    <w:rsid w:val="005B33F7"/>
    <w:rsid w:val="005B3F7D"/>
    <w:rsid w:val="005B5417"/>
    <w:rsid w:val="005B6E7E"/>
    <w:rsid w:val="005B792A"/>
    <w:rsid w:val="005C0B32"/>
    <w:rsid w:val="005C40D2"/>
    <w:rsid w:val="005D0782"/>
    <w:rsid w:val="005D0F30"/>
    <w:rsid w:val="005D2D7D"/>
    <w:rsid w:val="005D359E"/>
    <w:rsid w:val="005D3886"/>
    <w:rsid w:val="005E0419"/>
    <w:rsid w:val="005E3498"/>
    <w:rsid w:val="005E643E"/>
    <w:rsid w:val="005F041F"/>
    <w:rsid w:val="005F0FAB"/>
    <w:rsid w:val="005F102B"/>
    <w:rsid w:val="005F2CE3"/>
    <w:rsid w:val="005F4E86"/>
    <w:rsid w:val="005F5710"/>
    <w:rsid w:val="005F5E24"/>
    <w:rsid w:val="00600F20"/>
    <w:rsid w:val="006027DA"/>
    <w:rsid w:val="00602A45"/>
    <w:rsid w:val="006044D3"/>
    <w:rsid w:val="00604AE7"/>
    <w:rsid w:val="006107C6"/>
    <w:rsid w:val="00610CE9"/>
    <w:rsid w:val="00611E98"/>
    <w:rsid w:val="006126B5"/>
    <w:rsid w:val="00612770"/>
    <w:rsid w:val="00612DC5"/>
    <w:rsid w:val="006130EC"/>
    <w:rsid w:val="00613482"/>
    <w:rsid w:val="0061521A"/>
    <w:rsid w:val="0061628F"/>
    <w:rsid w:val="00616334"/>
    <w:rsid w:val="00617E0B"/>
    <w:rsid w:val="00621042"/>
    <w:rsid w:val="006229DA"/>
    <w:rsid w:val="006229FE"/>
    <w:rsid w:val="0062431A"/>
    <w:rsid w:val="006248D0"/>
    <w:rsid w:val="00624CC0"/>
    <w:rsid w:val="006257AF"/>
    <w:rsid w:val="006259A8"/>
    <w:rsid w:val="00625E6D"/>
    <w:rsid w:val="00625F34"/>
    <w:rsid w:val="00631BD0"/>
    <w:rsid w:val="00637583"/>
    <w:rsid w:val="006377CC"/>
    <w:rsid w:val="00640543"/>
    <w:rsid w:val="00641C57"/>
    <w:rsid w:val="00642EE4"/>
    <w:rsid w:val="00645002"/>
    <w:rsid w:val="006479C8"/>
    <w:rsid w:val="00647CEB"/>
    <w:rsid w:val="006500BC"/>
    <w:rsid w:val="006519C9"/>
    <w:rsid w:val="006538CD"/>
    <w:rsid w:val="00654013"/>
    <w:rsid w:val="00656266"/>
    <w:rsid w:val="006615CA"/>
    <w:rsid w:val="006615FC"/>
    <w:rsid w:val="006617D4"/>
    <w:rsid w:val="00661AE2"/>
    <w:rsid w:val="006642D8"/>
    <w:rsid w:val="0066615A"/>
    <w:rsid w:val="00670724"/>
    <w:rsid w:val="00671997"/>
    <w:rsid w:val="006719ED"/>
    <w:rsid w:val="00671D8A"/>
    <w:rsid w:val="00674172"/>
    <w:rsid w:val="00674C31"/>
    <w:rsid w:val="006774AA"/>
    <w:rsid w:val="00684E1F"/>
    <w:rsid w:val="006852AB"/>
    <w:rsid w:val="006856D0"/>
    <w:rsid w:val="00685F2C"/>
    <w:rsid w:val="006860F1"/>
    <w:rsid w:val="00687209"/>
    <w:rsid w:val="00693C8B"/>
    <w:rsid w:val="00694A9A"/>
    <w:rsid w:val="0069517F"/>
    <w:rsid w:val="006954A3"/>
    <w:rsid w:val="0069633A"/>
    <w:rsid w:val="00697F2C"/>
    <w:rsid w:val="006A18E5"/>
    <w:rsid w:val="006A2BF8"/>
    <w:rsid w:val="006B1204"/>
    <w:rsid w:val="006B16E8"/>
    <w:rsid w:val="006B3627"/>
    <w:rsid w:val="006B5281"/>
    <w:rsid w:val="006C5A87"/>
    <w:rsid w:val="006C6A19"/>
    <w:rsid w:val="006C702A"/>
    <w:rsid w:val="006D03A8"/>
    <w:rsid w:val="006D0F39"/>
    <w:rsid w:val="006D262F"/>
    <w:rsid w:val="006D43D9"/>
    <w:rsid w:val="006D483C"/>
    <w:rsid w:val="006D5DA9"/>
    <w:rsid w:val="006D74A6"/>
    <w:rsid w:val="006D79FE"/>
    <w:rsid w:val="006E1AA3"/>
    <w:rsid w:val="006E49D1"/>
    <w:rsid w:val="006E63F5"/>
    <w:rsid w:val="006E6690"/>
    <w:rsid w:val="006F0646"/>
    <w:rsid w:val="006F2EDC"/>
    <w:rsid w:val="006F36EE"/>
    <w:rsid w:val="006F535B"/>
    <w:rsid w:val="00700D9A"/>
    <w:rsid w:val="0070227A"/>
    <w:rsid w:val="00704286"/>
    <w:rsid w:val="00704318"/>
    <w:rsid w:val="00710F50"/>
    <w:rsid w:val="007119C9"/>
    <w:rsid w:val="00712E4E"/>
    <w:rsid w:val="00715F78"/>
    <w:rsid w:val="00716129"/>
    <w:rsid w:val="00717DCB"/>
    <w:rsid w:val="00720131"/>
    <w:rsid w:val="00720E41"/>
    <w:rsid w:val="00727994"/>
    <w:rsid w:val="00727D52"/>
    <w:rsid w:val="00730EC6"/>
    <w:rsid w:val="007324FD"/>
    <w:rsid w:val="00732CCF"/>
    <w:rsid w:val="00733A32"/>
    <w:rsid w:val="00734AFD"/>
    <w:rsid w:val="00740A09"/>
    <w:rsid w:val="007414ED"/>
    <w:rsid w:val="007418DB"/>
    <w:rsid w:val="00744472"/>
    <w:rsid w:val="0074552F"/>
    <w:rsid w:val="00746010"/>
    <w:rsid w:val="0074710C"/>
    <w:rsid w:val="00752342"/>
    <w:rsid w:val="00754158"/>
    <w:rsid w:val="00754F73"/>
    <w:rsid w:val="00755DB4"/>
    <w:rsid w:val="00756A05"/>
    <w:rsid w:val="00760A78"/>
    <w:rsid w:val="0076206B"/>
    <w:rsid w:val="00763A45"/>
    <w:rsid w:val="00763D26"/>
    <w:rsid w:val="007648E3"/>
    <w:rsid w:val="00765F58"/>
    <w:rsid w:val="007707D9"/>
    <w:rsid w:val="00770A7F"/>
    <w:rsid w:val="00771266"/>
    <w:rsid w:val="0077393F"/>
    <w:rsid w:val="00777E8B"/>
    <w:rsid w:val="00781391"/>
    <w:rsid w:val="007820CB"/>
    <w:rsid w:val="00782CC6"/>
    <w:rsid w:val="00785A81"/>
    <w:rsid w:val="007876EA"/>
    <w:rsid w:val="00792DBA"/>
    <w:rsid w:val="00792EAA"/>
    <w:rsid w:val="007A0862"/>
    <w:rsid w:val="007A0D2B"/>
    <w:rsid w:val="007A5BB8"/>
    <w:rsid w:val="007A69B3"/>
    <w:rsid w:val="007A74DA"/>
    <w:rsid w:val="007B382A"/>
    <w:rsid w:val="007B3BB8"/>
    <w:rsid w:val="007B468A"/>
    <w:rsid w:val="007B577D"/>
    <w:rsid w:val="007B6459"/>
    <w:rsid w:val="007B7A54"/>
    <w:rsid w:val="007B7B00"/>
    <w:rsid w:val="007B7E1A"/>
    <w:rsid w:val="007C356B"/>
    <w:rsid w:val="007C3705"/>
    <w:rsid w:val="007C5D72"/>
    <w:rsid w:val="007C5F07"/>
    <w:rsid w:val="007C691A"/>
    <w:rsid w:val="007C772E"/>
    <w:rsid w:val="007C7770"/>
    <w:rsid w:val="007D1A6C"/>
    <w:rsid w:val="007D36AF"/>
    <w:rsid w:val="007D373B"/>
    <w:rsid w:val="007D5081"/>
    <w:rsid w:val="007D587B"/>
    <w:rsid w:val="007D708E"/>
    <w:rsid w:val="007D7448"/>
    <w:rsid w:val="007E1073"/>
    <w:rsid w:val="007E22BF"/>
    <w:rsid w:val="007E3F49"/>
    <w:rsid w:val="007E434A"/>
    <w:rsid w:val="007E5E72"/>
    <w:rsid w:val="007E6C9B"/>
    <w:rsid w:val="007F3AC4"/>
    <w:rsid w:val="007F4EF9"/>
    <w:rsid w:val="007F6F5F"/>
    <w:rsid w:val="00803059"/>
    <w:rsid w:val="008060CB"/>
    <w:rsid w:val="00811D20"/>
    <w:rsid w:val="008123FD"/>
    <w:rsid w:val="0081369C"/>
    <w:rsid w:val="00814BAA"/>
    <w:rsid w:val="008207F1"/>
    <w:rsid w:val="00824566"/>
    <w:rsid w:val="00826B72"/>
    <w:rsid w:val="00826E0D"/>
    <w:rsid w:val="0083205F"/>
    <w:rsid w:val="00833CE7"/>
    <w:rsid w:val="00835708"/>
    <w:rsid w:val="00836DDB"/>
    <w:rsid w:val="0083793A"/>
    <w:rsid w:val="00845CA0"/>
    <w:rsid w:val="008531B8"/>
    <w:rsid w:val="008560D3"/>
    <w:rsid w:val="00856A8A"/>
    <w:rsid w:val="00857247"/>
    <w:rsid w:val="00860393"/>
    <w:rsid w:val="00860A93"/>
    <w:rsid w:val="00862814"/>
    <w:rsid w:val="00864670"/>
    <w:rsid w:val="00864F3E"/>
    <w:rsid w:val="008658F5"/>
    <w:rsid w:val="00866134"/>
    <w:rsid w:val="00870FF2"/>
    <w:rsid w:val="00871076"/>
    <w:rsid w:val="008711A3"/>
    <w:rsid w:val="008721A5"/>
    <w:rsid w:val="0087279B"/>
    <w:rsid w:val="008729A1"/>
    <w:rsid w:val="0087773B"/>
    <w:rsid w:val="0088031A"/>
    <w:rsid w:val="008805DB"/>
    <w:rsid w:val="00885530"/>
    <w:rsid w:val="00885E85"/>
    <w:rsid w:val="008860BA"/>
    <w:rsid w:val="008868AD"/>
    <w:rsid w:val="008878C3"/>
    <w:rsid w:val="00893AB8"/>
    <w:rsid w:val="008940D7"/>
    <w:rsid w:val="00896CBC"/>
    <w:rsid w:val="00897EDB"/>
    <w:rsid w:val="008A149F"/>
    <w:rsid w:val="008A153A"/>
    <w:rsid w:val="008A1C96"/>
    <w:rsid w:val="008A2746"/>
    <w:rsid w:val="008A302D"/>
    <w:rsid w:val="008A3358"/>
    <w:rsid w:val="008A3AAB"/>
    <w:rsid w:val="008A59EE"/>
    <w:rsid w:val="008A7634"/>
    <w:rsid w:val="008B0FDB"/>
    <w:rsid w:val="008B20A3"/>
    <w:rsid w:val="008C1603"/>
    <w:rsid w:val="008C4189"/>
    <w:rsid w:val="008D031D"/>
    <w:rsid w:val="008D6CA9"/>
    <w:rsid w:val="008D6F0E"/>
    <w:rsid w:val="008D73F1"/>
    <w:rsid w:val="008E57E5"/>
    <w:rsid w:val="008F2361"/>
    <w:rsid w:val="008F4CA4"/>
    <w:rsid w:val="008F56BE"/>
    <w:rsid w:val="008F5D58"/>
    <w:rsid w:val="008F6421"/>
    <w:rsid w:val="0090532A"/>
    <w:rsid w:val="009132C6"/>
    <w:rsid w:val="009150BC"/>
    <w:rsid w:val="0091596D"/>
    <w:rsid w:val="00915D92"/>
    <w:rsid w:val="009168A5"/>
    <w:rsid w:val="00916911"/>
    <w:rsid w:val="00917DCD"/>
    <w:rsid w:val="00920FEC"/>
    <w:rsid w:val="00921E54"/>
    <w:rsid w:val="00923D1B"/>
    <w:rsid w:val="00924811"/>
    <w:rsid w:val="0092508F"/>
    <w:rsid w:val="00925BB6"/>
    <w:rsid w:val="009261B4"/>
    <w:rsid w:val="00931580"/>
    <w:rsid w:val="00932C2D"/>
    <w:rsid w:val="00933485"/>
    <w:rsid w:val="00933936"/>
    <w:rsid w:val="0093748C"/>
    <w:rsid w:val="00940B57"/>
    <w:rsid w:val="009420D5"/>
    <w:rsid w:val="009423A6"/>
    <w:rsid w:val="0094449E"/>
    <w:rsid w:val="00946624"/>
    <w:rsid w:val="009474D0"/>
    <w:rsid w:val="00947B31"/>
    <w:rsid w:val="00950674"/>
    <w:rsid w:val="009513C6"/>
    <w:rsid w:val="00953BBD"/>
    <w:rsid w:val="00956FA6"/>
    <w:rsid w:val="00957B3F"/>
    <w:rsid w:val="00957C67"/>
    <w:rsid w:val="00960415"/>
    <w:rsid w:val="009616FE"/>
    <w:rsid w:val="009622F2"/>
    <w:rsid w:val="00962947"/>
    <w:rsid w:val="0096339C"/>
    <w:rsid w:val="00965D2F"/>
    <w:rsid w:val="009712E1"/>
    <w:rsid w:val="0097155F"/>
    <w:rsid w:val="009717B7"/>
    <w:rsid w:val="00971F6A"/>
    <w:rsid w:val="00975A55"/>
    <w:rsid w:val="009823D3"/>
    <w:rsid w:val="00985009"/>
    <w:rsid w:val="00987ED7"/>
    <w:rsid w:val="009943C2"/>
    <w:rsid w:val="00994B3B"/>
    <w:rsid w:val="00994E28"/>
    <w:rsid w:val="00995631"/>
    <w:rsid w:val="009A039D"/>
    <w:rsid w:val="009A1D78"/>
    <w:rsid w:val="009A1ECE"/>
    <w:rsid w:val="009A46D2"/>
    <w:rsid w:val="009A787C"/>
    <w:rsid w:val="009B00F9"/>
    <w:rsid w:val="009B27C3"/>
    <w:rsid w:val="009B4038"/>
    <w:rsid w:val="009B6B72"/>
    <w:rsid w:val="009C08FB"/>
    <w:rsid w:val="009C290A"/>
    <w:rsid w:val="009C3C66"/>
    <w:rsid w:val="009C5B26"/>
    <w:rsid w:val="009C6374"/>
    <w:rsid w:val="009D2B11"/>
    <w:rsid w:val="009D32E9"/>
    <w:rsid w:val="009D40B1"/>
    <w:rsid w:val="009E0217"/>
    <w:rsid w:val="009E0C40"/>
    <w:rsid w:val="009E2870"/>
    <w:rsid w:val="009E5519"/>
    <w:rsid w:val="009F256B"/>
    <w:rsid w:val="009F4582"/>
    <w:rsid w:val="009F47AA"/>
    <w:rsid w:val="00A00BE5"/>
    <w:rsid w:val="00A018E1"/>
    <w:rsid w:val="00A022C8"/>
    <w:rsid w:val="00A0711A"/>
    <w:rsid w:val="00A07A9C"/>
    <w:rsid w:val="00A11861"/>
    <w:rsid w:val="00A125D7"/>
    <w:rsid w:val="00A1350A"/>
    <w:rsid w:val="00A13BBE"/>
    <w:rsid w:val="00A13E29"/>
    <w:rsid w:val="00A14CE9"/>
    <w:rsid w:val="00A15A7A"/>
    <w:rsid w:val="00A161B9"/>
    <w:rsid w:val="00A23FE4"/>
    <w:rsid w:val="00A248DD"/>
    <w:rsid w:val="00A24E08"/>
    <w:rsid w:val="00A256E4"/>
    <w:rsid w:val="00A26176"/>
    <w:rsid w:val="00A27B11"/>
    <w:rsid w:val="00A33BF7"/>
    <w:rsid w:val="00A34A69"/>
    <w:rsid w:val="00A35294"/>
    <w:rsid w:val="00A35DC9"/>
    <w:rsid w:val="00A362D9"/>
    <w:rsid w:val="00A37724"/>
    <w:rsid w:val="00A40DF0"/>
    <w:rsid w:val="00A416C4"/>
    <w:rsid w:val="00A43C3D"/>
    <w:rsid w:val="00A461BA"/>
    <w:rsid w:val="00A47701"/>
    <w:rsid w:val="00A5112D"/>
    <w:rsid w:val="00A5132C"/>
    <w:rsid w:val="00A556F2"/>
    <w:rsid w:val="00A57940"/>
    <w:rsid w:val="00A579F7"/>
    <w:rsid w:val="00A612C8"/>
    <w:rsid w:val="00A6197D"/>
    <w:rsid w:val="00A624BA"/>
    <w:rsid w:val="00A64937"/>
    <w:rsid w:val="00A64E87"/>
    <w:rsid w:val="00A660C1"/>
    <w:rsid w:val="00A67697"/>
    <w:rsid w:val="00A707B8"/>
    <w:rsid w:val="00A70986"/>
    <w:rsid w:val="00A709DE"/>
    <w:rsid w:val="00A75FBE"/>
    <w:rsid w:val="00A80A1F"/>
    <w:rsid w:val="00A82C32"/>
    <w:rsid w:val="00A84A39"/>
    <w:rsid w:val="00A91966"/>
    <w:rsid w:val="00A92E7C"/>
    <w:rsid w:val="00A97FB6"/>
    <w:rsid w:val="00AA1C46"/>
    <w:rsid w:val="00AA1FB7"/>
    <w:rsid w:val="00AA231D"/>
    <w:rsid w:val="00AB0E42"/>
    <w:rsid w:val="00AB0EB3"/>
    <w:rsid w:val="00AB19C6"/>
    <w:rsid w:val="00AB220D"/>
    <w:rsid w:val="00AB3455"/>
    <w:rsid w:val="00AB5DCC"/>
    <w:rsid w:val="00AB6EBC"/>
    <w:rsid w:val="00AC0789"/>
    <w:rsid w:val="00AC0BE8"/>
    <w:rsid w:val="00AC0F44"/>
    <w:rsid w:val="00AC0FD5"/>
    <w:rsid w:val="00AC407B"/>
    <w:rsid w:val="00AC49AA"/>
    <w:rsid w:val="00AC5BF1"/>
    <w:rsid w:val="00AD0074"/>
    <w:rsid w:val="00AD174D"/>
    <w:rsid w:val="00AD3550"/>
    <w:rsid w:val="00AD624B"/>
    <w:rsid w:val="00AD7606"/>
    <w:rsid w:val="00AE3374"/>
    <w:rsid w:val="00AE3DEA"/>
    <w:rsid w:val="00AE4B3D"/>
    <w:rsid w:val="00AE56BE"/>
    <w:rsid w:val="00AE5BC0"/>
    <w:rsid w:val="00AF0505"/>
    <w:rsid w:val="00AF0C3E"/>
    <w:rsid w:val="00AF3005"/>
    <w:rsid w:val="00AF4E51"/>
    <w:rsid w:val="00AF509A"/>
    <w:rsid w:val="00AF5ED0"/>
    <w:rsid w:val="00B00559"/>
    <w:rsid w:val="00B00D34"/>
    <w:rsid w:val="00B02249"/>
    <w:rsid w:val="00B042A5"/>
    <w:rsid w:val="00B04D31"/>
    <w:rsid w:val="00B061FB"/>
    <w:rsid w:val="00B0667B"/>
    <w:rsid w:val="00B06885"/>
    <w:rsid w:val="00B11895"/>
    <w:rsid w:val="00B12E62"/>
    <w:rsid w:val="00B142A7"/>
    <w:rsid w:val="00B1481C"/>
    <w:rsid w:val="00B17CD0"/>
    <w:rsid w:val="00B2456A"/>
    <w:rsid w:val="00B24BE7"/>
    <w:rsid w:val="00B30731"/>
    <w:rsid w:val="00B3088E"/>
    <w:rsid w:val="00B32994"/>
    <w:rsid w:val="00B337E2"/>
    <w:rsid w:val="00B363DB"/>
    <w:rsid w:val="00B370FB"/>
    <w:rsid w:val="00B43145"/>
    <w:rsid w:val="00B43150"/>
    <w:rsid w:val="00B45794"/>
    <w:rsid w:val="00B45A16"/>
    <w:rsid w:val="00B46807"/>
    <w:rsid w:val="00B468AB"/>
    <w:rsid w:val="00B4692F"/>
    <w:rsid w:val="00B46ADB"/>
    <w:rsid w:val="00B4712D"/>
    <w:rsid w:val="00B52B46"/>
    <w:rsid w:val="00B54382"/>
    <w:rsid w:val="00B545F9"/>
    <w:rsid w:val="00B63ED3"/>
    <w:rsid w:val="00B649D9"/>
    <w:rsid w:val="00B65A36"/>
    <w:rsid w:val="00B66AD1"/>
    <w:rsid w:val="00B733FF"/>
    <w:rsid w:val="00B75381"/>
    <w:rsid w:val="00B7565F"/>
    <w:rsid w:val="00B758D9"/>
    <w:rsid w:val="00B81A9E"/>
    <w:rsid w:val="00B84EDF"/>
    <w:rsid w:val="00B86F77"/>
    <w:rsid w:val="00B871AF"/>
    <w:rsid w:val="00B87705"/>
    <w:rsid w:val="00B93DD3"/>
    <w:rsid w:val="00B9430E"/>
    <w:rsid w:val="00B95A88"/>
    <w:rsid w:val="00B95B07"/>
    <w:rsid w:val="00B9601C"/>
    <w:rsid w:val="00B97E8E"/>
    <w:rsid w:val="00BA0B6D"/>
    <w:rsid w:val="00BA0D7E"/>
    <w:rsid w:val="00BA28C1"/>
    <w:rsid w:val="00BA4014"/>
    <w:rsid w:val="00BA6F3F"/>
    <w:rsid w:val="00BA7B8E"/>
    <w:rsid w:val="00BB4C41"/>
    <w:rsid w:val="00BB73F1"/>
    <w:rsid w:val="00BB7563"/>
    <w:rsid w:val="00BC38B1"/>
    <w:rsid w:val="00BC5E03"/>
    <w:rsid w:val="00BC6A46"/>
    <w:rsid w:val="00BD1B26"/>
    <w:rsid w:val="00BD428A"/>
    <w:rsid w:val="00BD4629"/>
    <w:rsid w:val="00BD4971"/>
    <w:rsid w:val="00BD4F0A"/>
    <w:rsid w:val="00BD50C1"/>
    <w:rsid w:val="00BD5266"/>
    <w:rsid w:val="00BD6586"/>
    <w:rsid w:val="00BE54D1"/>
    <w:rsid w:val="00BE5905"/>
    <w:rsid w:val="00BE78D6"/>
    <w:rsid w:val="00BE7962"/>
    <w:rsid w:val="00BF4CED"/>
    <w:rsid w:val="00BF5E02"/>
    <w:rsid w:val="00C04138"/>
    <w:rsid w:val="00C0418E"/>
    <w:rsid w:val="00C05F1E"/>
    <w:rsid w:val="00C07E13"/>
    <w:rsid w:val="00C07E59"/>
    <w:rsid w:val="00C07ECF"/>
    <w:rsid w:val="00C11120"/>
    <w:rsid w:val="00C11A56"/>
    <w:rsid w:val="00C12C45"/>
    <w:rsid w:val="00C149F2"/>
    <w:rsid w:val="00C1504C"/>
    <w:rsid w:val="00C201C5"/>
    <w:rsid w:val="00C23F1F"/>
    <w:rsid w:val="00C2412D"/>
    <w:rsid w:val="00C24FD8"/>
    <w:rsid w:val="00C2634A"/>
    <w:rsid w:val="00C26AAF"/>
    <w:rsid w:val="00C26E3C"/>
    <w:rsid w:val="00C3128A"/>
    <w:rsid w:val="00C32967"/>
    <w:rsid w:val="00C330C8"/>
    <w:rsid w:val="00C3420E"/>
    <w:rsid w:val="00C34779"/>
    <w:rsid w:val="00C35779"/>
    <w:rsid w:val="00C366B4"/>
    <w:rsid w:val="00C373F1"/>
    <w:rsid w:val="00C441BB"/>
    <w:rsid w:val="00C45197"/>
    <w:rsid w:val="00C51807"/>
    <w:rsid w:val="00C54C95"/>
    <w:rsid w:val="00C55179"/>
    <w:rsid w:val="00C607DA"/>
    <w:rsid w:val="00C6166C"/>
    <w:rsid w:val="00C61C0D"/>
    <w:rsid w:val="00C61FAB"/>
    <w:rsid w:val="00C62E35"/>
    <w:rsid w:val="00C64D8A"/>
    <w:rsid w:val="00C75A8F"/>
    <w:rsid w:val="00C76FB6"/>
    <w:rsid w:val="00C84617"/>
    <w:rsid w:val="00C85A93"/>
    <w:rsid w:val="00C87C31"/>
    <w:rsid w:val="00C922A8"/>
    <w:rsid w:val="00C95ED0"/>
    <w:rsid w:val="00C96178"/>
    <w:rsid w:val="00CA4114"/>
    <w:rsid w:val="00CA4B33"/>
    <w:rsid w:val="00CA522E"/>
    <w:rsid w:val="00CB1C48"/>
    <w:rsid w:val="00CB6141"/>
    <w:rsid w:val="00CB6454"/>
    <w:rsid w:val="00CC0C8E"/>
    <w:rsid w:val="00CC290D"/>
    <w:rsid w:val="00CC358E"/>
    <w:rsid w:val="00CC5CDF"/>
    <w:rsid w:val="00CC79A1"/>
    <w:rsid w:val="00CD05FB"/>
    <w:rsid w:val="00CD157A"/>
    <w:rsid w:val="00CD15EE"/>
    <w:rsid w:val="00CD19A4"/>
    <w:rsid w:val="00CD2A6A"/>
    <w:rsid w:val="00CD538A"/>
    <w:rsid w:val="00CD7989"/>
    <w:rsid w:val="00CD7B13"/>
    <w:rsid w:val="00CE0345"/>
    <w:rsid w:val="00CE0E22"/>
    <w:rsid w:val="00CE0F21"/>
    <w:rsid w:val="00CE205E"/>
    <w:rsid w:val="00CE2F4B"/>
    <w:rsid w:val="00CE323D"/>
    <w:rsid w:val="00CE439B"/>
    <w:rsid w:val="00CE479B"/>
    <w:rsid w:val="00CE4E61"/>
    <w:rsid w:val="00CE526F"/>
    <w:rsid w:val="00CE6287"/>
    <w:rsid w:val="00CE6B43"/>
    <w:rsid w:val="00CE70E4"/>
    <w:rsid w:val="00CE79DF"/>
    <w:rsid w:val="00CF1BA0"/>
    <w:rsid w:val="00CF29F1"/>
    <w:rsid w:val="00CF5D19"/>
    <w:rsid w:val="00CF6FBF"/>
    <w:rsid w:val="00CF7385"/>
    <w:rsid w:val="00D00A39"/>
    <w:rsid w:val="00D04E4F"/>
    <w:rsid w:val="00D05F1D"/>
    <w:rsid w:val="00D06DC2"/>
    <w:rsid w:val="00D12478"/>
    <w:rsid w:val="00D125FD"/>
    <w:rsid w:val="00D1264E"/>
    <w:rsid w:val="00D12984"/>
    <w:rsid w:val="00D14FAD"/>
    <w:rsid w:val="00D16D78"/>
    <w:rsid w:val="00D2193C"/>
    <w:rsid w:val="00D225A9"/>
    <w:rsid w:val="00D33768"/>
    <w:rsid w:val="00D35415"/>
    <w:rsid w:val="00D36709"/>
    <w:rsid w:val="00D373F1"/>
    <w:rsid w:val="00D41151"/>
    <w:rsid w:val="00D41C07"/>
    <w:rsid w:val="00D4277D"/>
    <w:rsid w:val="00D50ECF"/>
    <w:rsid w:val="00D50F0D"/>
    <w:rsid w:val="00D51145"/>
    <w:rsid w:val="00D51DC0"/>
    <w:rsid w:val="00D540D0"/>
    <w:rsid w:val="00D54F28"/>
    <w:rsid w:val="00D618D1"/>
    <w:rsid w:val="00D70BEC"/>
    <w:rsid w:val="00D714E5"/>
    <w:rsid w:val="00D72515"/>
    <w:rsid w:val="00D7278C"/>
    <w:rsid w:val="00D7681E"/>
    <w:rsid w:val="00D77B13"/>
    <w:rsid w:val="00D80A72"/>
    <w:rsid w:val="00D80ED5"/>
    <w:rsid w:val="00D829B0"/>
    <w:rsid w:val="00D84947"/>
    <w:rsid w:val="00D85A60"/>
    <w:rsid w:val="00D91626"/>
    <w:rsid w:val="00D916B8"/>
    <w:rsid w:val="00D9384F"/>
    <w:rsid w:val="00D956D6"/>
    <w:rsid w:val="00D9639E"/>
    <w:rsid w:val="00D97AFF"/>
    <w:rsid w:val="00DA11CC"/>
    <w:rsid w:val="00DA2791"/>
    <w:rsid w:val="00DA2BBB"/>
    <w:rsid w:val="00DA3BE3"/>
    <w:rsid w:val="00DA3F49"/>
    <w:rsid w:val="00DB0727"/>
    <w:rsid w:val="00DB0839"/>
    <w:rsid w:val="00DB0A7F"/>
    <w:rsid w:val="00DB2694"/>
    <w:rsid w:val="00DB272A"/>
    <w:rsid w:val="00DB4609"/>
    <w:rsid w:val="00DB56B2"/>
    <w:rsid w:val="00DC0A13"/>
    <w:rsid w:val="00DC151C"/>
    <w:rsid w:val="00DC157D"/>
    <w:rsid w:val="00DC596F"/>
    <w:rsid w:val="00DC5A52"/>
    <w:rsid w:val="00DC7BDE"/>
    <w:rsid w:val="00DC7CB5"/>
    <w:rsid w:val="00DD14DE"/>
    <w:rsid w:val="00DD2E31"/>
    <w:rsid w:val="00DD476A"/>
    <w:rsid w:val="00DD4A60"/>
    <w:rsid w:val="00DD4AF1"/>
    <w:rsid w:val="00DD4B83"/>
    <w:rsid w:val="00DD7B97"/>
    <w:rsid w:val="00DE0AB3"/>
    <w:rsid w:val="00DE2133"/>
    <w:rsid w:val="00DE28CB"/>
    <w:rsid w:val="00DE3DC7"/>
    <w:rsid w:val="00DE76DB"/>
    <w:rsid w:val="00DE7DA0"/>
    <w:rsid w:val="00DF092E"/>
    <w:rsid w:val="00DF3099"/>
    <w:rsid w:val="00DF4C1E"/>
    <w:rsid w:val="00DF670E"/>
    <w:rsid w:val="00E0016E"/>
    <w:rsid w:val="00E00B2A"/>
    <w:rsid w:val="00E01005"/>
    <w:rsid w:val="00E01532"/>
    <w:rsid w:val="00E03AD2"/>
    <w:rsid w:val="00E055CA"/>
    <w:rsid w:val="00E0741D"/>
    <w:rsid w:val="00E07504"/>
    <w:rsid w:val="00E1091B"/>
    <w:rsid w:val="00E11533"/>
    <w:rsid w:val="00E11B81"/>
    <w:rsid w:val="00E124CF"/>
    <w:rsid w:val="00E143E5"/>
    <w:rsid w:val="00E15063"/>
    <w:rsid w:val="00E227A0"/>
    <w:rsid w:val="00E2360B"/>
    <w:rsid w:val="00E23B3A"/>
    <w:rsid w:val="00E252B3"/>
    <w:rsid w:val="00E27CF2"/>
    <w:rsid w:val="00E369C3"/>
    <w:rsid w:val="00E37609"/>
    <w:rsid w:val="00E37D22"/>
    <w:rsid w:val="00E41B8D"/>
    <w:rsid w:val="00E428AC"/>
    <w:rsid w:val="00E42C88"/>
    <w:rsid w:val="00E42FE0"/>
    <w:rsid w:val="00E44273"/>
    <w:rsid w:val="00E46B9B"/>
    <w:rsid w:val="00E46BCC"/>
    <w:rsid w:val="00E46C9B"/>
    <w:rsid w:val="00E47043"/>
    <w:rsid w:val="00E4763B"/>
    <w:rsid w:val="00E54601"/>
    <w:rsid w:val="00E56296"/>
    <w:rsid w:val="00E57790"/>
    <w:rsid w:val="00E62006"/>
    <w:rsid w:val="00E626BE"/>
    <w:rsid w:val="00E636BC"/>
    <w:rsid w:val="00E70992"/>
    <w:rsid w:val="00E70E78"/>
    <w:rsid w:val="00E71830"/>
    <w:rsid w:val="00E72F9D"/>
    <w:rsid w:val="00E74834"/>
    <w:rsid w:val="00E804AA"/>
    <w:rsid w:val="00E8072F"/>
    <w:rsid w:val="00E809FD"/>
    <w:rsid w:val="00E8150F"/>
    <w:rsid w:val="00E855EA"/>
    <w:rsid w:val="00E902D6"/>
    <w:rsid w:val="00EA0DAB"/>
    <w:rsid w:val="00EA1587"/>
    <w:rsid w:val="00EA1698"/>
    <w:rsid w:val="00EA20BE"/>
    <w:rsid w:val="00EA2AE0"/>
    <w:rsid w:val="00EA2BD8"/>
    <w:rsid w:val="00EA2DBB"/>
    <w:rsid w:val="00EB0487"/>
    <w:rsid w:val="00EB3168"/>
    <w:rsid w:val="00EB6C5F"/>
    <w:rsid w:val="00EC09FF"/>
    <w:rsid w:val="00EC4204"/>
    <w:rsid w:val="00EC448C"/>
    <w:rsid w:val="00EC492A"/>
    <w:rsid w:val="00ED0CA9"/>
    <w:rsid w:val="00ED286B"/>
    <w:rsid w:val="00ED2F39"/>
    <w:rsid w:val="00ED31FF"/>
    <w:rsid w:val="00ED3F7D"/>
    <w:rsid w:val="00ED5032"/>
    <w:rsid w:val="00ED5A34"/>
    <w:rsid w:val="00ED79C0"/>
    <w:rsid w:val="00EE01A4"/>
    <w:rsid w:val="00EE084D"/>
    <w:rsid w:val="00EE1660"/>
    <w:rsid w:val="00EE293E"/>
    <w:rsid w:val="00EE40EB"/>
    <w:rsid w:val="00EE5D24"/>
    <w:rsid w:val="00EF0D96"/>
    <w:rsid w:val="00EF0DF9"/>
    <w:rsid w:val="00EF12CF"/>
    <w:rsid w:val="00EF29A8"/>
    <w:rsid w:val="00EF51EE"/>
    <w:rsid w:val="00EF5A84"/>
    <w:rsid w:val="00EF7CDC"/>
    <w:rsid w:val="00F03879"/>
    <w:rsid w:val="00F05A4C"/>
    <w:rsid w:val="00F066CD"/>
    <w:rsid w:val="00F123BC"/>
    <w:rsid w:val="00F12733"/>
    <w:rsid w:val="00F12D5E"/>
    <w:rsid w:val="00F133C3"/>
    <w:rsid w:val="00F15975"/>
    <w:rsid w:val="00F2245A"/>
    <w:rsid w:val="00F24BEF"/>
    <w:rsid w:val="00F26675"/>
    <w:rsid w:val="00F27159"/>
    <w:rsid w:val="00F272A2"/>
    <w:rsid w:val="00F3499F"/>
    <w:rsid w:val="00F40AE8"/>
    <w:rsid w:val="00F45DB2"/>
    <w:rsid w:val="00F468B5"/>
    <w:rsid w:val="00F47DA9"/>
    <w:rsid w:val="00F53B1E"/>
    <w:rsid w:val="00F549EF"/>
    <w:rsid w:val="00F556A4"/>
    <w:rsid w:val="00F575B5"/>
    <w:rsid w:val="00F57969"/>
    <w:rsid w:val="00F62281"/>
    <w:rsid w:val="00F6235C"/>
    <w:rsid w:val="00F630D2"/>
    <w:rsid w:val="00F641AF"/>
    <w:rsid w:val="00F64A27"/>
    <w:rsid w:val="00F6520E"/>
    <w:rsid w:val="00F6618D"/>
    <w:rsid w:val="00F67139"/>
    <w:rsid w:val="00F711A6"/>
    <w:rsid w:val="00F71F42"/>
    <w:rsid w:val="00F73A00"/>
    <w:rsid w:val="00F73D1E"/>
    <w:rsid w:val="00F74224"/>
    <w:rsid w:val="00F749FB"/>
    <w:rsid w:val="00F75DFD"/>
    <w:rsid w:val="00F76831"/>
    <w:rsid w:val="00F7775B"/>
    <w:rsid w:val="00F82D9E"/>
    <w:rsid w:val="00F84B53"/>
    <w:rsid w:val="00F9033B"/>
    <w:rsid w:val="00F908A6"/>
    <w:rsid w:val="00F912EC"/>
    <w:rsid w:val="00F91DE4"/>
    <w:rsid w:val="00F93E6C"/>
    <w:rsid w:val="00F93FC7"/>
    <w:rsid w:val="00FB0B43"/>
    <w:rsid w:val="00FB1B8C"/>
    <w:rsid w:val="00FB41C6"/>
    <w:rsid w:val="00FC0CA9"/>
    <w:rsid w:val="00FC1ABC"/>
    <w:rsid w:val="00FC26FB"/>
    <w:rsid w:val="00FC2EA6"/>
    <w:rsid w:val="00FC351D"/>
    <w:rsid w:val="00FC5122"/>
    <w:rsid w:val="00FC5D91"/>
    <w:rsid w:val="00FD3170"/>
    <w:rsid w:val="00FD4C91"/>
    <w:rsid w:val="00FD63AE"/>
    <w:rsid w:val="00FD69D1"/>
    <w:rsid w:val="00FE0914"/>
    <w:rsid w:val="00FF1B70"/>
    <w:rsid w:val="00FF2151"/>
    <w:rsid w:val="00FF47B3"/>
    <w:rsid w:val="00FF5BA8"/>
    <w:rsid w:val="00FF7CE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3864"/>
  <w15:docId w15:val="{617E00B8-C3CB-4B54-8214-78A77082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77D"/>
  </w:style>
  <w:style w:type="paragraph" w:styleId="Heading1">
    <w:name w:val="heading 1"/>
    <w:basedOn w:val="Normal"/>
    <w:link w:val="Heading1Char"/>
    <w:uiPriority w:val="9"/>
    <w:qFormat/>
    <w:rsid w:val="008A30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next w:val="Normal"/>
    <w:link w:val="Heading2Char"/>
    <w:uiPriority w:val="9"/>
    <w:semiHidden/>
    <w:unhideWhenUsed/>
    <w:qFormat/>
    <w:rsid w:val="00524F73"/>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 w:type="table" w:styleId="TableGrid">
    <w:name w:val="Table Grid"/>
    <w:basedOn w:val="TableNormal"/>
    <w:uiPriority w:val="39"/>
    <w:rsid w:val="003A4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17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7B7"/>
    <w:rPr>
      <w:sz w:val="20"/>
      <w:szCs w:val="20"/>
    </w:rPr>
  </w:style>
  <w:style w:type="character" w:styleId="FootnoteReference">
    <w:name w:val="footnote reference"/>
    <w:basedOn w:val="DefaultParagraphFont"/>
    <w:uiPriority w:val="99"/>
    <w:semiHidden/>
    <w:unhideWhenUsed/>
    <w:rsid w:val="009717B7"/>
    <w:rPr>
      <w:vertAlign w:val="superscript"/>
    </w:rPr>
  </w:style>
  <w:style w:type="paragraph" w:styleId="BalloonText">
    <w:name w:val="Balloon Text"/>
    <w:basedOn w:val="Normal"/>
    <w:link w:val="BalloonTextChar"/>
    <w:uiPriority w:val="99"/>
    <w:semiHidden/>
    <w:unhideWhenUsed/>
    <w:rsid w:val="00E57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790"/>
    <w:rPr>
      <w:rFonts w:ascii="Segoe UI" w:hAnsi="Segoe UI" w:cs="Segoe UI"/>
      <w:sz w:val="18"/>
      <w:szCs w:val="18"/>
    </w:rPr>
  </w:style>
  <w:style w:type="paragraph" w:styleId="NoSpacing">
    <w:name w:val="No Spacing"/>
    <w:uiPriority w:val="1"/>
    <w:qFormat/>
    <w:rsid w:val="00DD4AF1"/>
    <w:pPr>
      <w:spacing w:after="0" w:line="240" w:lineRule="auto"/>
    </w:pPr>
  </w:style>
  <w:style w:type="paragraph" w:styleId="NormalWeb">
    <w:name w:val="Normal (Web)"/>
    <w:basedOn w:val="Normal"/>
    <w:uiPriority w:val="99"/>
    <w:unhideWhenUsed/>
    <w:rsid w:val="002D3736"/>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LG-a-">
    <w:name w:val="LG-a-"/>
    <w:basedOn w:val="Normal"/>
    <w:rsid w:val="00687209"/>
    <w:pPr>
      <w:tabs>
        <w:tab w:val="right" w:pos="513"/>
        <w:tab w:val="left" w:pos="684"/>
      </w:tabs>
      <w:overflowPunct w:val="0"/>
      <w:autoSpaceDE w:val="0"/>
      <w:autoSpaceDN w:val="0"/>
      <w:adjustRightInd w:val="0"/>
      <w:spacing w:after="0" w:line="240" w:lineRule="auto"/>
      <w:ind w:left="684" w:hanging="684"/>
      <w:jc w:val="both"/>
      <w:textAlignment w:val="baseline"/>
    </w:pPr>
    <w:rPr>
      <w:rFonts w:ascii="Times New Roman" w:eastAsia="Times New Roman" w:hAnsi="Times New Roman" w:cs="Times New Roman"/>
      <w:szCs w:val="20"/>
      <w:lang w:val="en-ZA"/>
    </w:rPr>
  </w:style>
  <w:style w:type="paragraph" w:customStyle="1" w:styleId="LG-para3">
    <w:name w:val="LG-para3"/>
    <w:basedOn w:val="Normal"/>
    <w:link w:val="LG-para3Char"/>
    <w:rsid w:val="00687209"/>
    <w:pPr>
      <w:tabs>
        <w:tab w:val="left" w:pos="513"/>
      </w:tabs>
      <w:overflowPunct w:val="0"/>
      <w:autoSpaceDE w:val="0"/>
      <w:autoSpaceDN w:val="0"/>
      <w:adjustRightInd w:val="0"/>
      <w:spacing w:before="40" w:after="0" w:line="240" w:lineRule="auto"/>
      <w:ind w:firstLine="170"/>
      <w:jc w:val="both"/>
      <w:textAlignment w:val="baseline"/>
    </w:pPr>
    <w:rPr>
      <w:rFonts w:ascii="Times New Roman" w:eastAsia="Times New Roman" w:hAnsi="Times New Roman" w:cs="Times New Roman"/>
      <w:lang w:val="en-ZA"/>
    </w:rPr>
  </w:style>
  <w:style w:type="character" w:customStyle="1" w:styleId="LG-para3Char">
    <w:name w:val="LG-para3 Char"/>
    <w:link w:val="LG-para3"/>
    <w:rsid w:val="00687209"/>
    <w:rPr>
      <w:rFonts w:ascii="Times New Roman" w:eastAsia="Times New Roman" w:hAnsi="Times New Roman" w:cs="Times New Roman"/>
      <w:lang w:val="en-ZA"/>
    </w:rPr>
  </w:style>
  <w:style w:type="paragraph" w:customStyle="1" w:styleId="western">
    <w:name w:val="western"/>
    <w:basedOn w:val="Normal"/>
    <w:rsid w:val="005F041F"/>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E01005"/>
    <w:rPr>
      <w:b/>
      <w:bCs/>
    </w:rPr>
  </w:style>
  <w:style w:type="character" w:styleId="Hyperlink">
    <w:name w:val="Hyperlink"/>
    <w:basedOn w:val="DefaultParagraphFont"/>
    <w:uiPriority w:val="99"/>
    <w:semiHidden/>
    <w:unhideWhenUsed/>
    <w:rsid w:val="00E01005"/>
    <w:rPr>
      <w:color w:val="0000FF"/>
      <w:u w:val="single"/>
    </w:rPr>
  </w:style>
  <w:style w:type="character" w:customStyle="1" w:styleId="Heading1Char">
    <w:name w:val="Heading 1 Char"/>
    <w:basedOn w:val="DefaultParagraphFont"/>
    <w:link w:val="Heading1"/>
    <w:uiPriority w:val="9"/>
    <w:rsid w:val="008A302D"/>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semiHidden/>
    <w:rsid w:val="00524F73"/>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4746">
      <w:bodyDiv w:val="1"/>
      <w:marLeft w:val="0"/>
      <w:marRight w:val="0"/>
      <w:marTop w:val="0"/>
      <w:marBottom w:val="0"/>
      <w:divBdr>
        <w:top w:val="none" w:sz="0" w:space="0" w:color="auto"/>
        <w:left w:val="none" w:sz="0" w:space="0" w:color="auto"/>
        <w:bottom w:val="none" w:sz="0" w:space="0" w:color="auto"/>
        <w:right w:val="none" w:sz="0" w:space="0" w:color="auto"/>
      </w:divBdr>
    </w:div>
    <w:div w:id="387413029">
      <w:bodyDiv w:val="1"/>
      <w:marLeft w:val="0"/>
      <w:marRight w:val="0"/>
      <w:marTop w:val="0"/>
      <w:marBottom w:val="0"/>
      <w:divBdr>
        <w:top w:val="none" w:sz="0" w:space="0" w:color="auto"/>
        <w:left w:val="none" w:sz="0" w:space="0" w:color="auto"/>
        <w:bottom w:val="none" w:sz="0" w:space="0" w:color="auto"/>
        <w:right w:val="none" w:sz="0" w:space="0" w:color="auto"/>
      </w:divBdr>
    </w:div>
    <w:div w:id="478114974">
      <w:bodyDiv w:val="1"/>
      <w:marLeft w:val="0"/>
      <w:marRight w:val="0"/>
      <w:marTop w:val="0"/>
      <w:marBottom w:val="0"/>
      <w:divBdr>
        <w:top w:val="none" w:sz="0" w:space="0" w:color="auto"/>
        <w:left w:val="none" w:sz="0" w:space="0" w:color="auto"/>
        <w:bottom w:val="none" w:sz="0" w:space="0" w:color="auto"/>
        <w:right w:val="none" w:sz="0" w:space="0" w:color="auto"/>
      </w:divBdr>
    </w:div>
    <w:div w:id="481124556">
      <w:bodyDiv w:val="1"/>
      <w:marLeft w:val="0"/>
      <w:marRight w:val="0"/>
      <w:marTop w:val="0"/>
      <w:marBottom w:val="0"/>
      <w:divBdr>
        <w:top w:val="none" w:sz="0" w:space="0" w:color="auto"/>
        <w:left w:val="none" w:sz="0" w:space="0" w:color="auto"/>
        <w:bottom w:val="none" w:sz="0" w:space="0" w:color="auto"/>
        <w:right w:val="none" w:sz="0" w:space="0" w:color="auto"/>
      </w:divBdr>
      <w:divsChild>
        <w:div w:id="2102872577">
          <w:marLeft w:val="0"/>
          <w:marRight w:val="0"/>
          <w:marTop w:val="0"/>
          <w:marBottom w:val="0"/>
          <w:divBdr>
            <w:top w:val="none" w:sz="0" w:space="0" w:color="auto"/>
            <w:left w:val="none" w:sz="0" w:space="0" w:color="auto"/>
            <w:bottom w:val="none" w:sz="0" w:space="0" w:color="auto"/>
            <w:right w:val="none" w:sz="0" w:space="0" w:color="auto"/>
          </w:divBdr>
          <w:divsChild>
            <w:div w:id="1731002468">
              <w:marLeft w:val="0"/>
              <w:marRight w:val="0"/>
              <w:marTop w:val="0"/>
              <w:marBottom w:val="0"/>
              <w:divBdr>
                <w:top w:val="none" w:sz="0" w:space="0" w:color="auto"/>
                <w:left w:val="none" w:sz="0" w:space="0" w:color="auto"/>
                <w:bottom w:val="none" w:sz="0" w:space="0" w:color="auto"/>
                <w:right w:val="none" w:sz="0" w:space="0" w:color="auto"/>
              </w:divBdr>
            </w:div>
          </w:divsChild>
        </w:div>
        <w:div w:id="1870484039">
          <w:marLeft w:val="-150"/>
          <w:marRight w:val="0"/>
          <w:marTop w:val="240"/>
          <w:marBottom w:val="120"/>
          <w:divBdr>
            <w:top w:val="none" w:sz="0" w:space="0" w:color="auto"/>
            <w:left w:val="none" w:sz="0" w:space="0" w:color="auto"/>
            <w:bottom w:val="none" w:sz="0" w:space="0" w:color="auto"/>
            <w:right w:val="none" w:sz="0" w:space="0" w:color="auto"/>
          </w:divBdr>
          <w:divsChild>
            <w:div w:id="679431741">
              <w:marLeft w:val="150"/>
              <w:marRight w:val="90"/>
              <w:marTop w:val="0"/>
              <w:marBottom w:val="0"/>
              <w:divBdr>
                <w:top w:val="none" w:sz="0" w:space="0" w:color="auto"/>
                <w:left w:val="none" w:sz="0" w:space="0" w:color="auto"/>
                <w:bottom w:val="none" w:sz="0" w:space="0" w:color="auto"/>
                <w:right w:val="none" w:sz="0" w:space="0" w:color="auto"/>
              </w:divBdr>
            </w:div>
          </w:divsChild>
        </w:div>
      </w:divsChild>
    </w:div>
    <w:div w:id="508566473">
      <w:bodyDiv w:val="1"/>
      <w:marLeft w:val="0"/>
      <w:marRight w:val="0"/>
      <w:marTop w:val="0"/>
      <w:marBottom w:val="0"/>
      <w:divBdr>
        <w:top w:val="none" w:sz="0" w:space="0" w:color="auto"/>
        <w:left w:val="none" w:sz="0" w:space="0" w:color="auto"/>
        <w:bottom w:val="none" w:sz="0" w:space="0" w:color="auto"/>
        <w:right w:val="none" w:sz="0" w:space="0" w:color="auto"/>
      </w:divBdr>
    </w:div>
    <w:div w:id="512845082">
      <w:bodyDiv w:val="1"/>
      <w:marLeft w:val="0"/>
      <w:marRight w:val="0"/>
      <w:marTop w:val="0"/>
      <w:marBottom w:val="0"/>
      <w:divBdr>
        <w:top w:val="none" w:sz="0" w:space="0" w:color="auto"/>
        <w:left w:val="none" w:sz="0" w:space="0" w:color="auto"/>
        <w:bottom w:val="none" w:sz="0" w:space="0" w:color="auto"/>
        <w:right w:val="none" w:sz="0" w:space="0" w:color="auto"/>
      </w:divBdr>
    </w:div>
    <w:div w:id="608393460">
      <w:bodyDiv w:val="1"/>
      <w:marLeft w:val="0"/>
      <w:marRight w:val="0"/>
      <w:marTop w:val="0"/>
      <w:marBottom w:val="0"/>
      <w:divBdr>
        <w:top w:val="none" w:sz="0" w:space="0" w:color="auto"/>
        <w:left w:val="none" w:sz="0" w:space="0" w:color="auto"/>
        <w:bottom w:val="none" w:sz="0" w:space="0" w:color="auto"/>
        <w:right w:val="none" w:sz="0" w:space="0" w:color="auto"/>
      </w:divBdr>
    </w:div>
    <w:div w:id="684138698">
      <w:bodyDiv w:val="1"/>
      <w:marLeft w:val="0"/>
      <w:marRight w:val="0"/>
      <w:marTop w:val="0"/>
      <w:marBottom w:val="0"/>
      <w:divBdr>
        <w:top w:val="none" w:sz="0" w:space="0" w:color="auto"/>
        <w:left w:val="none" w:sz="0" w:space="0" w:color="auto"/>
        <w:bottom w:val="none" w:sz="0" w:space="0" w:color="auto"/>
        <w:right w:val="none" w:sz="0" w:space="0" w:color="auto"/>
      </w:divBdr>
    </w:div>
    <w:div w:id="719520732">
      <w:bodyDiv w:val="1"/>
      <w:marLeft w:val="0"/>
      <w:marRight w:val="0"/>
      <w:marTop w:val="0"/>
      <w:marBottom w:val="0"/>
      <w:divBdr>
        <w:top w:val="none" w:sz="0" w:space="0" w:color="auto"/>
        <w:left w:val="none" w:sz="0" w:space="0" w:color="auto"/>
        <w:bottom w:val="none" w:sz="0" w:space="0" w:color="auto"/>
        <w:right w:val="none" w:sz="0" w:space="0" w:color="auto"/>
      </w:divBdr>
    </w:div>
    <w:div w:id="722796913">
      <w:bodyDiv w:val="1"/>
      <w:marLeft w:val="0"/>
      <w:marRight w:val="0"/>
      <w:marTop w:val="0"/>
      <w:marBottom w:val="0"/>
      <w:divBdr>
        <w:top w:val="none" w:sz="0" w:space="0" w:color="auto"/>
        <w:left w:val="none" w:sz="0" w:space="0" w:color="auto"/>
        <w:bottom w:val="none" w:sz="0" w:space="0" w:color="auto"/>
        <w:right w:val="none" w:sz="0" w:space="0" w:color="auto"/>
      </w:divBdr>
    </w:div>
    <w:div w:id="754476166">
      <w:bodyDiv w:val="1"/>
      <w:marLeft w:val="0"/>
      <w:marRight w:val="0"/>
      <w:marTop w:val="0"/>
      <w:marBottom w:val="0"/>
      <w:divBdr>
        <w:top w:val="none" w:sz="0" w:space="0" w:color="auto"/>
        <w:left w:val="none" w:sz="0" w:space="0" w:color="auto"/>
        <w:bottom w:val="none" w:sz="0" w:space="0" w:color="auto"/>
        <w:right w:val="none" w:sz="0" w:space="0" w:color="auto"/>
      </w:divBdr>
    </w:div>
    <w:div w:id="947010333">
      <w:bodyDiv w:val="1"/>
      <w:marLeft w:val="0"/>
      <w:marRight w:val="0"/>
      <w:marTop w:val="0"/>
      <w:marBottom w:val="0"/>
      <w:divBdr>
        <w:top w:val="none" w:sz="0" w:space="0" w:color="auto"/>
        <w:left w:val="none" w:sz="0" w:space="0" w:color="auto"/>
        <w:bottom w:val="none" w:sz="0" w:space="0" w:color="auto"/>
        <w:right w:val="none" w:sz="0" w:space="0" w:color="auto"/>
      </w:divBdr>
    </w:div>
    <w:div w:id="1012608399">
      <w:bodyDiv w:val="1"/>
      <w:marLeft w:val="0"/>
      <w:marRight w:val="0"/>
      <w:marTop w:val="0"/>
      <w:marBottom w:val="0"/>
      <w:divBdr>
        <w:top w:val="none" w:sz="0" w:space="0" w:color="auto"/>
        <w:left w:val="none" w:sz="0" w:space="0" w:color="auto"/>
        <w:bottom w:val="none" w:sz="0" w:space="0" w:color="auto"/>
        <w:right w:val="none" w:sz="0" w:space="0" w:color="auto"/>
      </w:divBdr>
    </w:div>
    <w:div w:id="1080950814">
      <w:bodyDiv w:val="1"/>
      <w:marLeft w:val="0"/>
      <w:marRight w:val="0"/>
      <w:marTop w:val="0"/>
      <w:marBottom w:val="0"/>
      <w:divBdr>
        <w:top w:val="none" w:sz="0" w:space="0" w:color="auto"/>
        <w:left w:val="none" w:sz="0" w:space="0" w:color="auto"/>
        <w:bottom w:val="none" w:sz="0" w:space="0" w:color="auto"/>
        <w:right w:val="none" w:sz="0" w:space="0" w:color="auto"/>
      </w:divBdr>
    </w:div>
    <w:div w:id="1277326833">
      <w:bodyDiv w:val="1"/>
      <w:marLeft w:val="0"/>
      <w:marRight w:val="0"/>
      <w:marTop w:val="0"/>
      <w:marBottom w:val="0"/>
      <w:divBdr>
        <w:top w:val="none" w:sz="0" w:space="0" w:color="auto"/>
        <w:left w:val="none" w:sz="0" w:space="0" w:color="auto"/>
        <w:bottom w:val="none" w:sz="0" w:space="0" w:color="auto"/>
        <w:right w:val="none" w:sz="0" w:space="0" w:color="auto"/>
      </w:divBdr>
    </w:div>
    <w:div w:id="1464615989">
      <w:bodyDiv w:val="1"/>
      <w:marLeft w:val="0"/>
      <w:marRight w:val="0"/>
      <w:marTop w:val="0"/>
      <w:marBottom w:val="0"/>
      <w:divBdr>
        <w:top w:val="none" w:sz="0" w:space="0" w:color="auto"/>
        <w:left w:val="none" w:sz="0" w:space="0" w:color="auto"/>
        <w:bottom w:val="none" w:sz="0" w:space="0" w:color="auto"/>
        <w:right w:val="none" w:sz="0" w:space="0" w:color="auto"/>
      </w:divBdr>
    </w:div>
    <w:div w:id="1473988672">
      <w:bodyDiv w:val="1"/>
      <w:marLeft w:val="0"/>
      <w:marRight w:val="0"/>
      <w:marTop w:val="0"/>
      <w:marBottom w:val="0"/>
      <w:divBdr>
        <w:top w:val="none" w:sz="0" w:space="0" w:color="auto"/>
        <w:left w:val="none" w:sz="0" w:space="0" w:color="auto"/>
        <w:bottom w:val="none" w:sz="0" w:space="0" w:color="auto"/>
        <w:right w:val="none" w:sz="0" w:space="0" w:color="auto"/>
      </w:divBdr>
    </w:div>
    <w:div w:id="1490099641">
      <w:bodyDiv w:val="1"/>
      <w:marLeft w:val="0"/>
      <w:marRight w:val="0"/>
      <w:marTop w:val="0"/>
      <w:marBottom w:val="0"/>
      <w:divBdr>
        <w:top w:val="none" w:sz="0" w:space="0" w:color="auto"/>
        <w:left w:val="none" w:sz="0" w:space="0" w:color="auto"/>
        <w:bottom w:val="none" w:sz="0" w:space="0" w:color="auto"/>
        <w:right w:val="none" w:sz="0" w:space="0" w:color="auto"/>
      </w:divBdr>
    </w:div>
    <w:div w:id="1622498833">
      <w:bodyDiv w:val="1"/>
      <w:marLeft w:val="0"/>
      <w:marRight w:val="0"/>
      <w:marTop w:val="0"/>
      <w:marBottom w:val="0"/>
      <w:divBdr>
        <w:top w:val="none" w:sz="0" w:space="0" w:color="auto"/>
        <w:left w:val="none" w:sz="0" w:space="0" w:color="auto"/>
        <w:bottom w:val="none" w:sz="0" w:space="0" w:color="auto"/>
        <w:right w:val="none" w:sz="0" w:space="0" w:color="auto"/>
      </w:divBdr>
    </w:div>
    <w:div w:id="1628200561">
      <w:bodyDiv w:val="1"/>
      <w:marLeft w:val="0"/>
      <w:marRight w:val="0"/>
      <w:marTop w:val="0"/>
      <w:marBottom w:val="0"/>
      <w:divBdr>
        <w:top w:val="none" w:sz="0" w:space="0" w:color="auto"/>
        <w:left w:val="none" w:sz="0" w:space="0" w:color="auto"/>
        <w:bottom w:val="none" w:sz="0" w:space="0" w:color="auto"/>
        <w:right w:val="none" w:sz="0" w:space="0" w:color="auto"/>
      </w:divBdr>
      <w:divsChild>
        <w:div w:id="1657109942">
          <w:marLeft w:val="0"/>
          <w:marRight w:val="0"/>
          <w:marTop w:val="0"/>
          <w:marBottom w:val="0"/>
          <w:divBdr>
            <w:top w:val="none" w:sz="0" w:space="0" w:color="auto"/>
            <w:left w:val="none" w:sz="0" w:space="0" w:color="auto"/>
            <w:bottom w:val="none" w:sz="0" w:space="0" w:color="auto"/>
            <w:right w:val="none" w:sz="0" w:space="0" w:color="auto"/>
          </w:divBdr>
          <w:divsChild>
            <w:div w:id="1458184073">
              <w:marLeft w:val="0"/>
              <w:marRight w:val="0"/>
              <w:marTop w:val="225"/>
              <w:marBottom w:val="0"/>
              <w:divBdr>
                <w:top w:val="single" w:sz="6" w:space="0" w:color="643013"/>
                <w:left w:val="single" w:sz="6" w:space="0" w:color="643013"/>
                <w:bottom w:val="single" w:sz="6" w:space="8" w:color="643013"/>
                <w:right w:val="single" w:sz="6" w:space="0" w:color="643013"/>
              </w:divBdr>
            </w:div>
          </w:divsChild>
        </w:div>
      </w:divsChild>
    </w:div>
    <w:div w:id="1685669357">
      <w:bodyDiv w:val="1"/>
      <w:marLeft w:val="0"/>
      <w:marRight w:val="0"/>
      <w:marTop w:val="0"/>
      <w:marBottom w:val="0"/>
      <w:divBdr>
        <w:top w:val="none" w:sz="0" w:space="0" w:color="auto"/>
        <w:left w:val="none" w:sz="0" w:space="0" w:color="auto"/>
        <w:bottom w:val="none" w:sz="0" w:space="0" w:color="auto"/>
        <w:right w:val="none" w:sz="0" w:space="0" w:color="auto"/>
      </w:divBdr>
    </w:div>
    <w:div w:id="1744373804">
      <w:bodyDiv w:val="1"/>
      <w:marLeft w:val="0"/>
      <w:marRight w:val="0"/>
      <w:marTop w:val="0"/>
      <w:marBottom w:val="0"/>
      <w:divBdr>
        <w:top w:val="none" w:sz="0" w:space="0" w:color="auto"/>
        <w:left w:val="none" w:sz="0" w:space="0" w:color="auto"/>
        <w:bottom w:val="none" w:sz="0" w:space="0" w:color="auto"/>
        <w:right w:val="none" w:sz="0" w:space="0" w:color="auto"/>
      </w:divBdr>
    </w:div>
    <w:div w:id="1844009689">
      <w:bodyDiv w:val="1"/>
      <w:marLeft w:val="0"/>
      <w:marRight w:val="0"/>
      <w:marTop w:val="0"/>
      <w:marBottom w:val="0"/>
      <w:divBdr>
        <w:top w:val="none" w:sz="0" w:space="0" w:color="auto"/>
        <w:left w:val="none" w:sz="0" w:space="0" w:color="auto"/>
        <w:bottom w:val="none" w:sz="0" w:space="0" w:color="auto"/>
        <w:right w:val="none" w:sz="0" w:space="0" w:color="auto"/>
      </w:divBdr>
    </w:div>
    <w:div w:id="2023778283">
      <w:bodyDiv w:val="1"/>
      <w:marLeft w:val="0"/>
      <w:marRight w:val="0"/>
      <w:marTop w:val="0"/>
      <w:marBottom w:val="0"/>
      <w:divBdr>
        <w:top w:val="none" w:sz="0" w:space="0" w:color="auto"/>
        <w:left w:val="none" w:sz="0" w:space="0" w:color="auto"/>
        <w:bottom w:val="none" w:sz="0" w:space="0" w:color="auto"/>
        <w:right w:val="none" w:sz="0" w:space="0" w:color="auto"/>
      </w:divBdr>
    </w:div>
    <w:div w:id="2057579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aflii.org/za/legis/consol_act/pa1969171/" TargetMode="External"/><Relationship Id="rId1" Type="http://schemas.openxmlformats.org/officeDocument/2006/relationships/hyperlink" Target="http://www.saflii.org/za/legis/consol_act/pa1969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3D64B-D5D8-4F1D-85F4-71F692DCA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3264</Words>
  <Characters>18609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 Bachi-Muzawazi</dc:creator>
  <cp:lastModifiedBy>Chinhoyi High Court</cp:lastModifiedBy>
  <cp:revision>18</cp:revision>
  <cp:lastPrinted>2024-08-16T13:07:00Z</cp:lastPrinted>
  <dcterms:created xsi:type="dcterms:W3CDTF">2024-08-16T12:30:00Z</dcterms:created>
  <dcterms:modified xsi:type="dcterms:W3CDTF">2024-08-19T11:46:00Z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90109410</vt:i4>
  </property>
</Properties>
</file>