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0480" w:rsidRDefault="00AC1170">
      <w:pPr>
        <w:rPr>
          <w:b/>
          <w:sz w:val="28"/>
          <w:szCs w:val="28"/>
        </w:rPr>
      </w:pPr>
      <w:r>
        <w:rPr>
          <w:b/>
          <w:sz w:val="28"/>
          <w:szCs w:val="28"/>
        </w:rPr>
        <w:t>IN THE LABOUR COURT OF ZIMBABWE</w:t>
      </w:r>
      <w:r>
        <w:rPr>
          <w:b/>
          <w:sz w:val="28"/>
          <w:szCs w:val="28"/>
        </w:rPr>
        <w:tab/>
      </w:r>
      <w:r>
        <w:rPr>
          <w:b/>
          <w:sz w:val="28"/>
          <w:szCs w:val="28"/>
        </w:rPr>
        <w:tab/>
        <w:t>JUDGMENT NO LC/H/99/13</w:t>
      </w:r>
    </w:p>
    <w:p w:rsidR="00AC1170" w:rsidRDefault="00AC1170">
      <w:pPr>
        <w:rPr>
          <w:b/>
          <w:sz w:val="28"/>
          <w:szCs w:val="28"/>
        </w:rPr>
      </w:pPr>
      <w:r>
        <w:rPr>
          <w:b/>
          <w:sz w:val="28"/>
          <w:szCs w:val="28"/>
        </w:rPr>
        <w:t>HELD AT HARARE 25</w:t>
      </w:r>
      <w:r w:rsidRPr="00AC1170">
        <w:rPr>
          <w:b/>
          <w:sz w:val="28"/>
          <w:szCs w:val="28"/>
          <w:vertAlign w:val="superscript"/>
        </w:rPr>
        <w:t>TH</w:t>
      </w:r>
      <w:r>
        <w:rPr>
          <w:b/>
          <w:sz w:val="28"/>
          <w:szCs w:val="28"/>
        </w:rPr>
        <w:t xml:space="preserve"> MARCH 2013</w:t>
      </w:r>
      <w:r>
        <w:rPr>
          <w:b/>
          <w:sz w:val="28"/>
          <w:szCs w:val="28"/>
        </w:rPr>
        <w:tab/>
      </w:r>
      <w:r>
        <w:rPr>
          <w:b/>
          <w:sz w:val="28"/>
          <w:szCs w:val="28"/>
        </w:rPr>
        <w:tab/>
      </w:r>
      <w:r>
        <w:rPr>
          <w:b/>
          <w:sz w:val="28"/>
          <w:szCs w:val="28"/>
        </w:rPr>
        <w:tab/>
        <w:t>CASE NO LC/H/760/11</w:t>
      </w:r>
    </w:p>
    <w:p w:rsidR="00AC1170" w:rsidRDefault="00AC1170">
      <w:pPr>
        <w:rPr>
          <w:b/>
          <w:sz w:val="28"/>
          <w:szCs w:val="28"/>
        </w:rPr>
      </w:pPr>
    </w:p>
    <w:p w:rsidR="00AC1170" w:rsidRDefault="00AC1170">
      <w:pPr>
        <w:rPr>
          <w:b/>
          <w:sz w:val="28"/>
          <w:szCs w:val="28"/>
        </w:rPr>
      </w:pPr>
      <w:r>
        <w:rPr>
          <w:b/>
          <w:sz w:val="28"/>
          <w:szCs w:val="28"/>
        </w:rPr>
        <w:t>TENDAI MARUMISA</w:t>
      </w:r>
      <w:r>
        <w:rPr>
          <w:b/>
          <w:sz w:val="28"/>
          <w:szCs w:val="28"/>
        </w:rPr>
        <w:tab/>
      </w:r>
      <w:r>
        <w:rPr>
          <w:b/>
          <w:sz w:val="28"/>
          <w:szCs w:val="28"/>
        </w:rPr>
        <w:tab/>
      </w:r>
      <w:r>
        <w:rPr>
          <w:b/>
          <w:sz w:val="28"/>
          <w:szCs w:val="28"/>
        </w:rPr>
        <w:tab/>
      </w:r>
      <w:r>
        <w:rPr>
          <w:b/>
          <w:sz w:val="28"/>
          <w:szCs w:val="28"/>
        </w:rPr>
        <w:tab/>
      </w:r>
      <w:r>
        <w:rPr>
          <w:b/>
          <w:sz w:val="28"/>
          <w:szCs w:val="28"/>
        </w:rPr>
        <w:tab/>
        <w:t>Appellant</w:t>
      </w:r>
    </w:p>
    <w:p w:rsidR="00AC1170" w:rsidRDefault="00AC1170">
      <w:pPr>
        <w:rPr>
          <w:b/>
          <w:sz w:val="28"/>
          <w:szCs w:val="28"/>
        </w:rPr>
      </w:pPr>
    </w:p>
    <w:p w:rsidR="00AC1170" w:rsidRDefault="00AC1170">
      <w:pPr>
        <w:rPr>
          <w:b/>
          <w:sz w:val="28"/>
          <w:szCs w:val="28"/>
        </w:rPr>
      </w:pPr>
      <w:r>
        <w:rPr>
          <w:b/>
          <w:sz w:val="28"/>
          <w:szCs w:val="28"/>
        </w:rPr>
        <w:t>ZETDC (PVT) LTD</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t>Respondent</w:t>
      </w:r>
    </w:p>
    <w:p w:rsidR="00AC1170" w:rsidRDefault="00AC1170">
      <w:pPr>
        <w:rPr>
          <w:b/>
          <w:sz w:val="28"/>
          <w:szCs w:val="28"/>
        </w:rPr>
      </w:pPr>
    </w:p>
    <w:p w:rsidR="00AC1170" w:rsidRDefault="00AC1170" w:rsidP="00AC1170">
      <w:pPr>
        <w:spacing w:line="360" w:lineRule="auto"/>
        <w:rPr>
          <w:sz w:val="28"/>
          <w:szCs w:val="28"/>
        </w:rPr>
      </w:pPr>
      <w:r>
        <w:rPr>
          <w:sz w:val="28"/>
          <w:szCs w:val="28"/>
        </w:rPr>
        <w:t>Before The Honourable G Musariri, President</w:t>
      </w:r>
    </w:p>
    <w:p w:rsidR="00AC1170" w:rsidRDefault="00AC1170" w:rsidP="00AC1170">
      <w:pPr>
        <w:spacing w:line="360" w:lineRule="auto"/>
        <w:rPr>
          <w:b/>
          <w:sz w:val="28"/>
          <w:szCs w:val="28"/>
        </w:rPr>
      </w:pPr>
      <w:r>
        <w:rPr>
          <w:b/>
          <w:sz w:val="28"/>
          <w:szCs w:val="28"/>
        </w:rPr>
        <w:t>For Appellant</w:t>
      </w:r>
      <w:r>
        <w:rPr>
          <w:b/>
          <w:sz w:val="28"/>
          <w:szCs w:val="28"/>
        </w:rPr>
        <w:tab/>
      </w:r>
      <w:r>
        <w:rPr>
          <w:b/>
          <w:sz w:val="28"/>
          <w:szCs w:val="28"/>
        </w:rPr>
        <w:tab/>
        <w:t xml:space="preserve">Mr T </w:t>
      </w:r>
      <w:proofErr w:type="spellStart"/>
      <w:r>
        <w:rPr>
          <w:b/>
          <w:sz w:val="28"/>
          <w:szCs w:val="28"/>
        </w:rPr>
        <w:t>Marume</w:t>
      </w:r>
      <w:proofErr w:type="spellEnd"/>
      <w:r>
        <w:rPr>
          <w:b/>
          <w:sz w:val="28"/>
          <w:szCs w:val="28"/>
        </w:rPr>
        <w:t>, Attorney</w:t>
      </w:r>
    </w:p>
    <w:p w:rsidR="00AC1170" w:rsidRDefault="00AC1170" w:rsidP="00AC1170">
      <w:pPr>
        <w:spacing w:line="360" w:lineRule="auto"/>
        <w:rPr>
          <w:b/>
          <w:sz w:val="28"/>
          <w:szCs w:val="28"/>
        </w:rPr>
      </w:pPr>
      <w:r>
        <w:rPr>
          <w:b/>
          <w:sz w:val="28"/>
          <w:szCs w:val="28"/>
        </w:rPr>
        <w:t>For Respondent</w:t>
      </w:r>
      <w:r>
        <w:rPr>
          <w:b/>
          <w:sz w:val="28"/>
          <w:szCs w:val="28"/>
        </w:rPr>
        <w:tab/>
      </w:r>
      <w:r>
        <w:rPr>
          <w:b/>
          <w:sz w:val="28"/>
          <w:szCs w:val="28"/>
        </w:rPr>
        <w:tab/>
        <w:t xml:space="preserve">Mr S.A. </w:t>
      </w:r>
      <w:proofErr w:type="spellStart"/>
      <w:r>
        <w:rPr>
          <w:b/>
          <w:sz w:val="28"/>
          <w:szCs w:val="28"/>
        </w:rPr>
        <w:t>Tawona</w:t>
      </w:r>
      <w:proofErr w:type="spellEnd"/>
      <w:r>
        <w:rPr>
          <w:b/>
          <w:sz w:val="28"/>
          <w:szCs w:val="28"/>
        </w:rPr>
        <w:t>, Attorney</w:t>
      </w:r>
    </w:p>
    <w:p w:rsidR="00AC1170" w:rsidRDefault="00AC1170" w:rsidP="00AC1170">
      <w:pPr>
        <w:spacing w:line="360" w:lineRule="auto"/>
        <w:rPr>
          <w:b/>
          <w:sz w:val="28"/>
          <w:szCs w:val="28"/>
        </w:rPr>
      </w:pPr>
    </w:p>
    <w:p w:rsidR="00AC1170" w:rsidRDefault="00AC1170" w:rsidP="00AC1170">
      <w:pPr>
        <w:spacing w:line="360" w:lineRule="auto"/>
        <w:rPr>
          <w:b/>
          <w:sz w:val="28"/>
          <w:szCs w:val="28"/>
        </w:rPr>
      </w:pPr>
      <w:r>
        <w:rPr>
          <w:b/>
          <w:sz w:val="28"/>
          <w:szCs w:val="28"/>
        </w:rPr>
        <w:t>MUSARIRI, G:</w:t>
      </w:r>
    </w:p>
    <w:p w:rsidR="00AC1170" w:rsidRDefault="00AC1170" w:rsidP="00AC1170">
      <w:pPr>
        <w:spacing w:line="360" w:lineRule="auto"/>
        <w:rPr>
          <w:sz w:val="28"/>
          <w:szCs w:val="28"/>
        </w:rPr>
      </w:pPr>
      <w:r>
        <w:rPr>
          <w:sz w:val="28"/>
          <w:szCs w:val="28"/>
        </w:rPr>
        <w:t>On 29</w:t>
      </w:r>
      <w:r w:rsidRPr="00AC1170">
        <w:rPr>
          <w:sz w:val="28"/>
          <w:szCs w:val="28"/>
          <w:vertAlign w:val="superscript"/>
        </w:rPr>
        <w:t>th</w:t>
      </w:r>
      <w:r>
        <w:rPr>
          <w:sz w:val="28"/>
          <w:szCs w:val="28"/>
        </w:rPr>
        <w:t xml:space="preserve"> August 2011 the Honourable C </w:t>
      </w:r>
      <w:proofErr w:type="spellStart"/>
      <w:r>
        <w:rPr>
          <w:sz w:val="28"/>
          <w:szCs w:val="28"/>
        </w:rPr>
        <w:t>Kabasa</w:t>
      </w:r>
      <w:proofErr w:type="spellEnd"/>
      <w:r>
        <w:rPr>
          <w:sz w:val="28"/>
          <w:szCs w:val="28"/>
        </w:rPr>
        <w:t xml:space="preserve"> made an arbitration award.  In terms thereof, he dismissed Appellant’s claims and referred the matter to Respondent’s disciplinary committee for a hearing.  Appellant was aggrieved by the award.  He then appealed to this Court against the award.  A single ground of appeal was raised thus,</w:t>
      </w:r>
    </w:p>
    <w:p w:rsidR="00AC1170" w:rsidRDefault="00AC1170" w:rsidP="00AC1170">
      <w:pPr>
        <w:spacing w:line="360" w:lineRule="auto"/>
        <w:ind w:left="1440" w:hanging="720"/>
        <w:rPr>
          <w:i/>
          <w:sz w:val="28"/>
          <w:szCs w:val="28"/>
        </w:rPr>
      </w:pPr>
      <w:r>
        <w:rPr>
          <w:i/>
          <w:sz w:val="28"/>
          <w:szCs w:val="28"/>
        </w:rPr>
        <w:t>“1.</w:t>
      </w:r>
      <w:r>
        <w:rPr>
          <w:i/>
          <w:sz w:val="28"/>
          <w:szCs w:val="28"/>
        </w:rPr>
        <w:tab/>
        <w:t>The Arbitrator erred on a question of law in the finding that the employer has the jurisdiction to conduct the employee’s disciplinary hearing when in fact the matter was referred to the Ministry under section 101 (6) of the Labour Act [Chapter 28:01]</w:t>
      </w:r>
      <w:r w:rsidR="002E2B46">
        <w:rPr>
          <w:i/>
          <w:sz w:val="28"/>
          <w:szCs w:val="28"/>
        </w:rPr>
        <w:t>.”</w:t>
      </w:r>
    </w:p>
    <w:p w:rsidR="002E2B46" w:rsidRDefault="002E2B46" w:rsidP="002E2B46">
      <w:pPr>
        <w:spacing w:line="360" w:lineRule="auto"/>
        <w:rPr>
          <w:sz w:val="28"/>
          <w:szCs w:val="28"/>
        </w:rPr>
      </w:pPr>
      <w:r>
        <w:rPr>
          <w:sz w:val="28"/>
          <w:szCs w:val="28"/>
        </w:rPr>
        <w:t>In oral argument, Appellant</w:t>
      </w:r>
      <w:r w:rsidR="00DA7B91">
        <w:rPr>
          <w:sz w:val="28"/>
          <w:szCs w:val="28"/>
        </w:rPr>
        <w:t>’s</w:t>
      </w:r>
      <w:r>
        <w:rPr>
          <w:sz w:val="28"/>
          <w:szCs w:val="28"/>
        </w:rPr>
        <w:t xml:space="preserve"> attorney raised two (2) questions.  </w:t>
      </w:r>
    </w:p>
    <w:p w:rsidR="00DA7B91" w:rsidRDefault="00DA7B91" w:rsidP="002E2B46">
      <w:pPr>
        <w:spacing w:line="360" w:lineRule="auto"/>
        <w:rPr>
          <w:sz w:val="28"/>
          <w:szCs w:val="28"/>
        </w:rPr>
      </w:pPr>
    </w:p>
    <w:p w:rsidR="00DA7B91" w:rsidRDefault="00DA7B91" w:rsidP="002E2B46">
      <w:pPr>
        <w:spacing w:line="360" w:lineRule="auto"/>
        <w:rPr>
          <w:sz w:val="28"/>
          <w:szCs w:val="28"/>
          <w:u w:val="single"/>
        </w:rPr>
      </w:pPr>
    </w:p>
    <w:p w:rsidR="002E2B46" w:rsidRPr="00DA7B91" w:rsidRDefault="00DA7B91" w:rsidP="00DA7B91">
      <w:pPr>
        <w:pStyle w:val="ListParagraph"/>
        <w:numPr>
          <w:ilvl w:val="0"/>
          <w:numId w:val="5"/>
        </w:numPr>
        <w:spacing w:line="360" w:lineRule="auto"/>
        <w:rPr>
          <w:sz w:val="28"/>
          <w:szCs w:val="28"/>
        </w:rPr>
      </w:pPr>
      <w:r w:rsidRPr="00DA7B91">
        <w:rPr>
          <w:sz w:val="28"/>
          <w:szCs w:val="28"/>
          <w:u w:val="single"/>
        </w:rPr>
        <w:t>W</w:t>
      </w:r>
      <w:r w:rsidR="002E2B46" w:rsidRPr="00DA7B91">
        <w:rPr>
          <w:sz w:val="28"/>
          <w:szCs w:val="28"/>
          <w:u w:val="single"/>
        </w:rPr>
        <w:t>hether the matter was properly referred to a Labour Officer (Conciliator</w:t>
      </w:r>
      <w:r w:rsidR="002E2B46" w:rsidRPr="00DA7B91">
        <w:rPr>
          <w:sz w:val="28"/>
          <w:szCs w:val="28"/>
        </w:rPr>
        <w:t>)?</w:t>
      </w:r>
    </w:p>
    <w:p w:rsidR="002E2B46" w:rsidRDefault="002E2B46" w:rsidP="002E2B46">
      <w:pPr>
        <w:spacing w:line="360" w:lineRule="auto"/>
        <w:rPr>
          <w:sz w:val="28"/>
          <w:szCs w:val="28"/>
        </w:rPr>
      </w:pPr>
      <w:r w:rsidRPr="002E2B46">
        <w:rPr>
          <w:sz w:val="28"/>
          <w:szCs w:val="28"/>
        </w:rPr>
        <w:t>Appellant based his case on the provisions</w:t>
      </w:r>
      <w:r>
        <w:rPr>
          <w:sz w:val="28"/>
          <w:szCs w:val="28"/>
        </w:rPr>
        <w:t xml:space="preserve"> of section 101 (6) of the </w:t>
      </w:r>
    </w:p>
    <w:p w:rsidR="002E2B46" w:rsidRDefault="002E2B46" w:rsidP="002E2B46">
      <w:pPr>
        <w:spacing w:line="360" w:lineRule="auto"/>
        <w:rPr>
          <w:sz w:val="28"/>
          <w:szCs w:val="28"/>
        </w:rPr>
      </w:pPr>
      <w:r>
        <w:rPr>
          <w:sz w:val="28"/>
          <w:szCs w:val="28"/>
          <w:u w:val="single"/>
        </w:rPr>
        <w:t xml:space="preserve">Labour </w:t>
      </w:r>
      <w:r w:rsidR="00DA7B91">
        <w:rPr>
          <w:sz w:val="28"/>
          <w:szCs w:val="28"/>
          <w:u w:val="single"/>
        </w:rPr>
        <w:t>Act</w:t>
      </w:r>
      <w:r>
        <w:rPr>
          <w:sz w:val="28"/>
          <w:szCs w:val="28"/>
          <w:u w:val="single"/>
        </w:rPr>
        <w:t xml:space="preserve"> </w:t>
      </w:r>
      <w:r w:rsidRPr="002E2B46">
        <w:rPr>
          <w:sz w:val="28"/>
          <w:szCs w:val="28"/>
        </w:rPr>
        <w:t>Chapter 28:01</w:t>
      </w:r>
      <w:r>
        <w:rPr>
          <w:sz w:val="28"/>
          <w:szCs w:val="28"/>
        </w:rPr>
        <w:t xml:space="preserve"> (hereafter called the Act).  It provides that,</w:t>
      </w:r>
    </w:p>
    <w:p w:rsidR="002E2B46" w:rsidRDefault="002E2B46" w:rsidP="002E2B46">
      <w:pPr>
        <w:spacing w:line="360" w:lineRule="auto"/>
        <w:rPr>
          <w:i/>
          <w:sz w:val="28"/>
          <w:szCs w:val="28"/>
        </w:rPr>
      </w:pPr>
      <w:r>
        <w:rPr>
          <w:sz w:val="28"/>
          <w:szCs w:val="28"/>
        </w:rPr>
        <w:tab/>
      </w:r>
      <w:r>
        <w:rPr>
          <w:i/>
          <w:sz w:val="28"/>
          <w:szCs w:val="28"/>
        </w:rPr>
        <w:t>“(6)</w:t>
      </w:r>
      <w:r>
        <w:rPr>
          <w:i/>
          <w:sz w:val="28"/>
          <w:szCs w:val="28"/>
        </w:rPr>
        <w:tab/>
        <w:t xml:space="preserve">If a matter is not determined within thirty days of the date of the </w:t>
      </w:r>
    </w:p>
    <w:p w:rsidR="002E2B46" w:rsidRDefault="002E2B46" w:rsidP="002E2B46">
      <w:pPr>
        <w:spacing w:line="360" w:lineRule="auto"/>
        <w:ind w:left="1440"/>
        <w:rPr>
          <w:i/>
          <w:sz w:val="28"/>
          <w:szCs w:val="28"/>
        </w:rPr>
      </w:pPr>
      <w:proofErr w:type="gramStart"/>
      <w:r>
        <w:rPr>
          <w:i/>
          <w:sz w:val="28"/>
          <w:szCs w:val="28"/>
          <w:u w:val="single"/>
        </w:rPr>
        <w:t>notification</w:t>
      </w:r>
      <w:proofErr w:type="gramEnd"/>
      <w:r w:rsidR="00DA7B91">
        <w:rPr>
          <w:i/>
          <w:sz w:val="28"/>
          <w:szCs w:val="28"/>
        </w:rPr>
        <w:t xml:space="preserve"> referred to in paragraph (</w:t>
      </w:r>
      <w:r>
        <w:rPr>
          <w:i/>
          <w:sz w:val="28"/>
          <w:szCs w:val="28"/>
        </w:rPr>
        <w:t xml:space="preserve">e) of subsection (3), the employer or employee concerned may </w:t>
      </w:r>
      <w:r>
        <w:rPr>
          <w:i/>
          <w:sz w:val="28"/>
          <w:szCs w:val="28"/>
          <w:u w:val="single"/>
        </w:rPr>
        <w:t>refer such</w:t>
      </w:r>
      <w:r>
        <w:rPr>
          <w:i/>
          <w:sz w:val="28"/>
          <w:szCs w:val="28"/>
        </w:rPr>
        <w:t xml:space="preserve"> matter to a labour officer, who may then determine or otherwise dispose of the matter in accordance with section ninety – three.”</w:t>
      </w:r>
    </w:p>
    <w:p w:rsidR="002E2B46" w:rsidRPr="00DA7B91" w:rsidRDefault="002E2B46" w:rsidP="00DA7B91">
      <w:pPr>
        <w:spacing w:line="360" w:lineRule="auto"/>
        <w:rPr>
          <w:sz w:val="28"/>
          <w:szCs w:val="28"/>
        </w:rPr>
      </w:pPr>
      <w:r w:rsidRPr="00DA7B91">
        <w:rPr>
          <w:sz w:val="28"/>
          <w:szCs w:val="28"/>
        </w:rPr>
        <w:t>Subsection (3), cross – referenced above states that,</w:t>
      </w:r>
    </w:p>
    <w:p w:rsidR="002E2B46" w:rsidRDefault="002E2B46" w:rsidP="002E2B46">
      <w:pPr>
        <w:spacing w:line="360" w:lineRule="auto"/>
        <w:rPr>
          <w:i/>
          <w:sz w:val="28"/>
          <w:szCs w:val="28"/>
        </w:rPr>
      </w:pPr>
      <w:r>
        <w:rPr>
          <w:i/>
          <w:sz w:val="28"/>
          <w:szCs w:val="28"/>
        </w:rPr>
        <w:tab/>
        <w:t>“(3)</w:t>
      </w:r>
      <w:r>
        <w:rPr>
          <w:i/>
          <w:sz w:val="28"/>
          <w:szCs w:val="28"/>
        </w:rPr>
        <w:tab/>
        <w:t>An employment code shall provide for –</w:t>
      </w:r>
    </w:p>
    <w:p w:rsidR="002E2B46" w:rsidRDefault="002E2B46" w:rsidP="002E2B46">
      <w:pPr>
        <w:spacing w:line="360" w:lineRule="auto"/>
        <w:rPr>
          <w:i/>
          <w:sz w:val="28"/>
          <w:szCs w:val="28"/>
        </w:rPr>
      </w:pPr>
      <w:r>
        <w:rPr>
          <w:i/>
          <w:sz w:val="28"/>
          <w:szCs w:val="28"/>
        </w:rPr>
        <w:tab/>
      </w:r>
      <w:r>
        <w:rPr>
          <w:i/>
          <w:sz w:val="28"/>
          <w:szCs w:val="28"/>
        </w:rPr>
        <w:tab/>
        <w:t xml:space="preserve">(e)  </w:t>
      </w:r>
      <w:proofErr w:type="gramStart"/>
      <w:r>
        <w:rPr>
          <w:i/>
          <w:sz w:val="28"/>
          <w:szCs w:val="28"/>
        </w:rPr>
        <w:t>the</w:t>
      </w:r>
      <w:proofErr w:type="gramEnd"/>
      <w:r>
        <w:rPr>
          <w:i/>
          <w:sz w:val="28"/>
          <w:szCs w:val="28"/>
        </w:rPr>
        <w:t xml:space="preserve"> </w:t>
      </w:r>
      <w:r>
        <w:rPr>
          <w:i/>
          <w:sz w:val="28"/>
          <w:szCs w:val="28"/>
          <w:u w:val="single"/>
        </w:rPr>
        <w:t>notification</w:t>
      </w:r>
      <w:r>
        <w:rPr>
          <w:i/>
          <w:sz w:val="28"/>
          <w:szCs w:val="28"/>
        </w:rPr>
        <w:t xml:space="preserve"> to any person who is alleged to have breached </w:t>
      </w:r>
    </w:p>
    <w:p w:rsidR="002E2B46" w:rsidRDefault="002E2B46" w:rsidP="002E2B46">
      <w:pPr>
        <w:spacing w:line="360" w:lineRule="auto"/>
        <w:ind w:left="1440"/>
        <w:rPr>
          <w:i/>
          <w:sz w:val="28"/>
          <w:szCs w:val="28"/>
        </w:rPr>
      </w:pPr>
      <w:proofErr w:type="gramStart"/>
      <w:r>
        <w:rPr>
          <w:i/>
          <w:sz w:val="28"/>
          <w:szCs w:val="28"/>
        </w:rPr>
        <w:t>the</w:t>
      </w:r>
      <w:proofErr w:type="gramEnd"/>
      <w:r>
        <w:rPr>
          <w:i/>
          <w:sz w:val="28"/>
          <w:szCs w:val="28"/>
        </w:rPr>
        <w:t xml:space="preserve"> employment code that proceedings are to be commenced against him in respect of the alleged breach;”</w:t>
      </w:r>
    </w:p>
    <w:p w:rsidR="002E2B46" w:rsidRDefault="002E2B46" w:rsidP="002E2B46">
      <w:pPr>
        <w:spacing w:line="360" w:lineRule="auto"/>
        <w:rPr>
          <w:sz w:val="28"/>
          <w:szCs w:val="28"/>
        </w:rPr>
      </w:pPr>
      <w:r w:rsidRPr="002E2B46">
        <w:rPr>
          <w:sz w:val="28"/>
          <w:szCs w:val="28"/>
        </w:rPr>
        <w:t>Appellant argued that he</w:t>
      </w:r>
      <w:r w:rsidR="00E53905">
        <w:rPr>
          <w:sz w:val="28"/>
          <w:szCs w:val="28"/>
        </w:rPr>
        <w:t xml:space="preserve"> was notified of proceedings in his suspension letter dated </w:t>
      </w:r>
      <w:r w:rsidR="00E53905">
        <w:rPr>
          <w:sz w:val="28"/>
          <w:szCs w:val="28"/>
          <w:u w:val="single"/>
        </w:rPr>
        <w:t>19</w:t>
      </w:r>
      <w:r w:rsidR="00E53905" w:rsidRPr="00E53905">
        <w:rPr>
          <w:sz w:val="28"/>
          <w:szCs w:val="28"/>
          <w:u w:val="single"/>
          <w:vertAlign w:val="superscript"/>
        </w:rPr>
        <w:t>th</w:t>
      </w:r>
      <w:r w:rsidR="00E53905">
        <w:rPr>
          <w:sz w:val="28"/>
          <w:szCs w:val="28"/>
          <w:u w:val="single"/>
        </w:rPr>
        <w:t xml:space="preserve"> October 2010</w:t>
      </w:r>
      <w:r w:rsidR="00E53905">
        <w:rPr>
          <w:sz w:val="28"/>
          <w:szCs w:val="28"/>
        </w:rPr>
        <w:t xml:space="preserve">.  He subsequently referred the matter to a Conciliator on </w:t>
      </w:r>
      <w:r w:rsidR="00E53905">
        <w:rPr>
          <w:sz w:val="28"/>
          <w:szCs w:val="28"/>
          <w:u w:val="single"/>
        </w:rPr>
        <w:t>2</w:t>
      </w:r>
      <w:r w:rsidR="00E53905" w:rsidRPr="00E53905">
        <w:rPr>
          <w:sz w:val="28"/>
          <w:szCs w:val="28"/>
          <w:u w:val="single"/>
          <w:vertAlign w:val="superscript"/>
        </w:rPr>
        <w:t>nd</w:t>
      </w:r>
      <w:r w:rsidR="00E53905">
        <w:rPr>
          <w:sz w:val="28"/>
          <w:szCs w:val="28"/>
          <w:u w:val="single"/>
        </w:rPr>
        <w:t xml:space="preserve"> February 2011.</w:t>
      </w:r>
      <w:r w:rsidR="00E53905">
        <w:rPr>
          <w:sz w:val="28"/>
          <w:szCs w:val="28"/>
        </w:rPr>
        <w:t xml:space="preserve"> A period of thirty days had lapsed.  A determination had not been made by Respondent’s disciplinary committee.  Accordingly, so he argued</w:t>
      </w:r>
      <w:r w:rsidR="00DA7B91">
        <w:rPr>
          <w:sz w:val="28"/>
          <w:szCs w:val="28"/>
        </w:rPr>
        <w:t>,</w:t>
      </w:r>
      <w:r w:rsidR="00E53905">
        <w:rPr>
          <w:sz w:val="28"/>
          <w:szCs w:val="28"/>
        </w:rPr>
        <w:t xml:space="preserve"> he was within his rights to refer the matter to a Conciliator in terms of section 101 (6) of the Act.</w:t>
      </w:r>
    </w:p>
    <w:p w:rsidR="00E53905" w:rsidRDefault="00E53905" w:rsidP="002E2B46">
      <w:pPr>
        <w:spacing w:line="360" w:lineRule="auto"/>
        <w:rPr>
          <w:sz w:val="28"/>
          <w:szCs w:val="28"/>
        </w:rPr>
      </w:pPr>
    </w:p>
    <w:p w:rsidR="00E53905" w:rsidRDefault="00E53905" w:rsidP="002E2B46">
      <w:pPr>
        <w:spacing w:line="360" w:lineRule="auto"/>
        <w:rPr>
          <w:sz w:val="28"/>
          <w:szCs w:val="28"/>
        </w:rPr>
      </w:pPr>
    </w:p>
    <w:p w:rsidR="00E53905" w:rsidRDefault="00E53905" w:rsidP="002E2B46">
      <w:pPr>
        <w:spacing w:line="360" w:lineRule="auto"/>
        <w:rPr>
          <w:sz w:val="28"/>
          <w:szCs w:val="28"/>
        </w:rPr>
      </w:pPr>
      <w:r>
        <w:rPr>
          <w:sz w:val="28"/>
          <w:szCs w:val="28"/>
        </w:rPr>
        <w:t xml:space="preserve">Respondent’s attorney disagreed with Appellant’s argument.  He stated that Appellant was notified of proceedings by letter dated </w:t>
      </w:r>
      <w:r>
        <w:rPr>
          <w:sz w:val="28"/>
          <w:szCs w:val="28"/>
          <w:u w:val="single"/>
        </w:rPr>
        <w:t>15</w:t>
      </w:r>
      <w:r w:rsidRPr="00E53905">
        <w:rPr>
          <w:sz w:val="28"/>
          <w:szCs w:val="28"/>
          <w:u w:val="single"/>
          <w:vertAlign w:val="superscript"/>
        </w:rPr>
        <w:t>th</w:t>
      </w:r>
      <w:r>
        <w:rPr>
          <w:sz w:val="28"/>
          <w:szCs w:val="28"/>
          <w:u w:val="single"/>
        </w:rPr>
        <w:t xml:space="preserve"> November 2010.</w:t>
      </w:r>
      <w:r>
        <w:rPr>
          <w:sz w:val="28"/>
          <w:szCs w:val="28"/>
        </w:rPr>
        <w:t xml:space="preserve">  A hearing was convened on the </w:t>
      </w:r>
      <w:r>
        <w:rPr>
          <w:sz w:val="28"/>
          <w:szCs w:val="28"/>
          <w:u w:val="single"/>
        </w:rPr>
        <w:t>9</w:t>
      </w:r>
      <w:r w:rsidRPr="00E53905">
        <w:rPr>
          <w:sz w:val="28"/>
          <w:szCs w:val="28"/>
          <w:u w:val="single"/>
          <w:vertAlign w:val="superscript"/>
        </w:rPr>
        <w:t>th</w:t>
      </w:r>
      <w:r>
        <w:rPr>
          <w:sz w:val="28"/>
          <w:szCs w:val="28"/>
          <w:u w:val="single"/>
        </w:rPr>
        <w:t xml:space="preserve"> December 2010.</w:t>
      </w:r>
      <w:r>
        <w:rPr>
          <w:sz w:val="28"/>
          <w:szCs w:val="28"/>
        </w:rPr>
        <w:t xml:space="preserve">  At the hearing, Appellant sought a postponement to enable his attorney to attend the hearing. The postponement was granted</w:t>
      </w:r>
      <w:r w:rsidR="00DA7B91">
        <w:rPr>
          <w:sz w:val="28"/>
          <w:szCs w:val="28"/>
        </w:rPr>
        <w:t xml:space="preserve">. </w:t>
      </w:r>
      <w:r>
        <w:rPr>
          <w:sz w:val="28"/>
          <w:szCs w:val="28"/>
        </w:rPr>
        <w:t xml:space="preserve"> </w:t>
      </w:r>
      <w:r w:rsidR="00DA7B91">
        <w:rPr>
          <w:sz w:val="28"/>
          <w:szCs w:val="28"/>
        </w:rPr>
        <w:t>At that time</w:t>
      </w:r>
      <w:r>
        <w:rPr>
          <w:sz w:val="28"/>
          <w:szCs w:val="28"/>
        </w:rPr>
        <w:t xml:space="preserve"> Respondent was well within the thirty day limit </w:t>
      </w:r>
      <w:r w:rsidR="00DA7B91">
        <w:rPr>
          <w:sz w:val="28"/>
          <w:szCs w:val="28"/>
        </w:rPr>
        <w:t xml:space="preserve">was </w:t>
      </w:r>
      <w:r>
        <w:rPr>
          <w:sz w:val="28"/>
          <w:szCs w:val="28"/>
        </w:rPr>
        <w:t xml:space="preserve">referred to in the Act.  What caused the matter to extend beyond the limit </w:t>
      </w:r>
      <w:r w:rsidR="004530C1">
        <w:rPr>
          <w:sz w:val="28"/>
          <w:szCs w:val="28"/>
        </w:rPr>
        <w:t xml:space="preserve">was </w:t>
      </w:r>
      <w:r>
        <w:rPr>
          <w:sz w:val="28"/>
          <w:szCs w:val="28"/>
        </w:rPr>
        <w:t xml:space="preserve">the postponement of the matter at Appellant’s instance.  Respondent argued that in these circumstances Appellant could not turn around and </w:t>
      </w:r>
      <w:r w:rsidR="00DA7B91">
        <w:rPr>
          <w:sz w:val="28"/>
          <w:szCs w:val="28"/>
        </w:rPr>
        <w:t>seek</w:t>
      </w:r>
      <w:r>
        <w:rPr>
          <w:sz w:val="28"/>
          <w:szCs w:val="28"/>
        </w:rPr>
        <w:t xml:space="preserve"> to oust Respondent’s jurisdiction </w:t>
      </w:r>
      <w:r w:rsidR="00DA7B91">
        <w:rPr>
          <w:sz w:val="28"/>
          <w:szCs w:val="28"/>
        </w:rPr>
        <w:t>by referring the matter to a Conciliator.</w:t>
      </w:r>
    </w:p>
    <w:p w:rsidR="00E53905" w:rsidRDefault="00E53905" w:rsidP="002E2B46">
      <w:pPr>
        <w:spacing w:line="360" w:lineRule="auto"/>
        <w:rPr>
          <w:sz w:val="28"/>
          <w:szCs w:val="28"/>
        </w:rPr>
      </w:pPr>
    </w:p>
    <w:p w:rsidR="00E53905" w:rsidRDefault="00E53905" w:rsidP="00E53905">
      <w:pPr>
        <w:spacing w:after="0" w:line="360" w:lineRule="auto"/>
        <w:rPr>
          <w:sz w:val="28"/>
          <w:szCs w:val="28"/>
        </w:rPr>
      </w:pPr>
      <w:r>
        <w:rPr>
          <w:sz w:val="28"/>
          <w:szCs w:val="28"/>
        </w:rPr>
        <w:t>Appellant replied by pointing out that section 101 (6) is a “non-fault” provision.</w:t>
      </w:r>
    </w:p>
    <w:p w:rsidR="00E53905" w:rsidRDefault="00E53905" w:rsidP="00E53905">
      <w:pPr>
        <w:spacing w:after="0" w:line="360" w:lineRule="auto"/>
        <w:rPr>
          <w:sz w:val="28"/>
          <w:szCs w:val="28"/>
        </w:rPr>
      </w:pPr>
      <w:r>
        <w:rPr>
          <w:sz w:val="28"/>
          <w:szCs w:val="28"/>
        </w:rPr>
        <w:t>Once the time limits are exceeded, Appellant had the unfettered discretion to refer the matter to a Conciliator.</w:t>
      </w:r>
    </w:p>
    <w:p w:rsidR="00E53905" w:rsidRDefault="00E53905" w:rsidP="00E53905">
      <w:pPr>
        <w:spacing w:after="0" w:line="360" w:lineRule="auto"/>
        <w:rPr>
          <w:sz w:val="28"/>
          <w:szCs w:val="28"/>
        </w:rPr>
      </w:pPr>
    </w:p>
    <w:p w:rsidR="00E53905" w:rsidRDefault="00052F63" w:rsidP="00E53905">
      <w:pPr>
        <w:spacing w:after="0" w:line="360" w:lineRule="auto"/>
        <w:rPr>
          <w:sz w:val="28"/>
          <w:szCs w:val="28"/>
        </w:rPr>
      </w:pPr>
      <w:r>
        <w:rPr>
          <w:sz w:val="28"/>
          <w:szCs w:val="28"/>
        </w:rPr>
        <w:t xml:space="preserve">I agree with Respondent that the key initial date is the </w:t>
      </w:r>
      <w:r w:rsidRPr="00052F63">
        <w:rPr>
          <w:sz w:val="28"/>
          <w:szCs w:val="28"/>
          <w:u w:val="single"/>
        </w:rPr>
        <w:t>15</w:t>
      </w:r>
      <w:r w:rsidRPr="00052F63">
        <w:rPr>
          <w:sz w:val="28"/>
          <w:szCs w:val="28"/>
          <w:u w:val="single"/>
          <w:vertAlign w:val="superscript"/>
        </w:rPr>
        <w:t>th</w:t>
      </w:r>
      <w:r w:rsidRPr="00052F63">
        <w:rPr>
          <w:sz w:val="28"/>
          <w:szCs w:val="28"/>
          <w:u w:val="single"/>
        </w:rPr>
        <w:t xml:space="preserve"> November 2010</w:t>
      </w:r>
      <w:r>
        <w:rPr>
          <w:sz w:val="28"/>
          <w:szCs w:val="28"/>
        </w:rPr>
        <w:t>.  The letter of suspension dated 19</w:t>
      </w:r>
      <w:r w:rsidRPr="00052F63">
        <w:rPr>
          <w:sz w:val="28"/>
          <w:szCs w:val="28"/>
          <w:vertAlign w:val="superscript"/>
        </w:rPr>
        <w:t>th</w:t>
      </w:r>
      <w:r>
        <w:rPr>
          <w:sz w:val="28"/>
          <w:szCs w:val="28"/>
        </w:rPr>
        <w:t xml:space="preserve"> October 2010 simply suspended Respo</w:t>
      </w:r>
      <w:r w:rsidR="00DA7B91">
        <w:rPr>
          <w:sz w:val="28"/>
          <w:szCs w:val="28"/>
        </w:rPr>
        <w:t>ndent pending investigating.  It</w:t>
      </w:r>
      <w:r>
        <w:rPr>
          <w:sz w:val="28"/>
          <w:szCs w:val="28"/>
        </w:rPr>
        <w:t xml:space="preserve"> did not lay a specific charge.  Neither did it set a date of hearing.  The letter dated 15</w:t>
      </w:r>
      <w:r w:rsidRPr="00052F63">
        <w:rPr>
          <w:sz w:val="28"/>
          <w:szCs w:val="28"/>
          <w:vertAlign w:val="superscript"/>
        </w:rPr>
        <w:t>th</w:t>
      </w:r>
      <w:r>
        <w:rPr>
          <w:sz w:val="28"/>
          <w:szCs w:val="28"/>
        </w:rPr>
        <w:t xml:space="preserve"> November 2010 laid specific charges in terms of Respondent’s Code of Conduct.  It further set the date and </w:t>
      </w:r>
      <w:r w:rsidR="00DA7B91">
        <w:rPr>
          <w:sz w:val="28"/>
          <w:szCs w:val="28"/>
        </w:rPr>
        <w:t xml:space="preserve">venue </w:t>
      </w:r>
      <w:r>
        <w:rPr>
          <w:sz w:val="28"/>
          <w:szCs w:val="28"/>
        </w:rPr>
        <w:t>of hearing of the matter.  I consider that it is the “notification” contemplated by both subsections (3</w:t>
      </w:r>
      <w:proofErr w:type="gramStart"/>
      <w:r>
        <w:rPr>
          <w:sz w:val="28"/>
          <w:szCs w:val="28"/>
        </w:rPr>
        <w:t>) )</w:t>
      </w:r>
      <w:proofErr w:type="gramEnd"/>
      <w:r>
        <w:rPr>
          <w:sz w:val="28"/>
          <w:szCs w:val="28"/>
        </w:rPr>
        <w:t>e) and (6) of section 101 of the Act.  The question then becomes whether an employee is permitted to use delays created by him</w:t>
      </w:r>
      <w:r w:rsidR="00DA7B91">
        <w:rPr>
          <w:sz w:val="28"/>
          <w:szCs w:val="28"/>
        </w:rPr>
        <w:t>,</w:t>
      </w:r>
      <w:r>
        <w:rPr>
          <w:sz w:val="28"/>
          <w:szCs w:val="28"/>
        </w:rPr>
        <w:t xml:space="preserve"> to oust the employer jurisdiction in disciplinary matters.  On this point the Arbitrator found that,</w:t>
      </w:r>
    </w:p>
    <w:p w:rsidR="00052F63" w:rsidRDefault="00052F63" w:rsidP="00E53905">
      <w:pPr>
        <w:spacing w:after="0" w:line="360" w:lineRule="auto"/>
        <w:rPr>
          <w:sz w:val="28"/>
          <w:szCs w:val="28"/>
        </w:rPr>
      </w:pPr>
    </w:p>
    <w:p w:rsidR="00052F63" w:rsidRDefault="00052F63" w:rsidP="00052F63">
      <w:pPr>
        <w:spacing w:after="0" w:line="360" w:lineRule="auto"/>
        <w:ind w:left="720"/>
        <w:rPr>
          <w:i/>
          <w:sz w:val="28"/>
          <w:szCs w:val="28"/>
        </w:rPr>
      </w:pPr>
      <w:r>
        <w:rPr>
          <w:i/>
          <w:sz w:val="28"/>
          <w:szCs w:val="28"/>
        </w:rPr>
        <w:t>“The Claimant does not refuse that he made the requests for the postponement of which the Respondent facilitated to allow legal representation made.  A technical breach was made in order to accommodate the request of the Claimant b</w:t>
      </w:r>
      <w:r w:rsidR="00DA7B91">
        <w:rPr>
          <w:i/>
          <w:sz w:val="28"/>
          <w:szCs w:val="28"/>
        </w:rPr>
        <w:t>ut</w:t>
      </w:r>
      <w:r w:rsidR="008E78E0">
        <w:rPr>
          <w:i/>
          <w:sz w:val="28"/>
          <w:szCs w:val="28"/>
        </w:rPr>
        <w:t xml:space="preserve"> </w:t>
      </w:r>
      <w:r>
        <w:rPr>
          <w:i/>
          <w:sz w:val="28"/>
          <w:szCs w:val="28"/>
        </w:rPr>
        <w:t>the procedural error would not have affected the outcome of the case.”</w:t>
      </w:r>
    </w:p>
    <w:p w:rsidR="00052F63" w:rsidRDefault="00052F63" w:rsidP="00052F63">
      <w:pPr>
        <w:spacing w:after="0" w:line="360" w:lineRule="auto"/>
        <w:rPr>
          <w:sz w:val="28"/>
          <w:szCs w:val="28"/>
        </w:rPr>
      </w:pPr>
      <w:r>
        <w:rPr>
          <w:sz w:val="28"/>
          <w:szCs w:val="28"/>
        </w:rPr>
        <w:t xml:space="preserve">On that basis the Arbitrator remitted the matter back to Respondent’s disciplinary committee.  I agree with the Arbitrator’s approach.  The </w:t>
      </w:r>
      <w:r>
        <w:rPr>
          <w:sz w:val="28"/>
          <w:szCs w:val="28"/>
          <w:u w:val="single"/>
        </w:rPr>
        <w:t>letter</w:t>
      </w:r>
      <w:r>
        <w:rPr>
          <w:sz w:val="28"/>
          <w:szCs w:val="28"/>
        </w:rPr>
        <w:t xml:space="preserve"> and </w:t>
      </w:r>
      <w:r>
        <w:rPr>
          <w:sz w:val="28"/>
          <w:szCs w:val="28"/>
          <w:u w:val="single"/>
        </w:rPr>
        <w:t>spirit</w:t>
      </w:r>
      <w:r>
        <w:rPr>
          <w:sz w:val="28"/>
          <w:szCs w:val="28"/>
        </w:rPr>
        <w:t xml:space="preserve"> of the provisions in question is to provide relief for </w:t>
      </w:r>
      <w:r w:rsidRPr="00052F63">
        <w:rPr>
          <w:sz w:val="28"/>
          <w:szCs w:val="28"/>
          <w:u w:val="single"/>
        </w:rPr>
        <w:t>undue delays</w:t>
      </w:r>
      <w:r>
        <w:rPr>
          <w:sz w:val="28"/>
          <w:szCs w:val="28"/>
        </w:rPr>
        <w:t xml:space="preserve"> in the determination of disciplinary matters.  A delay occasioned by an employee cannot in all good conscience, be used by the same employee to oust the employer’s jurisdiction.  To hold otherwise would render disciplin</w:t>
      </w:r>
      <w:r w:rsidR="00DA7B91">
        <w:rPr>
          <w:sz w:val="28"/>
          <w:szCs w:val="28"/>
        </w:rPr>
        <w:t>ary proceedings a hostage of wi</w:t>
      </w:r>
      <w:r>
        <w:rPr>
          <w:sz w:val="28"/>
          <w:szCs w:val="28"/>
        </w:rPr>
        <w:t>ly schemes by parties bent on forum shopping</w:t>
      </w:r>
      <w:r w:rsidR="00585097">
        <w:rPr>
          <w:sz w:val="28"/>
          <w:szCs w:val="28"/>
        </w:rPr>
        <w:t xml:space="preserve"> in the hope of securing favourable verdicts.</w:t>
      </w:r>
    </w:p>
    <w:p w:rsidR="00C50799" w:rsidRDefault="00C50799" w:rsidP="00052F63">
      <w:pPr>
        <w:spacing w:after="0" w:line="360" w:lineRule="auto"/>
        <w:rPr>
          <w:sz w:val="28"/>
          <w:szCs w:val="28"/>
        </w:rPr>
      </w:pPr>
    </w:p>
    <w:p w:rsidR="00322341" w:rsidRPr="00322341" w:rsidRDefault="00DA7B91" w:rsidP="00DA7B91">
      <w:pPr>
        <w:pStyle w:val="ListParagraph"/>
        <w:numPr>
          <w:ilvl w:val="0"/>
          <w:numId w:val="5"/>
        </w:numPr>
        <w:spacing w:after="0" w:line="360" w:lineRule="auto"/>
        <w:rPr>
          <w:sz w:val="28"/>
          <w:szCs w:val="28"/>
        </w:rPr>
      </w:pPr>
      <w:r>
        <w:rPr>
          <w:sz w:val="28"/>
          <w:szCs w:val="28"/>
          <w:u w:val="single"/>
        </w:rPr>
        <w:t xml:space="preserve">Whether the employer could resume jurisdiction after </w:t>
      </w:r>
      <w:r w:rsidRPr="00322341">
        <w:rPr>
          <w:sz w:val="28"/>
          <w:szCs w:val="28"/>
          <w:u w:val="single"/>
        </w:rPr>
        <w:t>referral under s.</w:t>
      </w:r>
    </w:p>
    <w:p w:rsidR="00322341" w:rsidRDefault="00322341" w:rsidP="00322341">
      <w:pPr>
        <w:spacing w:after="0" w:line="360" w:lineRule="auto"/>
        <w:rPr>
          <w:sz w:val="28"/>
          <w:szCs w:val="28"/>
        </w:rPr>
      </w:pPr>
      <w:proofErr w:type="gramStart"/>
      <w:r w:rsidRPr="00322341">
        <w:rPr>
          <w:sz w:val="28"/>
          <w:szCs w:val="28"/>
          <w:u w:val="single"/>
        </w:rPr>
        <w:t>101 (6) of the Act</w:t>
      </w:r>
      <w:r>
        <w:rPr>
          <w:sz w:val="28"/>
          <w:szCs w:val="28"/>
        </w:rPr>
        <w:t>.</w:t>
      </w:r>
      <w:proofErr w:type="gramEnd"/>
      <w:r w:rsidR="00DA7B91" w:rsidRPr="00322341">
        <w:rPr>
          <w:sz w:val="28"/>
          <w:szCs w:val="28"/>
        </w:rPr>
        <w:t xml:space="preserve"> </w:t>
      </w:r>
    </w:p>
    <w:p w:rsidR="00DA7B91" w:rsidRPr="00322341" w:rsidRDefault="00DA7B91" w:rsidP="00322341">
      <w:pPr>
        <w:spacing w:after="0" w:line="360" w:lineRule="auto"/>
        <w:rPr>
          <w:sz w:val="28"/>
          <w:szCs w:val="28"/>
        </w:rPr>
      </w:pPr>
      <w:r w:rsidRPr="00322341">
        <w:rPr>
          <w:sz w:val="28"/>
          <w:szCs w:val="28"/>
        </w:rPr>
        <w:t xml:space="preserve"> The Act itself in section 101 (6) permits the Conciliator to “determine or </w:t>
      </w:r>
      <w:proofErr w:type="gramStart"/>
      <w:r w:rsidRPr="00322341">
        <w:rPr>
          <w:sz w:val="28"/>
          <w:szCs w:val="28"/>
        </w:rPr>
        <w:t>otherwise</w:t>
      </w:r>
      <w:proofErr w:type="gramEnd"/>
      <w:r w:rsidRPr="00322341">
        <w:rPr>
          <w:sz w:val="28"/>
          <w:szCs w:val="28"/>
        </w:rPr>
        <w:t xml:space="preserve"> dispose of the matter…”  These are broad powers given to the Conciliator.  A Conciliator may consider that the matter has been, prematurely or otherwise improperly, referred to him.</w:t>
      </w:r>
      <w:r w:rsidR="00322341">
        <w:rPr>
          <w:sz w:val="28"/>
          <w:szCs w:val="28"/>
        </w:rPr>
        <w:t xml:space="preserve">  </w:t>
      </w:r>
      <w:bookmarkStart w:id="0" w:name="_GoBack"/>
      <w:bookmarkEnd w:id="0"/>
      <w:r w:rsidRPr="00322341">
        <w:rPr>
          <w:sz w:val="28"/>
          <w:szCs w:val="28"/>
        </w:rPr>
        <w:t xml:space="preserve">It is permissible within his broad powers to remit a matter back to the employer’s disciplinary committee.  The Conciliator </w:t>
      </w:r>
      <w:r w:rsidRPr="00322341">
        <w:rPr>
          <w:sz w:val="28"/>
          <w:szCs w:val="28"/>
          <w:u w:val="single"/>
        </w:rPr>
        <w:t>in</w:t>
      </w:r>
      <w:r w:rsidRPr="00322341">
        <w:rPr>
          <w:sz w:val="28"/>
          <w:szCs w:val="28"/>
        </w:rPr>
        <w:t xml:space="preserve"> </w:t>
      </w:r>
      <w:proofErr w:type="spellStart"/>
      <w:r w:rsidRPr="00322341">
        <w:rPr>
          <w:sz w:val="28"/>
          <w:szCs w:val="28"/>
          <w:u w:val="single"/>
        </w:rPr>
        <w:t>casu</w:t>
      </w:r>
      <w:proofErr w:type="spellEnd"/>
      <w:r w:rsidR="00C50799" w:rsidRPr="00322341">
        <w:rPr>
          <w:sz w:val="28"/>
          <w:szCs w:val="28"/>
        </w:rPr>
        <w:t xml:space="preserve"> chose this route.  Thus the remittal was proper.</w:t>
      </w:r>
    </w:p>
    <w:p w:rsidR="00C50799" w:rsidRDefault="00C50799" w:rsidP="00C50799">
      <w:pPr>
        <w:spacing w:after="0" w:line="360" w:lineRule="auto"/>
        <w:rPr>
          <w:sz w:val="28"/>
          <w:szCs w:val="28"/>
        </w:rPr>
      </w:pPr>
    </w:p>
    <w:p w:rsidR="00C50799" w:rsidRDefault="00C50799" w:rsidP="00C50799">
      <w:pPr>
        <w:spacing w:after="0" w:line="360" w:lineRule="auto"/>
        <w:rPr>
          <w:sz w:val="28"/>
          <w:szCs w:val="28"/>
        </w:rPr>
      </w:pPr>
    </w:p>
    <w:p w:rsidR="00C50799" w:rsidRDefault="00C50799" w:rsidP="00C50799">
      <w:pPr>
        <w:spacing w:after="0" w:line="360" w:lineRule="auto"/>
        <w:rPr>
          <w:sz w:val="28"/>
          <w:szCs w:val="28"/>
        </w:rPr>
      </w:pPr>
    </w:p>
    <w:p w:rsidR="00C50799" w:rsidRDefault="00C50799" w:rsidP="00C50799">
      <w:pPr>
        <w:spacing w:after="0" w:line="360" w:lineRule="auto"/>
        <w:rPr>
          <w:sz w:val="28"/>
          <w:szCs w:val="28"/>
        </w:rPr>
      </w:pPr>
    </w:p>
    <w:p w:rsidR="00C50799" w:rsidRDefault="00C50799" w:rsidP="00C50799">
      <w:pPr>
        <w:spacing w:after="0" w:line="360" w:lineRule="auto"/>
        <w:rPr>
          <w:sz w:val="28"/>
          <w:szCs w:val="28"/>
        </w:rPr>
      </w:pPr>
    </w:p>
    <w:p w:rsidR="00C50799" w:rsidRDefault="00C50799" w:rsidP="00C50799">
      <w:pPr>
        <w:spacing w:after="0" w:line="360" w:lineRule="auto"/>
        <w:rPr>
          <w:sz w:val="28"/>
          <w:szCs w:val="28"/>
        </w:rPr>
      </w:pPr>
    </w:p>
    <w:p w:rsidR="00C50799" w:rsidRPr="00C50799" w:rsidRDefault="00C50799" w:rsidP="00C50799">
      <w:pPr>
        <w:spacing w:after="0" w:line="360" w:lineRule="auto"/>
        <w:rPr>
          <w:sz w:val="28"/>
          <w:szCs w:val="28"/>
        </w:rPr>
      </w:pPr>
      <w:r>
        <w:rPr>
          <w:sz w:val="28"/>
          <w:szCs w:val="28"/>
        </w:rPr>
        <w:t>All in all I find that the appeal lacks merit.</w:t>
      </w:r>
    </w:p>
    <w:p w:rsidR="00585097" w:rsidRDefault="00585097" w:rsidP="00052F63">
      <w:pPr>
        <w:spacing w:after="0" w:line="360" w:lineRule="auto"/>
        <w:rPr>
          <w:sz w:val="28"/>
          <w:szCs w:val="28"/>
        </w:rPr>
      </w:pPr>
    </w:p>
    <w:p w:rsidR="00585097" w:rsidRDefault="00585097" w:rsidP="00052F63">
      <w:pPr>
        <w:spacing w:after="0" w:line="360" w:lineRule="auto"/>
        <w:rPr>
          <w:sz w:val="28"/>
          <w:szCs w:val="28"/>
        </w:rPr>
      </w:pPr>
      <w:r>
        <w:rPr>
          <w:sz w:val="28"/>
          <w:szCs w:val="28"/>
        </w:rPr>
        <w:t>Wherefore it is ordered that,</w:t>
      </w:r>
    </w:p>
    <w:p w:rsidR="00C50799" w:rsidRDefault="00C50799" w:rsidP="00052F63">
      <w:pPr>
        <w:spacing w:after="0" w:line="360" w:lineRule="auto"/>
        <w:rPr>
          <w:sz w:val="28"/>
          <w:szCs w:val="28"/>
        </w:rPr>
      </w:pPr>
    </w:p>
    <w:p w:rsidR="00585097" w:rsidRDefault="00585097" w:rsidP="00585097">
      <w:pPr>
        <w:pStyle w:val="ListParagraph"/>
        <w:numPr>
          <w:ilvl w:val="0"/>
          <w:numId w:val="1"/>
        </w:numPr>
        <w:spacing w:after="0" w:line="360" w:lineRule="auto"/>
        <w:rPr>
          <w:sz w:val="28"/>
          <w:szCs w:val="28"/>
        </w:rPr>
      </w:pPr>
      <w:r>
        <w:rPr>
          <w:sz w:val="28"/>
          <w:szCs w:val="28"/>
        </w:rPr>
        <w:t xml:space="preserve"> The appeal is hereby dismissed; and</w:t>
      </w:r>
    </w:p>
    <w:p w:rsidR="00C50799" w:rsidRDefault="00C50799" w:rsidP="00C50799">
      <w:pPr>
        <w:pStyle w:val="ListParagraph"/>
        <w:spacing w:after="0" w:line="360" w:lineRule="auto"/>
        <w:rPr>
          <w:sz w:val="28"/>
          <w:szCs w:val="28"/>
        </w:rPr>
      </w:pPr>
    </w:p>
    <w:p w:rsidR="00585097" w:rsidRDefault="00585097" w:rsidP="00585097">
      <w:pPr>
        <w:pStyle w:val="ListParagraph"/>
        <w:numPr>
          <w:ilvl w:val="0"/>
          <w:numId w:val="1"/>
        </w:numPr>
        <w:spacing w:after="0" w:line="360" w:lineRule="auto"/>
        <w:rPr>
          <w:sz w:val="28"/>
          <w:szCs w:val="28"/>
        </w:rPr>
      </w:pPr>
      <w:r>
        <w:rPr>
          <w:sz w:val="28"/>
          <w:szCs w:val="28"/>
        </w:rPr>
        <w:t>Each party shall bear its own costs.</w:t>
      </w:r>
    </w:p>
    <w:p w:rsidR="00585097" w:rsidRDefault="00585097" w:rsidP="00585097">
      <w:pPr>
        <w:spacing w:after="0" w:line="360" w:lineRule="auto"/>
        <w:rPr>
          <w:sz w:val="28"/>
          <w:szCs w:val="28"/>
        </w:rPr>
      </w:pPr>
    </w:p>
    <w:p w:rsidR="00585097" w:rsidRDefault="00585097" w:rsidP="00585097">
      <w:pPr>
        <w:spacing w:after="0" w:line="360" w:lineRule="auto"/>
        <w:rPr>
          <w:sz w:val="28"/>
          <w:szCs w:val="28"/>
        </w:rPr>
      </w:pPr>
    </w:p>
    <w:p w:rsidR="00585097" w:rsidRDefault="00585097" w:rsidP="00585097">
      <w:pPr>
        <w:spacing w:after="0" w:line="360" w:lineRule="auto"/>
        <w:rPr>
          <w:sz w:val="28"/>
          <w:szCs w:val="28"/>
        </w:rPr>
      </w:pPr>
    </w:p>
    <w:p w:rsidR="00585097" w:rsidRDefault="00585097" w:rsidP="00585097">
      <w:pPr>
        <w:spacing w:after="0" w:line="360" w:lineRule="auto"/>
        <w:ind w:left="4320"/>
        <w:rPr>
          <w:b/>
          <w:sz w:val="28"/>
          <w:szCs w:val="28"/>
        </w:rPr>
      </w:pPr>
      <w:r>
        <w:rPr>
          <w:b/>
          <w:sz w:val="28"/>
          <w:szCs w:val="28"/>
        </w:rPr>
        <w:t>G. MUSARIRI</w:t>
      </w:r>
    </w:p>
    <w:p w:rsidR="00C50799" w:rsidRDefault="00C50799" w:rsidP="00585097">
      <w:pPr>
        <w:spacing w:after="0" w:line="360" w:lineRule="auto"/>
        <w:ind w:left="4320"/>
        <w:rPr>
          <w:b/>
          <w:sz w:val="28"/>
          <w:szCs w:val="28"/>
        </w:rPr>
      </w:pPr>
    </w:p>
    <w:p w:rsidR="00585097" w:rsidRPr="00585097" w:rsidRDefault="00585097" w:rsidP="00585097">
      <w:pPr>
        <w:spacing w:after="0" w:line="360" w:lineRule="auto"/>
        <w:ind w:left="4320"/>
        <w:rPr>
          <w:b/>
          <w:sz w:val="28"/>
          <w:szCs w:val="28"/>
          <w:u w:val="single"/>
        </w:rPr>
      </w:pPr>
      <w:r>
        <w:rPr>
          <w:b/>
          <w:sz w:val="28"/>
          <w:szCs w:val="28"/>
          <w:u w:val="single"/>
        </w:rPr>
        <w:t>PRESIDENT</w:t>
      </w:r>
    </w:p>
    <w:p w:rsidR="002E2B46" w:rsidRPr="002E2B46" w:rsidRDefault="002E2B46" w:rsidP="002E2B46">
      <w:pPr>
        <w:spacing w:line="360" w:lineRule="auto"/>
        <w:rPr>
          <w:i/>
          <w:sz w:val="28"/>
          <w:szCs w:val="28"/>
        </w:rPr>
      </w:pPr>
    </w:p>
    <w:sectPr w:rsidR="002E2B46" w:rsidRPr="002E2B46" w:rsidSect="002E2B46">
      <w:headerReference w:type="default" r:id="rId9"/>
      <w:footerReference w:type="default" r:id="rId10"/>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486" w:rsidRDefault="009F3486" w:rsidP="002E2B46">
      <w:pPr>
        <w:spacing w:after="0" w:line="240" w:lineRule="auto"/>
      </w:pPr>
      <w:r>
        <w:separator/>
      </w:r>
    </w:p>
  </w:endnote>
  <w:endnote w:type="continuationSeparator" w:id="0">
    <w:p w:rsidR="009F3486" w:rsidRDefault="009F3486" w:rsidP="002E2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0509309"/>
      <w:docPartObj>
        <w:docPartGallery w:val="Page Numbers (Bottom of Page)"/>
        <w:docPartUnique/>
      </w:docPartObj>
    </w:sdtPr>
    <w:sdtEndPr>
      <w:rPr>
        <w:noProof/>
      </w:rPr>
    </w:sdtEndPr>
    <w:sdtContent>
      <w:p w:rsidR="00052F63" w:rsidRDefault="00052F63">
        <w:pPr>
          <w:pStyle w:val="Footer"/>
          <w:jc w:val="right"/>
        </w:pPr>
        <w:r>
          <w:fldChar w:fldCharType="begin"/>
        </w:r>
        <w:r>
          <w:instrText xml:space="preserve"> PAGE   \* MERGEFORMAT </w:instrText>
        </w:r>
        <w:r>
          <w:fldChar w:fldCharType="separate"/>
        </w:r>
        <w:r w:rsidR="00322341">
          <w:rPr>
            <w:noProof/>
          </w:rPr>
          <w:t>4</w:t>
        </w:r>
        <w:r>
          <w:rPr>
            <w:noProof/>
          </w:rPr>
          <w:fldChar w:fldCharType="end"/>
        </w:r>
      </w:p>
    </w:sdtContent>
  </w:sdt>
  <w:p w:rsidR="00052F63" w:rsidRDefault="00052F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486" w:rsidRDefault="009F3486" w:rsidP="002E2B46">
      <w:pPr>
        <w:spacing w:after="0" w:line="240" w:lineRule="auto"/>
      </w:pPr>
      <w:r>
        <w:separator/>
      </w:r>
    </w:p>
  </w:footnote>
  <w:footnote w:type="continuationSeparator" w:id="0">
    <w:p w:rsidR="009F3486" w:rsidRDefault="009F3486" w:rsidP="002E2B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F63" w:rsidRDefault="00052F63" w:rsidP="002E2B46">
    <w:pPr>
      <w:ind w:left="5040" w:firstLine="720"/>
      <w:rPr>
        <w:b/>
        <w:sz w:val="28"/>
        <w:szCs w:val="28"/>
      </w:rPr>
    </w:pPr>
    <w:r>
      <w:rPr>
        <w:b/>
        <w:sz w:val="28"/>
        <w:szCs w:val="28"/>
      </w:rPr>
      <w:t>JUDGMENT NO LC/H/99/13</w:t>
    </w:r>
  </w:p>
  <w:p w:rsidR="00052F63" w:rsidRDefault="00052F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70A32"/>
    <w:multiLevelType w:val="hybridMultilevel"/>
    <w:tmpl w:val="B8C6F3FA"/>
    <w:lvl w:ilvl="0" w:tplc="35905538">
      <w:start w:val="1"/>
      <w:numFmt w:val="decimal"/>
      <w:lvlText w:val="%1."/>
      <w:lvlJc w:val="left"/>
      <w:pPr>
        <w:ind w:left="720" w:hanging="360"/>
      </w:pPr>
      <w:rPr>
        <w:rFonts w:hint="default"/>
        <w:u w:val="singl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9F819B0"/>
    <w:multiLevelType w:val="hybridMultilevel"/>
    <w:tmpl w:val="6512D83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184837E4"/>
    <w:multiLevelType w:val="hybridMultilevel"/>
    <w:tmpl w:val="0F86CA2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53D44435"/>
    <w:multiLevelType w:val="hybridMultilevel"/>
    <w:tmpl w:val="9C0C297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1A3692D"/>
    <w:multiLevelType w:val="hybridMultilevel"/>
    <w:tmpl w:val="D996E9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170"/>
    <w:rsid w:val="00052F63"/>
    <w:rsid w:val="002E2B46"/>
    <w:rsid w:val="00322341"/>
    <w:rsid w:val="004530C1"/>
    <w:rsid w:val="00561529"/>
    <w:rsid w:val="00585097"/>
    <w:rsid w:val="00830480"/>
    <w:rsid w:val="008469D9"/>
    <w:rsid w:val="008E78E0"/>
    <w:rsid w:val="00905E75"/>
    <w:rsid w:val="009F3486"/>
    <w:rsid w:val="00AC1170"/>
    <w:rsid w:val="00C50799"/>
    <w:rsid w:val="00DA7B91"/>
    <w:rsid w:val="00E5390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B46"/>
  </w:style>
  <w:style w:type="paragraph" w:styleId="Footer">
    <w:name w:val="footer"/>
    <w:basedOn w:val="Normal"/>
    <w:link w:val="FooterChar"/>
    <w:uiPriority w:val="99"/>
    <w:unhideWhenUsed/>
    <w:rsid w:val="002E2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B46"/>
  </w:style>
  <w:style w:type="paragraph" w:styleId="ListParagraph">
    <w:name w:val="List Paragraph"/>
    <w:basedOn w:val="Normal"/>
    <w:uiPriority w:val="34"/>
    <w:qFormat/>
    <w:rsid w:val="005850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2B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2B46"/>
  </w:style>
  <w:style w:type="paragraph" w:styleId="Footer">
    <w:name w:val="footer"/>
    <w:basedOn w:val="Normal"/>
    <w:link w:val="FooterChar"/>
    <w:uiPriority w:val="99"/>
    <w:unhideWhenUsed/>
    <w:rsid w:val="002E2B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2B46"/>
  </w:style>
  <w:style w:type="paragraph" w:styleId="ListParagraph">
    <w:name w:val="List Paragraph"/>
    <w:basedOn w:val="Normal"/>
    <w:uiPriority w:val="34"/>
    <w:qFormat/>
    <w:rsid w:val="00585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03781-D696-4221-B5A8-829926CCC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807</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4</cp:revision>
  <dcterms:created xsi:type="dcterms:W3CDTF">2013-03-27T07:02:00Z</dcterms:created>
  <dcterms:modified xsi:type="dcterms:W3CDTF">2013-04-02T09:49:00Z</dcterms:modified>
</cp:coreProperties>
</file>