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23" w:rsidRDefault="001D7623" w:rsidP="001D7623">
      <w:pPr>
        <w:spacing w:line="360" w:lineRule="auto"/>
        <w:jc w:val="both"/>
        <w:rPr>
          <w:b/>
          <w:sz w:val="22"/>
          <w:szCs w:val="22"/>
        </w:rPr>
      </w:pPr>
      <w:proofErr w:type="gramStart"/>
      <w:r>
        <w:rPr>
          <w:b/>
          <w:sz w:val="22"/>
          <w:szCs w:val="22"/>
        </w:rPr>
        <w:t xml:space="preserve">IN THE LABOUR COURT </w:t>
      </w:r>
      <w:r w:rsidR="00262314">
        <w:rPr>
          <w:b/>
          <w:sz w:val="22"/>
          <w:szCs w:val="22"/>
        </w:rPr>
        <w:t>OF ZIMBABWE</w:t>
      </w:r>
      <w:r w:rsidR="00262314">
        <w:rPr>
          <w:b/>
          <w:sz w:val="22"/>
          <w:szCs w:val="22"/>
        </w:rPr>
        <w:tab/>
        <w:t xml:space="preserve">                   </w:t>
      </w:r>
      <w:r>
        <w:rPr>
          <w:b/>
          <w:sz w:val="22"/>
          <w:szCs w:val="22"/>
        </w:rPr>
        <w:t>JUDGMENT NO.</w:t>
      </w:r>
      <w:proofErr w:type="gramEnd"/>
      <w:r>
        <w:rPr>
          <w:b/>
          <w:sz w:val="22"/>
          <w:szCs w:val="22"/>
        </w:rPr>
        <w:t xml:space="preserve"> LC/H/</w:t>
      </w:r>
      <w:r w:rsidR="00262314">
        <w:rPr>
          <w:b/>
          <w:sz w:val="22"/>
          <w:szCs w:val="22"/>
        </w:rPr>
        <w:t>35</w:t>
      </w:r>
      <w:r>
        <w:rPr>
          <w:b/>
          <w:sz w:val="22"/>
          <w:szCs w:val="22"/>
        </w:rPr>
        <w:t>/2016</w:t>
      </w:r>
    </w:p>
    <w:p w:rsidR="001D7623" w:rsidRDefault="001D7623" w:rsidP="001D7623">
      <w:pPr>
        <w:spacing w:line="360" w:lineRule="auto"/>
        <w:jc w:val="both"/>
        <w:rPr>
          <w:b/>
          <w:sz w:val="22"/>
          <w:szCs w:val="22"/>
        </w:rPr>
      </w:pPr>
      <w:r>
        <w:rPr>
          <w:b/>
          <w:sz w:val="22"/>
          <w:szCs w:val="22"/>
        </w:rPr>
        <w:t>HARARE,</w:t>
      </w:r>
      <w:r w:rsidR="00C702C8">
        <w:rPr>
          <w:b/>
          <w:sz w:val="22"/>
          <w:szCs w:val="22"/>
        </w:rPr>
        <w:t xml:space="preserve"> 21 OCTOBER 2015</w:t>
      </w:r>
      <w:r w:rsidR="00C702C8">
        <w:rPr>
          <w:b/>
          <w:sz w:val="22"/>
          <w:szCs w:val="22"/>
        </w:rPr>
        <w:tab/>
      </w:r>
      <w:r w:rsidR="00C702C8">
        <w:rPr>
          <w:b/>
          <w:sz w:val="22"/>
          <w:szCs w:val="22"/>
        </w:rPr>
        <w:tab/>
      </w:r>
      <w:r w:rsidR="00C702C8">
        <w:rPr>
          <w:b/>
          <w:sz w:val="22"/>
          <w:szCs w:val="22"/>
        </w:rPr>
        <w:tab/>
        <w:t xml:space="preserve">           </w:t>
      </w:r>
      <w:r w:rsidR="00C702C8">
        <w:rPr>
          <w:b/>
          <w:sz w:val="22"/>
          <w:szCs w:val="22"/>
        </w:rPr>
        <w:tab/>
        <w:t xml:space="preserve">      </w:t>
      </w:r>
      <w:bookmarkStart w:id="0" w:name="_GoBack"/>
      <w:bookmarkEnd w:id="0"/>
      <w:r>
        <w:rPr>
          <w:b/>
          <w:sz w:val="22"/>
          <w:szCs w:val="22"/>
        </w:rPr>
        <w:t>CASE NO. LC/H/</w:t>
      </w:r>
      <w:r w:rsidR="00C702C8">
        <w:rPr>
          <w:b/>
          <w:sz w:val="22"/>
          <w:szCs w:val="22"/>
        </w:rPr>
        <w:t>1065</w:t>
      </w:r>
      <w:r>
        <w:rPr>
          <w:b/>
          <w:sz w:val="22"/>
          <w:szCs w:val="22"/>
        </w:rPr>
        <w:t>/15</w:t>
      </w:r>
    </w:p>
    <w:p w:rsidR="001D7623" w:rsidRDefault="001D7623" w:rsidP="001D7623">
      <w:pPr>
        <w:spacing w:line="360" w:lineRule="auto"/>
        <w:jc w:val="both"/>
        <w:rPr>
          <w:b/>
          <w:sz w:val="22"/>
          <w:szCs w:val="22"/>
        </w:rPr>
      </w:pPr>
      <w:r>
        <w:rPr>
          <w:b/>
          <w:sz w:val="22"/>
          <w:szCs w:val="22"/>
        </w:rPr>
        <w:t xml:space="preserve">AND </w:t>
      </w:r>
      <w:r w:rsidR="00262314">
        <w:rPr>
          <w:b/>
          <w:sz w:val="22"/>
          <w:szCs w:val="22"/>
        </w:rPr>
        <w:t>22 JANUARY</w:t>
      </w:r>
      <w:r>
        <w:rPr>
          <w:b/>
          <w:sz w:val="22"/>
          <w:szCs w:val="22"/>
        </w:rPr>
        <w:t>, 2016</w:t>
      </w:r>
    </w:p>
    <w:p w:rsidR="001D7623" w:rsidRDefault="001D7623" w:rsidP="001D7623">
      <w:pPr>
        <w:spacing w:line="360" w:lineRule="auto"/>
        <w:jc w:val="both"/>
      </w:pPr>
      <w:r>
        <w:t>In the matter between:-</w:t>
      </w:r>
    </w:p>
    <w:p w:rsidR="001D7623" w:rsidRDefault="001D7623" w:rsidP="001D7623">
      <w:pPr>
        <w:spacing w:line="360" w:lineRule="auto"/>
        <w:jc w:val="both"/>
      </w:pPr>
    </w:p>
    <w:p w:rsidR="001D7623" w:rsidRDefault="001D7623" w:rsidP="001D7623">
      <w:pPr>
        <w:spacing w:line="360" w:lineRule="auto"/>
        <w:jc w:val="both"/>
        <w:rPr>
          <w:b/>
        </w:rPr>
      </w:pPr>
      <w:r>
        <w:rPr>
          <w:b/>
        </w:rPr>
        <w:t>TEMPERLY FARM (PVT) LTD</w:t>
      </w:r>
      <w:r>
        <w:rPr>
          <w:b/>
        </w:rPr>
        <w:tab/>
      </w:r>
      <w:r>
        <w:rPr>
          <w:b/>
        </w:rPr>
        <w:tab/>
      </w:r>
      <w:r>
        <w:rPr>
          <w:b/>
        </w:rPr>
        <w:tab/>
        <w:t>Appellant</w:t>
      </w:r>
    </w:p>
    <w:p w:rsidR="001D7623" w:rsidRDefault="001D7623" w:rsidP="001D7623">
      <w:pPr>
        <w:spacing w:line="360" w:lineRule="auto"/>
        <w:jc w:val="both"/>
        <w:rPr>
          <w:sz w:val="22"/>
          <w:szCs w:val="22"/>
        </w:rPr>
      </w:pPr>
      <w:r>
        <w:rPr>
          <w:sz w:val="22"/>
          <w:szCs w:val="22"/>
        </w:rPr>
        <w:t>And</w:t>
      </w:r>
    </w:p>
    <w:p w:rsidR="001D7623" w:rsidRDefault="001D7623" w:rsidP="001D7623">
      <w:pPr>
        <w:spacing w:line="360" w:lineRule="auto"/>
        <w:jc w:val="both"/>
        <w:rPr>
          <w:b/>
        </w:rPr>
      </w:pPr>
      <w:r>
        <w:rPr>
          <w:b/>
        </w:rPr>
        <w:t>B CHAKWANA AND 116 OTHERS</w:t>
      </w:r>
      <w:r>
        <w:rPr>
          <w:b/>
        </w:rPr>
        <w:tab/>
      </w:r>
      <w:r>
        <w:rPr>
          <w:b/>
        </w:rPr>
        <w:tab/>
        <w:t>Respondent</w:t>
      </w:r>
    </w:p>
    <w:p w:rsidR="001D7623" w:rsidRDefault="001D7623" w:rsidP="001D7623">
      <w:pPr>
        <w:spacing w:line="360" w:lineRule="auto"/>
        <w:jc w:val="both"/>
        <w:rPr>
          <w:b/>
        </w:rPr>
      </w:pPr>
    </w:p>
    <w:p w:rsidR="001D7623" w:rsidRDefault="001D7623" w:rsidP="001D7623">
      <w:pPr>
        <w:spacing w:line="360" w:lineRule="auto"/>
        <w:jc w:val="both"/>
      </w:pPr>
      <w:r>
        <w:t>Before The Honourable E. Makamure, Judge</w:t>
      </w:r>
    </w:p>
    <w:p w:rsidR="001D7623" w:rsidRDefault="001D7623" w:rsidP="001D7623">
      <w:pPr>
        <w:spacing w:line="360" w:lineRule="auto"/>
        <w:jc w:val="both"/>
      </w:pPr>
    </w:p>
    <w:p w:rsidR="001D7623" w:rsidRDefault="001D7623" w:rsidP="001D7623">
      <w:pPr>
        <w:spacing w:line="360" w:lineRule="auto"/>
        <w:jc w:val="both"/>
        <w:rPr>
          <w:b/>
        </w:rPr>
      </w:pPr>
      <w:r>
        <w:rPr>
          <w:b/>
        </w:rPr>
        <w:t>For Appellant</w:t>
      </w:r>
      <w:r>
        <w:rPr>
          <w:b/>
        </w:rPr>
        <w:tab/>
      </w:r>
      <w:r>
        <w:rPr>
          <w:b/>
        </w:rPr>
        <w:tab/>
        <w:t>Ms</w:t>
      </w:r>
      <w:r w:rsidR="00CD2702">
        <w:rPr>
          <w:b/>
        </w:rPr>
        <w:t xml:space="preserve"> R. Bwanali (Legal Practitioner</w:t>
      </w:r>
      <w:r>
        <w:rPr>
          <w:b/>
        </w:rPr>
        <w:t>)</w:t>
      </w:r>
    </w:p>
    <w:p w:rsidR="001D7623" w:rsidRDefault="001D7623" w:rsidP="001D7623">
      <w:pPr>
        <w:spacing w:line="360" w:lineRule="auto"/>
        <w:jc w:val="both"/>
        <w:rPr>
          <w:b/>
        </w:rPr>
      </w:pPr>
      <w:r>
        <w:rPr>
          <w:b/>
        </w:rPr>
        <w:t>For Respondent</w:t>
      </w:r>
      <w:r>
        <w:rPr>
          <w:b/>
        </w:rPr>
        <w:tab/>
      </w:r>
      <w:r>
        <w:rPr>
          <w:b/>
        </w:rPr>
        <w:tab/>
        <w:t>Mr T. Maramwidze (Trade Unionist)</w:t>
      </w:r>
    </w:p>
    <w:p w:rsidR="001D7623" w:rsidRDefault="001D7623" w:rsidP="001D7623">
      <w:pPr>
        <w:spacing w:line="360" w:lineRule="auto"/>
        <w:jc w:val="both"/>
        <w:rPr>
          <w:b/>
          <w:sz w:val="28"/>
          <w:szCs w:val="28"/>
        </w:rPr>
      </w:pPr>
    </w:p>
    <w:p w:rsidR="001D7623" w:rsidRDefault="001D7623" w:rsidP="001D7623">
      <w:pPr>
        <w:spacing w:line="360" w:lineRule="auto"/>
        <w:jc w:val="both"/>
        <w:rPr>
          <w:b/>
        </w:rPr>
      </w:pPr>
      <w:r>
        <w:rPr>
          <w:b/>
        </w:rPr>
        <w:t>MAKAMURE, J:</w:t>
      </w:r>
    </w:p>
    <w:p w:rsidR="00FA2E4B" w:rsidRDefault="00FA2E4B" w:rsidP="008D07BD">
      <w:pPr>
        <w:spacing w:line="360" w:lineRule="auto"/>
        <w:jc w:val="both"/>
      </w:pPr>
    </w:p>
    <w:p w:rsidR="008D07BD" w:rsidRDefault="008D07BD" w:rsidP="008D07BD">
      <w:pPr>
        <w:spacing w:line="360" w:lineRule="auto"/>
        <w:jc w:val="both"/>
      </w:pPr>
      <w:r>
        <w:tab/>
        <w:t>This is an appeal against an arbitral award issued at Chinhoyi on 6 October 2014.  The Learned Arbitrator ordered Temperly Farm to reinstat</w:t>
      </w:r>
      <w:r w:rsidR="00ED6074">
        <w:t>e all the respondents with no lo</w:t>
      </w:r>
      <w:r>
        <w:t xml:space="preserve">ss of salary and benefits with an alternative order for the payment </w:t>
      </w:r>
      <w:r w:rsidR="00C00DEE">
        <w:t xml:space="preserve">of damages should reinstatement </w:t>
      </w:r>
      <w:proofErr w:type="gramStart"/>
      <w:r w:rsidR="00C00DEE">
        <w:t>be</w:t>
      </w:r>
      <w:proofErr w:type="gramEnd"/>
      <w:r w:rsidR="00C00DEE">
        <w:t xml:space="preserve"> no longer possible.  The appellant was aggrieved by the award and appealed to this court on the following grounds:</w:t>
      </w:r>
    </w:p>
    <w:p w:rsidR="00C00DEE" w:rsidRDefault="00C00DEE" w:rsidP="00A76770">
      <w:pPr>
        <w:jc w:val="both"/>
      </w:pPr>
    </w:p>
    <w:p w:rsidR="00C00DEE" w:rsidRDefault="00C00DEE" w:rsidP="00C00DEE">
      <w:pPr>
        <w:pStyle w:val="ListParagraph"/>
        <w:numPr>
          <w:ilvl w:val="0"/>
          <w:numId w:val="1"/>
        </w:numPr>
        <w:spacing w:line="360" w:lineRule="auto"/>
        <w:jc w:val="both"/>
      </w:pPr>
      <w:r>
        <w:t>The Honourable Arbitrator erred at law in finding that Ke</w:t>
      </w:r>
      <w:r w:rsidR="00057B52">
        <w:t>l</w:t>
      </w:r>
      <w:r>
        <w:t xml:space="preserve">vin was properly cited in the </w:t>
      </w:r>
      <w:r w:rsidR="0079299D">
        <w:t>matter.</w:t>
      </w:r>
    </w:p>
    <w:p w:rsidR="0079299D" w:rsidRDefault="0079299D" w:rsidP="00C00DEE">
      <w:pPr>
        <w:pStyle w:val="ListParagraph"/>
        <w:numPr>
          <w:ilvl w:val="0"/>
          <w:numId w:val="1"/>
        </w:numPr>
        <w:spacing w:line="360" w:lineRule="auto"/>
        <w:jc w:val="both"/>
      </w:pPr>
      <w:r>
        <w:t>The Honourable Arbitrator erred at law in finding that the respondents were unlawfully dismissed.</w:t>
      </w:r>
    </w:p>
    <w:p w:rsidR="0079299D" w:rsidRDefault="0079299D" w:rsidP="00C00DEE">
      <w:pPr>
        <w:pStyle w:val="ListParagraph"/>
        <w:numPr>
          <w:ilvl w:val="0"/>
          <w:numId w:val="1"/>
        </w:numPr>
        <w:spacing w:line="360" w:lineRule="auto"/>
        <w:jc w:val="both"/>
      </w:pPr>
      <w:r>
        <w:t>The Honourable Arbitrator erred at law in finding that the Appellant unilaterally</w:t>
      </w:r>
      <w:r w:rsidR="00FD1FCF">
        <w:t xml:space="preserve"> varied the respondents’ contracts of employments (sic) when the issue was not part of the terms of reference.</w:t>
      </w:r>
    </w:p>
    <w:p w:rsidR="00FD1FCF" w:rsidRDefault="00FD1FCF" w:rsidP="00C00DEE">
      <w:pPr>
        <w:pStyle w:val="ListParagraph"/>
        <w:numPr>
          <w:ilvl w:val="0"/>
          <w:numId w:val="1"/>
        </w:numPr>
        <w:spacing w:line="360" w:lineRule="auto"/>
        <w:jc w:val="both"/>
      </w:pPr>
      <w:r>
        <w:t>The Arbitrator erred at law in finding that the appellant had constructively dismissed the respondents.</w:t>
      </w:r>
    </w:p>
    <w:p w:rsidR="00FD1FCF" w:rsidRDefault="00FD1FCF" w:rsidP="00C00DEE">
      <w:pPr>
        <w:pStyle w:val="ListParagraph"/>
        <w:numPr>
          <w:ilvl w:val="0"/>
          <w:numId w:val="1"/>
        </w:numPr>
        <w:spacing w:line="360" w:lineRule="auto"/>
        <w:jc w:val="both"/>
      </w:pPr>
      <w:r>
        <w:lastRenderedPageBreak/>
        <w:t>The Honourable Arbitrator erred at law in determining issues that are outside the agreed term of reference.</w:t>
      </w:r>
    </w:p>
    <w:p w:rsidR="00FD1FCF" w:rsidRDefault="00FD1FCF" w:rsidP="00A76770">
      <w:pPr>
        <w:jc w:val="both"/>
      </w:pPr>
    </w:p>
    <w:p w:rsidR="00FD1FCF" w:rsidRDefault="00FD1FCF" w:rsidP="00792117">
      <w:pPr>
        <w:spacing w:line="360" w:lineRule="auto"/>
        <w:ind w:firstLine="720"/>
        <w:jc w:val="both"/>
      </w:pPr>
      <w:r>
        <w:t>The papers show that at some point the</w:t>
      </w:r>
      <w:r w:rsidR="00AA7D74">
        <w:t xml:space="preserve"> respondents’</w:t>
      </w:r>
      <w:r>
        <w:t xml:space="preserve"> employer was one Kelvin Nel.  However</w:t>
      </w:r>
      <w:r w:rsidR="00792117">
        <w:t xml:space="preserve"> the Learned Arbitrator without explaining cited the employer as Temperly Farm.  </w:t>
      </w:r>
    </w:p>
    <w:p w:rsidR="00792117" w:rsidRDefault="00792117" w:rsidP="00A76770">
      <w:pPr>
        <w:ind w:firstLine="720"/>
        <w:jc w:val="both"/>
      </w:pPr>
    </w:p>
    <w:p w:rsidR="00792117" w:rsidRDefault="00792117" w:rsidP="00792117">
      <w:pPr>
        <w:spacing w:line="360" w:lineRule="auto"/>
        <w:ind w:firstLine="720"/>
        <w:jc w:val="both"/>
      </w:pPr>
      <w:r>
        <w:t>It was pointed out that and in</w:t>
      </w:r>
      <w:r w:rsidR="00A76770">
        <w:t>deed it is common cause that Te</w:t>
      </w:r>
      <w:r>
        <w:t xml:space="preserve">mperly Farm is not a legal persona.  </w:t>
      </w:r>
      <w:r w:rsidR="001D793F">
        <w:t xml:space="preserve">As such there was no respondent before the Learned Arbitrator.  For that reason alone </w:t>
      </w:r>
      <w:r w:rsidR="008E0464">
        <w:t xml:space="preserve">the proceedings before the Arbitrator were a nullity. </w:t>
      </w:r>
      <w:proofErr w:type="gramStart"/>
      <w:r w:rsidR="008E0464">
        <w:t xml:space="preserve">[See </w:t>
      </w:r>
      <w:proofErr w:type="spellStart"/>
      <w:r w:rsidR="00EC49FE">
        <w:rPr>
          <w:i/>
        </w:rPr>
        <w:t>Gariya</w:t>
      </w:r>
      <w:proofErr w:type="spellEnd"/>
      <w:r w:rsidR="008E0464" w:rsidRPr="008E0464">
        <w:rPr>
          <w:i/>
        </w:rPr>
        <w:t xml:space="preserve"> Safaris (</w:t>
      </w:r>
      <w:proofErr w:type="spellStart"/>
      <w:r w:rsidR="008E0464" w:rsidRPr="008E0464">
        <w:rPr>
          <w:i/>
        </w:rPr>
        <w:t>Pvt</w:t>
      </w:r>
      <w:proofErr w:type="spellEnd"/>
      <w:r w:rsidR="008E0464" w:rsidRPr="008E0464">
        <w:rPr>
          <w:i/>
        </w:rPr>
        <w:t>) Ltd</w:t>
      </w:r>
      <w:r w:rsidR="008E0464">
        <w:t xml:space="preserve"> v </w:t>
      </w:r>
      <w:r w:rsidR="008E0464" w:rsidRPr="008E0464">
        <w:rPr>
          <w:i/>
        </w:rPr>
        <w:t>Van Wyk</w:t>
      </w:r>
      <w:r w:rsidR="008E0464">
        <w:t>] 1996 (2) ZLR 240</w:t>
      </w:r>
      <w:r w:rsidR="00EC49FE">
        <w:t>].</w:t>
      </w:r>
      <w:proofErr w:type="gramEnd"/>
      <w:r w:rsidR="00EC49FE">
        <w:t xml:space="preserve"> </w:t>
      </w:r>
    </w:p>
    <w:p w:rsidR="008E0464" w:rsidRDefault="008E0464" w:rsidP="00A76770">
      <w:pPr>
        <w:ind w:firstLine="720"/>
        <w:jc w:val="both"/>
      </w:pPr>
    </w:p>
    <w:p w:rsidR="008E0464" w:rsidRDefault="008E0464" w:rsidP="00792117">
      <w:pPr>
        <w:spacing w:line="360" w:lineRule="auto"/>
        <w:ind w:firstLine="720"/>
        <w:jc w:val="both"/>
      </w:pPr>
      <w:r>
        <w:t xml:space="preserve">That is not all, it is not disputed that Temperly Farm (Pvt) Ltd ceased operations in 2002. Thus even if it been properly cited, there could not be a cause of </w:t>
      </w:r>
      <w:r w:rsidR="00A76770">
        <w:t>an</w:t>
      </w:r>
      <w:r>
        <w:t xml:space="preserve"> action in 2012 against an entity whose operations ceased in 2002.</w:t>
      </w:r>
    </w:p>
    <w:p w:rsidR="008E0464" w:rsidRDefault="008E0464" w:rsidP="00A76770">
      <w:pPr>
        <w:ind w:firstLine="720"/>
        <w:jc w:val="both"/>
      </w:pPr>
    </w:p>
    <w:p w:rsidR="008E0464" w:rsidRDefault="008E0464" w:rsidP="00792117">
      <w:pPr>
        <w:spacing w:line="360" w:lineRule="auto"/>
        <w:ind w:firstLine="720"/>
        <w:jc w:val="both"/>
      </w:pPr>
      <w:r>
        <w:t>It is not disputed that one Ke</w:t>
      </w:r>
      <w:r w:rsidR="00061956">
        <w:t>l</w:t>
      </w:r>
      <w:r>
        <w:t xml:space="preserve">vin </w:t>
      </w:r>
      <w:proofErr w:type="spellStart"/>
      <w:r>
        <w:t>Nel’s</w:t>
      </w:r>
      <w:proofErr w:type="spellEnd"/>
      <w:r>
        <w:t xml:space="preserve"> farm was acquired though the Land Reform Programme.  He relocated to a new farm and had to start operations </w:t>
      </w:r>
      <w:r w:rsidR="001D1301">
        <w:t>afresh</w:t>
      </w:r>
      <w:r>
        <w:t>.  There were no proper structures for accommodation.  He also had no equipment.  However when he relocated</w:t>
      </w:r>
      <w:r w:rsidR="004F6261">
        <w:t xml:space="preserve"> he moved with 42 out of 117 workers.  75 workers remained at the acquired farm.  He sent transport for them to be relocated to the new farm but they refused.  Out of the 42 who had relocated, they all eventually deserted the new farm </w:t>
      </w:r>
      <w:r w:rsidR="002B16F0">
        <w:t>citing poor</w:t>
      </w:r>
      <w:r w:rsidR="004F6261">
        <w:t xml:space="preserve"> accommod</w:t>
      </w:r>
      <w:r w:rsidR="002F0FBF">
        <w:t>ation and lack of equipment.  After</w:t>
      </w:r>
      <w:r w:rsidR="004F6261">
        <w:t xml:space="preserve"> </w:t>
      </w:r>
      <w:r w:rsidR="002F0FBF">
        <w:t>deserting their</w:t>
      </w:r>
      <w:r w:rsidR="002B16F0">
        <w:t xml:space="preserve"> employer, they lodged</w:t>
      </w:r>
      <w:r w:rsidR="00771E62">
        <w:t xml:space="preserve"> a complaint for unfair dismissal.  This led to arbitration resulting in the </w:t>
      </w:r>
      <w:r w:rsidR="00404EE9">
        <w:t>present proceedings.</w:t>
      </w:r>
    </w:p>
    <w:p w:rsidR="00771E62" w:rsidRDefault="00771E62" w:rsidP="00A76770">
      <w:pPr>
        <w:ind w:firstLine="720"/>
        <w:jc w:val="both"/>
      </w:pPr>
    </w:p>
    <w:p w:rsidR="00771E62" w:rsidRDefault="00771E62" w:rsidP="00792117">
      <w:pPr>
        <w:spacing w:line="360" w:lineRule="auto"/>
        <w:ind w:firstLine="720"/>
        <w:jc w:val="both"/>
      </w:pPr>
      <w:r>
        <w:t>The law is very clear on desertion</w:t>
      </w:r>
      <w:r w:rsidR="00A76770">
        <w:t>.</w:t>
      </w:r>
      <w:r>
        <w:t xml:space="preserve"> </w:t>
      </w:r>
      <w:r w:rsidR="004A65FB">
        <w:t xml:space="preserve">In </w:t>
      </w:r>
      <w:r w:rsidR="004A65FB" w:rsidRPr="00A76770">
        <w:rPr>
          <w:i/>
        </w:rPr>
        <w:t>Kenias Kandemiiri</w:t>
      </w:r>
      <w:r w:rsidR="004A65FB">
        <w:t xml:space="preserve"> v </w:t>
      </w:r>
      <w:r w:rsidR="004A65FB" w:rsidRPr="00A76770">
        <w:rPr>
          <w:i/>
        </w:rPr>
        <w:t>Director DDF</w:t>
      </w:r>
      <w:r w:rsidR="004A65FB">
        <w:t xml:space="preserve"> H-C-H 6/98 it was held that;</w:t>
      </w:r>
    </w:p>
    <w:p w:rsidR="004A65FB" w:rsidRDefault="004A65FB" w:rsidP="00A76770">
      <w:pPr>
        <w:ind w:firstLine="720"/>
        <w:jc w:val="both"/>
      </w:pPr>
    </w:p>
    <w:p w:rsidR="004A65FB" w:rsidRPr="00A76770" w:rsidRDefault="004A65FB" w:rsidP="00A76770">
      <w:pPr>
        <w:spacing w:line="276" w:lineRule="auto"/>
        <w:ind w:left="720"/>
        <w:jc w:val="both"/>
        <w:rPr>
          <w:sz w:val="22"/>
          <w:szCs w:val="22"/>
        </w:rPr>
      </w:pPr>
      <w:r w:rsidRPr="00A76770">
        <w:rPr>
          <w:sz w:val="22"/>
          <w:szCs w:val="22"/>
        </w:rPr>
        <w:t>“Generally speaking an employee who deserts his employer is not en</w:t>
      </w:r>
      <w:r w:rsidR="00404EE9">
        <w:rPr>
          <w:sz w:val="22"/>
          <w:szCs w:val="22"/>
        </w:rPr>
        <w:t>titled to any equitable relief.</w:t>
      </w:r>
    </w:p>
    <w:p w:rsidR="004A65FB" w:rsidRDefault="004A65FB" w:rsidP="00792117">
      <w:pPr>
        <w:spacing w:line="360" w:lineRule="auto"/>
        <w:ind w:firstLine="720"/>
        <w:jc w:val="both"/>
      </w:pPr>
      <w:r>
        <w:t>...</w:t>
      </w:r>
    </w:p>
    <w:p w:rsidR="004A65FB" w:rsidRDefault="00404EE9" w:rsidP="00F72DB9">
      <w:pPr>
        <w:spacing w:line="276" w:lineRule="auto"/>
        <w:ind w:left="720"/>
        <w:jc w:val="both"/>
      </w:pPr>
      <w:r>
        <w:rPr>
          <w:sz w:val="22"/>
          <w:szCs w:val="22"/>
        </w:rPr>
        <w:t>A deserting employee cannot su</w:t>
      </w:r>
      <w:r w:rsidR="004A65FB" w:rsidRPr="00F72DB9">
        <w:rPr>
          <w:sz w:val="22"/>
          <w:szCs w:val="22"/>
        </w:rPr>
        <w:t>e for wrongful dismissal because he has not been dismissed.  He has deserted</w:t>
      </w:r>
      <w:r w:rsidR="004A65FB">
        <w:t>” (see also Lee Group of Companies v Ann Clare Elder SC 6/05).</w:t>
      </w:r>
    </w:p>
    <w:p w:rsidR="004A65FB" w:rsidRDefault="004A65FB" w:rsidP="00A76770">
      <w:pPr>
        <w:ind w:firstLine="720"/>
        <w:jc w:val="both"/>
      </w:pPr>
    </w:p>
    <w:p w:rsidR="004A65FB" w:rsidRDefault="004A65FB" w:rsidP="00792117">
      <w:pPr>
        <w:spacing w:line="360" w:lineRule="auto"/>
        <w:ind w:firstLine="720"/>
        <w:jc w:val="both"/>
      </w:pPr>
      <w:r>
        <w:t xml:space="preserve">It is clear in the present case that all the employees deserted their </w:t>
      </w:r>
      <w:proofErr w:type="gramStart"/>
      <w:r>
        <w:t>employer,</w:t>
      </w:r>
      <w:proofErr w:type="gramEnd"/>
      <w:r>
        <w:t xml:space="preserve"> they therefore could not sue for unlawful dismissal.</w:t>
      </w:r>
      <w:r w:rsidR="00F72DB9">
        <w:t xml:space="preserve"> This is quite apart from the fact that the matter was not properly before the arbitrator.  The present appellant had to </w:t>
      </w:r>
      <w:r w:rsidR="006A0225">
        <w:t>prosecute</w:t>
      </w:r>
      <w:r w:rsidR="00F72DB9">
        <w:t xml:space="preserve"> the appeal in order to clarify its position.</w:t>
      </w:r>
    </w:p>
    <w:p w:rsidR="004A65FB" w:rsidRDefault="004A65FB" w:rsidP="00A76770">
      <w:pPr>
        <w:jc w:val="both"/>
      </w:pPr>
    </w:p>
    <w:p w:rsidR="004A65FB" w:rsidRDefault="004A65FB" w:rsidP="004A65FB">
      <w:pPr>
        <w:spacing w:line="360" w:lineRule="auto"/>
        <w:ind w:firstLine="720"/>
        <w:jc w:val="both"/>
      </w:pPr>
      <w:r>
        <w:t xml:space="preserve">In view of the foregoing I find that there is merit in the appeal.  </w:t>
      </w:r>
    </w:p>
    <w:p w:rsidR="004A65FB" w:rsidRDefault="004A65FB" w:rsidP="004A65FB">
      <w:pPr>
        <w:spacing w:line="360" w:lineRule="auto"/>
        <w:jc w:val="both"/>
      </w:pPr>
    </w:p>
    <w:p w:rsidR="004A65FB" w:rsidRDefault="004A65FB" w:rsidP="004A65FB">
      <w:pPr>
        <w:spacing w:line="360" w:lineRule="auto"/>
        <w:jc w:val="both"/>
      </w:pPr>
      <w:r>
        <w:t xml:space="preserve">Accordingly it is ordered </w:t>
      </w:r>
      <w:r w:rsidR="007D4D0F">
        <w:t>that the appeal be and is hereby granted with cost</w:t>
      </w:r>
      <w:r w:rsidR="00EB02BB">
        <w:t>s</w:t>
      </w:r>
      <w:r w:rsidR="007D4D0F">
        <w:t>.</w:t>
      </w:r>
    </w:p>
    <w:p w:rsidR="007D4D0F" w:rsidRDefault="007D4D0F" w:rsidP="004A65FB">
      <w:pPr>
        <w:spacing w:line="360" w:lineRule="auto"/>
        <w:jc w:val="both"/>
      </w:pPr>
    </w:p>
    <w:p w:rsidR="007D4D0F" w:rsidRDefault="007D4D0F" w:rsidP="004A65FB">
      <w:pPr>
        <w:spacing w:line="360" w:lineRule="auto"/>
        <w:jc w:val="both"/>
      </w:pPr>
    </w:p>
    <w:p w:rsidR="007D4D0F" w:rsidRDefault="007D4D0F" w:rsidP="004A65FB">
      <w:pPr>
        <w:spacing w:line="360" w:lineRule="auto"/>
        <w:jc w:val="both"/>
      </w:pPr>
      <w:r w:rsidRPr="00A76770">
        <w:rPr>
          <w:i/>
        </w:rPr>
        <w:t>Cohlan Welsh &amp; Guest</w:t>
      </w:r>
      <w:r>
        <w:t>, appellant’s legal practitioners</w:t>
      </w:r>
    </w:p>
    <w:sectPr w:rsidR="007D4D0F" w:rsidSect="005A31A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368" w:rsidRDefault="00757368" w:rsidP="00A445A8">
      <w:r>
        <w:separator/>
      </w:r>
    </w:p>
  </w:endnote>
  <w:endnote w:type="continuationSeparator" w:id="0">
    <w:p w:rsidR="00757368" w:rsidRDefault="00757368" w:rsidP="00A4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815846"/>
      <w:docPartObj>
        <w:docPartGallery w:val="Page Numbers (Bottom of Page)"/>
        <w:docPartUnique/>
      </w:docPartObj>
    </w:sdtPr>
    <w:sdtEndPr>
      <w:rPr>
        <w:noProof/>
      </w:rPr>
    </w:sdtEndPr>
    <w:sdtContent>
      <w:p w:rsidR="005A31AB" w:rsidRDefault="005A31AB">
        <w:pPr>
          <w:pStyle w:val="Footer"/>
          <w:jc w:val="center"/>
        </w:pPr>
        <w:r>
          <w:fldChar w:fldCharType="begin"/>
        </w:r>
        <w:r>
          <w:instrText xml:space="preserve"> PAGE   \* MERGEFORMAT </w:instrText>
        </w:r>
        <w:r>
          <w:fldChar w:fldCharType="separate"/>
        </w:r>
        <w:r w:rsidR="00C702C8">
          <w:rPr>
            <w:noProof/>
          </w:rPr>
          <w:t>3</w:t>
        </w:r>
        <w:r>
          <w:rPr>
            <w:noProof/>
          </w:rPr>
          <w:fldChar w:fldCharType="end"/>
        </w:r>
      </w:p>
    </w:sdtContent>
  </w:sdt>
  <w:p w:rsidR="00A445A8" w:rsidRDefault="00A44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368" w:rsidRDefault="00757368" w:rsidP="00A445A8">
      <w:r>
        <w:separator/>
      </w:r>
    </w:p>
  </w:footnote>
  <w:footnote w:type="continuationSeparator" w:id="0">
    <w:p w:rsidR="00757368" w:rsidRDefault="00757368" w:rsidP="00A44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A8" w:rsidRDefault="00A445A8">
    <w:pPr>
      <w:pStyle w:val="Header"/>
    </w:pPr>
    <w:r>
      <w:tab/>
    </w:r>
    <w:r>
      <w:tab/>
      <w:t>JUDGMENT NO. LC/H/</w:t>
    </w:r>
    <w:r w:rsidR="00262314">
      <w:t>35</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E01F9"/>
    <w:multiLevelType w:val="hybridMultilevel"/>
    <w:tmpl w:val="AB72CA5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23"/>
    <w:rsid w:val="00024A1B"/>
    <w:rsid w:val="00057B52"/>
    <w:rsid w:val="00061956"/>
    <w:rsid w:val="001D1301"/>
    <w:rsid w:val="001D7623"/>
    <w:rsid w:val="001D793F"/>
    <w:rsid w:val="00262314"/>
    <w:rsid w:val="002B16F0"/>
    <w:rsid w:val="002F0FBF"/>
    <w:rsid w:val="00404EE9"/>
    <w:rsid w:val="004353FD"/>
    <w:rsid w:val="004A1977"/>
    <w:rsid w:val="004A65FB"/>
    <w:rsid w:val="004F6261"/>
    <w:rsid w:val="005A31AB"/>
    <w:rsid w:val="005E1944"/>
    <w:rsid w:val="00655DAB"/>
    <w:rsid w:val="006A0225"/>
    <w:rsid w:val="00724620"/>
    <w:rsid w:val="00757368"/>
    <w:rsid w:val="00771E62"/>
    <w:rsid w:val="00792117"/>
    <w:rsid w:val="0079299D"/>
    <w:rsid w:val="007D4D0F"/>
    <w:rsid w:val="008240EE"/>
    <w:rsid w:val="008D07BD"/>
    <w:rsid w:val="008E0464"/>
    <w:rsid w:val="00A445A8"/>
    <w:rsid w:val="00A753C8"/>
    <w:rsid w:val="00A76770"/>
    <w:rsid w:val="00AA7D74"/>
    <w:rsid w:val="00C00DEE"/>
    <w:rsid w:val="00C702C8"/>
    <w:rsid w:val="00CD2702"/>
    <w:rsid w:val="00EB02BB"/>
    <w:rsid w:val="00EC49FE"/>
    <w:rsid w:val="00ED6074"/>
    <w:rsid w:val="00F72DB9"/>
    <w:rsid w:val="00FA2E4B"/>
    <w:rsid w:val="00FD1F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62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DEE"/>
    <w:pPr>
      <w:ind w:left="720"/>
      <w:contextualSpacing/>
    </w:pPr>
  </w:style>
  <w:style w:type="paragraph" w:styleId="Header">
    <w:name w:val="header"/>
    <w:basedOn w:val="Normal"/>
    <w:link w:val="HeaderChar"/>
    <w:uiPriority w:val="99"/>
    <w:unhideWhenUsed/>
    <w:rsid w:val="00A445A8"/>
    <w:pPr>
      <w:tabs>
        <w:tab w:val="center" w:pos="4513"/>
        <w:tab w:val="right" w:pos="9026"/>
      </w:tabs>
    </w:pPr>
  </w:style>
  <w:style w:type="character" w:customStyle="1" w:styleId="HeaderChar">
    <w:name w:val="Header Char"/>
    <w:basedOn w:val="DefaultParagraphFont"/>
    <w:link w:val="Header"/>
    <w:uiPriority w:val="99"/>
    <w:rsid w:val="00A445A8"/>
    <w:rPr>
      <w:rFonts w:ascii="Tahoma" w:eastAsia="Times New Roman" w:hAnsi="Tahoma" w:cs="Times New Roman"/>
      <w:sz w:val="24"/>
      <w:szCs w:val="24"/>
      <w:lang w:val="en-US"/>
    </w:rPr>
  </w:style>
  <w:style w:type="paragraph" w:styleId="Footer">
    <w:name w:val="footer"/>
    <w:basedOn w:val="Normal"/>
    <w:link w:val="FooterChar"/>
    <w:uiPriority w:val="99"/>
    <w:unhideWhenUsed/>
    <w:rsid w:val="00A445A8"/>
    <w:pPr>
      <w:tabs>
        <w:tab w:val="center" w:pos="4513"/>
        <w:tab w:val="right" w:pos="9026"/>
      </w:tabs>
    </w:pPr>
  </w:style>
  <w:style w:type="character" w:customStyle="1" w:styleId="FooterChar">
    <w:name w:val="Footer Char"/>
    <w:basedOn w:val="DefaultParagraphFont"/>
    <w:link w:val="Footer"/>
    <w:uiPriority w:val="99"/>
    <w:rsid w:val="00A445A8"/>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262314"/>
    <w:rPr>
      <w:rFonts w:cs="Tahoma"/>
      <w:sz w:val="16"/>
      <w:szCs w:val="16"/>
    </w:rPr>
  </w:style>
  <w:style w:type="character" w:customStyle="1" w:styleId="BalloonTextChar">
    <w:name w:val="Balloon Text Char"/>
    <w:basedOn w:val="DefaultParagraphFont"/>
    <w:link w:val="BalloonText"/>
    <w:uiPriority w:val="99"/>
    <w:semiHidden/>
    <w:rsid w:val="0026231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62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DEE"/>
    <w:pPr>
      <w:ind w:left="720"/>
      <w:contextualSpacing/>
    </w:pPr>
  </w:style>
  <w:style w:type="paragraph" w:styleId="Header">
    <w:name w:val="header"/>
    <w:basedOn w:val="Normal"/>
    <w:link w:val="HeaderChar"/>
    <w:uiPriority w:val="99"/>
    <w:unhideWhenUsed/>
    <w:rsid w:val="00A445A8"/>
    <w:pPr>
      <w:tabs>
        <w:tab w:val="center" w:pos="4513"/>
        <w:tab w:val="right" w:pos="9026"/>
      </w:tabs>
    </w:pPr>
  </w:style>
  <w:style w:type="character" w:customStyle="1" w:styleId="HeaderChar">
    <w:name w:val="Header Char"/>
    <w:basedOn w:val="DefaultParagraphFont"/>
    <w:link w:val="Header"/>
    <w:uiPriority w:val="99"/>
    <w:rsid w:val="00A445A8"/>
    <w:rPr>
      <w:rFonts w:ascii="Tahoma" w:eastAsia="Times New Roman" w:hAnsi="Tahoma" w:cs="Times New Roman"/>
      <w:sz w:val="24"/>
      <w:szCs w:val="24"/>
      <w:lang w:val="en-US"/>
    </w:rPr>
  </w:style>
  <w:style w:type="paragraph" w:styleId="Footer">
    <w:name w:val="footer"/>
    <w:basedOn w:val="Normal"/>
    <w:link w:val="FooterChar"/>
    <w:uiPriority w:val="99"/>
    <w:unhideWhenUsed/>
    <w:rsid w:val="00A445A8"/>
    <w:pPr>
      <w:tabs>
        <w:tab w:val="center" w:pos="4513"/>
        <w:tab w:val="right" w:pos="9026"/>
      </w:tabs>
    </w:pPr>
  </w:style>
  <w:style w:type="character" w:customStyle="1" w:styleId="FooterChar">
    <w:name w:val="Footer Char"/>
    <w:basedOn w:val="DefaultParagraphFont"/>
    <w:link w:val="Footer"/>
    <w:uiPriority w:val="99"/>
    <w:rsid w:val="00A445A8"/>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262314"/>
    <w:rPr>
      <w:rFonts w:cs="Tahoma"/>
      <w:sz w:val="16"/>
      <w:szCs w:val="16"/>
    </w:rPr>
  </w:style>
  <w:style w:type="character" w:customStyle="1" w:styleId="BalloonTextChar">
    <w:name w:val="Balloon Text Char"/>
    <w:basedOn w:val="DefaultParagraphFont"/>
    <w:link w:val="BalloonText"/>
    <w:uiPriority w:val="99"/>
    <w:semiHidden/>
    <w:rsid w:val="0026231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35</cp:revision>
  <cp:lastPrinted>2016-01-21T14:18:00Z</cp:lastPrinted>
  <dcterms:created xsi:type="dcterms:W3CDTF">2016-01-06T12:06:00Z</dcterms:created>
  <dcterms:modified xsi:type="dcterms:W3CDTF">2016-01-21T14:19:00Z</dcterms:modified>
</cp:coreProperties>
</file>