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ABA97" w14:textId="16936FC6" w:rsidR="00B5385D" w:rsidRDefault="004213D8" w:rsidP="00F927E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TEMBANI CLEVER SITHOLE </w:t>
      </w:r>
      <w:r w:rsidR="00281CD5">
        <w:rPr>
          <w:rFonts w:ascii="Times New Roman" w:hAnsi="Times New Roman" w:cs="Times New Roman"/>
          <w:sz w:val="24"/>
          <w:szCs w:val="24"/>
        </w:rPr>
        <w:t xml:space="preserve"> </w:t>
      </w:r>
    </w:p>
    <w:p w14:paraId="03D50595" w14:textId="77777777" w:rsidR="00281CD5" w:rsidRDefault="00281CD5"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versus </w:t>
      </w:r>
    </w:p>
    <w:p w14:paraId="1E43C6A0" w14:textId="77777777" w:rsidR="004F4192" w:rsidRDefault="004F4192"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CHRISTOPHER CHIGWANDA N.O. </w:t>
      </w:r>
    </w:p>
    <w:p w14:paraId="2927A305" w14:textId="77777777" w:rsidR="004F4192" w:rsidRDefault="004F4192"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14:paraId="70A5C7D0" w14:textId="77777777" w:rsidR="00F927ED" w:rsidRDefault="004F4192"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THE MASTER OF THE HIGH COURT N.O.</w:t>
      </w:r>
      <w:r w:rsidR="00281CD5">
        <w:rPr>
          <w:rFonts w:ascii="Times New Roman" w:hAnsi="Times New Roman" w:cs="Times New Roman"/>
          <w:sz w:val="24"/>
          <w:szCs w:val="24"/>
        </w:rPr>
        <w:t xml:space="preserve"> </w:t>
      </w:r>
      <w:r w:rsidR="00A15094">
        <w:rPr>
          <w:rFonts w:ascii="Times New Roman" w:hAnsi="Times New Roman" w:cs="Times New Roman"/>
          <w:sz w:val="24"/>
          <w:szCs w:val="24"/>
        </w:rPr>
        <w:t xml:space="preserve"> </w:t>
      </w:r>
      <w:r w:rsidR="00A15094">
        <w:rPr>
          <w:rFonts w:ascii="Times New Roman" w:hAnsi="Times New Roman" w:cs="Times New Roman"/>
          <w:sz w:val="24"/>
          <w:szCs w:val="24"/>
        </w:rPr>
        <w:tab/>
      </w:r>
    </w:p>
    <w:p w14:paraId="22EF5DF7" w14:textId="77777777" w:rsidR="000652A4" w:rsidRDefault="00A15094"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53F499AE" w14:textId="77777777" w:rsidR="0060607A" w:rsidRDefault="0060607A" w:rsidP="00F927ED">
      <w:pPr>
        <w:spacing w:after="0" w:line="240" w:lineRule="auto"/>
        <w:rPr>
          <w:rFonts w:ascii="Times New Roman" w:hAnsi="Times New Roman" w:cs="Times New Roman"/>
          <w:sz w:val="24"/>
          <w:szCs w:val="24"/>
        </w:rPr>
      </w:pPr>
    </w:p>
    <w:p w14:paraId="69B896F4" w14:textId="77777777" w:rsidR="0000054D" w:rsidRDefault="0000054D"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6983FA4F" w14:textId="77777777" w:rsidR="0000054D" w:rsidRDefault="0000054D"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60607A">
        <w:rPr>
          <w:rFonts w:ascii="Times New Roman" w:hAnsi="Times New Roman" w:cs="Times New Roman"/>
          <w:sz w:val="24"/>
          <w:szCs w:val="24"/>
        </w:rPr>
        <w:t xml:space="preserve">USITHU </w:t>
      </w:r>
      <w:r>
        <w:rPr>
          <w:rFonts w:ascii="Times New Roman" w:hAnsi="Times New Roman" w:cs="Times New Roman"/>
          <w:sz w:val="24"/>
          <w:szCs w:val="24"/>
        </w:rPr>
        <w:t>J</w:t>
      </w:r>
    </w:p>
    <w:p w14:paraId="0726A994" w14:textId="44F5E5E8" w:rsidR="0000054D" w:rsidRDefault="0000054D" w:rsidP="00F927ED">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B10942">
        <w:rPr>
          <w:rFonts w:ascii="Times New Roman" w:hAnsi="Times New Roman" w:cs="Times New Roman"/>
          <w:sz w:val="24"/>
          <w:szCs w:val="24"/>
        </w:rPr>
        <w:t xml:space="preserve"> </w:t>
      </w:r>
      <w:r w:rsidR="00E7655E">
        <w:rPr>
          <w:rFonts w:ascii="Times New Roman" w:hAnsi="Times New Roman" w:cs="Times New Roman"/>
          <w:sz w:val="24"/>
          <w:szCs w:val="24"/>
        </w:rPr>
        <w:t>15 July 2022 &amp; 31 October 2023</w:t>
      </w:r>
    </w:p>
    <w:p w14:paraId="7144566C" w14:textId="77777777" w:rsidR="0000054D" w:rsidRDefault="0000054D" w:rsidP="0000054D">
      <w:pPr>
        <w:spacing w:after="0"/>
        <w:rPr>
          <w:rFonts w:ascii="Times New Roman" w:hAnsi="Times New Roman" w:cs="Times New Roman"/>
          <w:sz w:val="24"/>
          <w:szCs w:val="24"/>
        </w:rPr>
      </w:pPr>
    </w:p>
    <w:p w14:paraId="65B46E42" w14:textId="77777777" w:rsidR="0000054D" w:rsidRDefault="0000054D" w:rsidP="0000054D">
      <w:pPr>
        <w:spacing w:after="0"/>
        <w:rPr>
          <w:rFonts w:ascii="Times New Roman" w:hAnsi="Times New Roman" w:cs="Times New Roman"/>
          <w:sz w:val="24"/>
          <w:szCs w:val="24"/>
        </w:rPr>
      </w:pPr>
    </w:p>
    <w:p w14:paraId="55F6D216" w14:textId="0DAEBA02" w:rsidR="0000054D" w:rsidRPr="0000054D" w:rsidRDefault="004F4192" w:rsidP="0000054D">
      <w:pPr>
        <w:spacing w:after="0"/>
        <w:rPr>
          <w:rFonts w:ascii="Times New Roman" w:hAnsi="Times New Roman" w:cs="Times New Roman"/>
          <w:b/>
          <w:sz w:val="24"/>
          <w:szCs w:val="24"/>
        </w:rPr>
      </w:pPr>
      <w:r>
        <w:rPr>
          <w:rFonts w:ascii="Times New Roman" w:hAnsi="Times New Roman" w:cs="Times New Roman"/>
          <w:b/>
          <w:sz w:val="24"/>
          <w:szCs w:val="24"/>
        </w:rPr>
        <w:t xml:space="preserve">Opposed </w:t>
      </w:r>
      <w:r w:rsidR="007826FD">
        <w:rPr>
          <w:rFonts w:ascii="Times New Roman" w:hAnsi="Times New Roman" w:cs="Times New Roman"/>
          <w:b/>
          <w:sz w:val="24"/>
          <w:szCs w:val="24"/>
        </w:rPr>
        <w:t>A</w:t>
      </w:r>
      <w:r>
        <w:rPr>
          <w:rFonts w:ascii="Times New Roman" w:hAnsi="Times New Roman" w:cs="Times New Roman"/>
          <w:b/>
          <w:sz w:val="24"/>
          <w:szCs w:val="24"/>
        </w:rPr>
        <w:t>pplication</w:t>
      </w:r>
      <w:r w:rsidR="00F927ED">
        <w:rPr>
          <w:rFonts w:ascii="Times New Roman" w:hAnsi="Times New Roman" w:cs="Times New Roman"/>
          <w:b/>
          <w:sz w:val="24"/>
          <w:szCs w:val="24"/>
        </w:rPr>
        <w:t xml:space="preserve"> – </w:t>
      </w:r>
      <w:r w:rsidR="00D039ED">
        <w:rPr>
          <w:rFonts w:ascii="Times New Roman" w:hAnsi="Times New Roman" w:cs="Times New Roman"/>
          <w:b/>
          <w:sz w:val="24"/>
          <w:szCs w:val="24"/>
        </w:rPr>
        <w:t xml:space="preserve"> </w:t>
      </w:r>
      <w:r w:rsidR="00281CD5">
        <w:rPr>
          <w:rFonts w:ascii="Times New Roman" w:hAnsi="Times New Roman" w:cs="Times New Roman"/>
          <w:b/>
          <w:sz w:val="24"/>
          <w:szCs w:val="24"/>
        </w:rPr>
        <w:t xml:space="preserve"> </w:t>
      </w:r>
    </w:p>
    <w:p w14:paraId="78E67659" w14:textId="77777777" w:rsidR="0000054D" w:rsidRDefault="0000054D" w:rsidP="0000054D">
      <w:pPr>
        <w:spacing w:after="0"/>
        <w:rPr>
          <w:rFonts w:ascii="Times New Roman" w:hAnsi="Times New Roman" w:cs="Times New Roman"/>
          <w:sz w:val="24"/>
          <w:szCs w:val="24"/>
        </w:rPr>
      </w:pPr>
    </w:p>
    <w:p w14:paraId="3C5724CD" w14:textId="77777777" w:rsidR="0000054D" w:rsidRDefault="0000054D" w:rsidP="0000054D">
      <w:pPr>
        <w:spacing w:after="0"/>
        <w:rPr>
          <w:rFonts w:ascii="Times New Roman" w:hAnsi="Times New Roman" w:cs="Times New Roman"/>
          <w:sz w:val="24"/>
          <w:szCs w:val="24"/>
        </w:rPr>
      </w:pPr>
    </w:p>
    <w:p w14:paraId="762B98AC" w14:textId="5F61114B" w:rsidR="0000054D" w:rsidRDefault="00B5385D" w:rsidP="00B10942">
      <w:pPr>
        <w:spacing w:after="0" w:line="240" w:lineRule="auto"/>
        <w:rPr>
          <w:rFonts w:ascii="Times New Roman" w:hAnsi="Times New Roman" w:cs="Times New Roman"/>
          <w:sz w:val="24"/>
          <w:szCs w:val="24"/>
        </w:rPr>
      </w:pPr>
      <w:r w:rsidRPr="00F927ED">
        <w:rPr>
          <w:rFonts w:ascii="Times New Roman" w:hAnsi="Times New Roman" w:cs="Times New Roman"/>
          <w:sz w:val="24"/>
          <w:szCs w:val="24"/>
        </w:rPr>
        <w:t>Mr</w:t>
      </w:r>
      <w:r>
        <w:rPr>
          <w:rFonts w:ascii="Times New Roman" w:hAnsi="Times New Roman" w:cs="Times New Roman"/>
          <w:i/>
          <w:sz w:val="24"/>
          <w:szCs w:val="24"/>
        </w:rPr>
        <w:t xml:space="preserve"> </w:t>
      </w:r>
      <w:r w:rsidR="007826FD">
        <w:rPr>
          <w:rFonts w:ascii="Times New Roman" w:hAnsi="Times New Roman" w:cs="Times New Roman"/>
          <w:i/>
          <w:sz w:val="24"/>
          <w:szCs w:val="24"/>
        </w:rPr>
        <w:t>C</w:t>
      </w:r>
      <w:r w:rsidR="004F4192">
        <w:rPr>
          <w:rFonts w:ascii="Times New Roman" w:hAnsi="Times New Roman" w:cs="Times New Roman"/>
          <w:i/>
          <w:sz w:val="24"/>
          <w:szCs w:val="24"/>
        </w:rPr>
        <w:t xml:space="preserve"> Mandizvidza</w:t>
      </w:r>
      <w:r w:rsidR="00CC6961">
        <w:rPr>
          <w:rFonts w:ascii="Times New Roman" w:hAnsi="Times New Roman" w:cs="Times New Roman"/>
          <w:i/>
          <w:sz w:val="24"/>
          <w:szCs w:val="24"/>
        </w:rPr>
        <w:t xml:space="preserve">, </w:t>
      </w:r>
      <w:r w:rsidR="0000054D">
        <w:rPr>
          <w:rFonts w:ascii="Times New Roman" w:hAnsi="Times New Roman" w:cs="Times New Roman"/>
          <w:sz w:val="24"/>
          <w:szCs w:val="24"/>
        </w:rPr>
        <w:t xml:space="preserve">for the </w:t>
      </w:r>
      <w:r w:rsidR="004F4192">
        <w:rPr>
          <w:rFonts w:ascii="Times New Roman" w:hAnsi="Times New Roman" w:cs="Times New Roman"/>
          <w:sz w:val="24"/>
          <w:szCs w:val="24"/>
        </w:rPr>
        <w:t xml:space="preserve">applicant </w:t>
      </w:r>
    </w:p>
    <w:p w14:paraId="018CF447" w14:textId="29E166C8" w:rsidR="0000054D" w:rsidRDefault="00281CD5" w:rsidP="00B10942">
      <w:pPr>
        <w:spacing w:after="0" w:line="240" w:lineRule="auto"/>
        <w:rPr>
          <w:rFonts w:ascii="Times New Roman" w:hAnsi="Times New Roman" w:cs="Times New Roman"/>
          <w:sz w:val="24"/>
          <w:szCs w:val="24"/>
        </w:rPr>
      </w:pPr>
      <w:r w:rsidRPr="00F927ED">
        <w:rPr>
          <w:rFonts w:ascii="Times New Roman" w:hAnsi="Times New Roman" w:cs="Times New Roman"/>
          <w:sz w:val="24"/>
          <w:szCs w:val="24"/>
        </w:rPr>
        <w:t>Mr</w:t>
      </w:r>
      <w:r>
        <w:rPr>
          <w:rFonts w:ascii="Times New Roman" w:hAnsi="Times New Roman" w:cs="Times New Roman"/>
          <w:i/>
          <w:sz w:val="24"/>
          <w:szCs w:val="24"/>
        </w:rPr>
        <w:t xml:space="preserve"> </w:t>
      </w:r>
      <w:r w:rsidR="004F4192">
        <w:rPr>
          <w:rFonts w:ascii="Times New Roman" w:hAnsi="Times New Roman" w:cs="Times New Roman"/>
          <w:i/>
          <w:sz w:val="24"/>
          <w:szCs w:val="24"/>
        </w:rPr>
        <w:t>A Nyamukondiwa</w:t>
      </w:r>
      <w:r w:rsidR="0000054D">
        <w:rPr>
          <w:rFonts w:ascii="Times New Roman" w:hAnsi="Times New Roman" w:cs="Times New Roman"/>
          <w:sz w:val="24"/>
          <w:szCs w:val="24"/>
        </w:rPr>
        <w:t xml:space="preserve">, for the </w:t>
      </w:r>
      <w:r w:rsidR="004F4192">
        <w:rPr>
          <w:rFonts w:ascii="Times New Roman" w:hAnsi="Times New Roman" w:cs="Times New Roman"/>
          <w:sz w:val="24"/>
          <w:szCs w:val="24"/>
        </w:rPr>
        <w:t>1</w:t>
      </w:r>
      <w:r w:rsidR="004F4192" w:rsidRPr="004F4192">
        <w:rPr>
          <w:rFonts w:ascii="Times New Roman" w:hAnsi="Times New Roman" w:cs="Times New Roman"/>
          <w:sz w:val="24"/>
          <w:szCs w:val="24"/>
          <w:vertAlign w:val="superscript"/>
        </w:rPr>
        <w:t>st</w:t>
      </w:r>
      <w:r w:rsidR="004F4192">
        <w:rPr>
          <w:rFonts w:ascii="Times New Roman" w:hAnsi="Times New Roman" w:cs="Times New Roman"/>
          <w:sz w:val="24"/>
          <w:szCs w:val="24"/>
        </w:rPr>
        <w:t xml:space="preserve"> respondent </w:t>
      </w:r>
      <w:r>
        <w:rPr>
          <w:rFonts w:ascii="Times New Roman" w:hAnsi="Times New Roman" w:cs="Times New Roman"/>
          <w:sz w:val="24"/>
          <w:szCs w:val="24"/>
        </w:rPr>
        <w:t xml:space="preserve"> </w:t>
      </w:r>
    </w:p>
    <w:p w14:paraId="1783E997" w14:textId="77777777" w:rsidR="0000054D" w:rsidRDefault="0000054D" w:rsidP="0000054D">
      <w:pPr>
        <w:spacing w:after="0"/>
        <w:rPr>
          <w:rFonts w:ascii="Times New Roman" w:hAnsi="Times New Roman" w:cs="Times New Roman"/>
          <w:sz w:val="24"/>
          <w:szCs w:val="24"/>
        </w:rPr>
      </w:pPr>
    </w:p>
    <w:p w14:paraId="3AA4F643" w14:textId="77777777" w:rsidR="00F927ED" w:rsidRDefault="00F927ED" w:rsidP="0000054D">
      <w:pPr>
        <w:spacing w:after="0"/>
        <w:rPr>
          <w:rFonts w:ascii="Times New Roman" w:hAnsi="Times New Roman" w:cs="Times New Roman"/>
          <w:sz w:val="24"/>
          <w:szCs w:val="24"/>
        </w:rPr>
      </w:pPr>
    </w:p>
    <w:p w14:paraId="6588345A" w14:textId="4730CCCA" w:rsidR="00704B5F" w:rsidRDefault="0000054D" w:rsidP="00281C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F927ED">
        <w:rPr>
          <w:rFonts w:ascii="Times New Roman" w:hAnsi="Times New Roman" w:cs="Times New Roman"/>
          <w:b/>
          <w:sz w:val="24"/>
          <w:szCs w:val="24"/>
        </w:rPr>
        <w:t>M</w:t>
      </w:r>
      <w:r w:rsidR="00CC6961" w:rsidRPr="00F927ED">
        <w:rPr>
          <w:rFonts w:ascii="Times New Roman" w:hAnsi="Times New Roman" w:cs="Times New Roman"/>
          <w:b/>
          <w:sz w:val="24"/>
          <w:szCs w:val="24"/>
        </w:rPr>
        <w:t>USITHU</w:t>
      </w:r>
      <w:r w:rsidR="00F927ED">
        <w:rPr>
          <w:rFonts w:ascii="Times New Roman" w:hAnsi="Times New Roman" w:cs="Times New Roman"/>
          <w:b/>
          <w:sz w:val="24"/>
          <w:szCs w:val="24"/>
        </w:rPr>
        <w:t xml:space="preserve"> </w:t>
      </w:r>
      <w:r w:rsidRPr="00F927ED">
        <w:rPr>
          <w:rFonts w:ascii="Times New Roman" w:hAnsi="Times New Roman" w:cs="Times New Roman"/>
          <w:b/>
          <w:sz w:val="24"/>
          <w:szCs w:val="24"/>
        </w:rPr>
        <w:t>J</w:t>
      </w:r>
      <w:r>
        <w:rPr>
          <w:rFonts w:ascii="Times New Roman" w:hAnsi="Times New Roman" w:cs="Times New Roman"/>
          <w:sz w:val="24"/>
          <w:szCs w:val="24"/>
        </w:rPr>
        <w:t xml:space="preserve">: </w:t>
      </w:r>
      <w:r w:rsidR="007826FD">
        <w:rPr>
          <w:rFonts w:ascii="Times New Roman" w:hAnsi="Times New Roman" w:cs="Times New Roman"/>
          <w:sz w:val="24"/>
          <w:szCs w:val="24"/>
        </w:rPr>
        <w:t xml:space="preserve">   </w:t>
      </w:r>
      <w:r w:rsidR="001B0692">
        <w:rPr>
          <w:rFonts w:ascii="Times New Roman" w:hAnsi="Times New Roman" w:cs="Times New Roman"/>
          <w:sz w:val="24"/>
          <w:szCs w:val="24"/>
        </w:rPr>
        <w:t>Th</w:t>
      </w:r>
      <w:r w:rsidR="004F4192">
        <w:rPr>
          <w:rFonts w:ascii="Times New Roman" w:hAnsi="Times New Roman" w:cs="Times New Roman"/>
          <w:sz w:val="24"/>
          <w:szCs w:val="24"/>
        </w:rPr>
        <w:t xml:space="preserve">is is an application for a </w:t>
      </w:r>
      <w:r w:rsidR="004F4192" w:rsidRPr="004F4192">
        <w:rPr>
          <w:rFonts w:ascii="Times New Roman" w:hAnsi="Times New Roman" w:cs="Times New Roman"/>
          <w:i/>
          <w:sz w:val="24"/>
          <w:szCs w:val="24"/>
        </w:rPr>
        <w:t>declaratur</w:t>
      </w:r>
      <w:r w:rsidR="004F4192">
        <w:rPr>
          <w:rFonts w:ascii="Times New Roman" w:hAnsi="Times New Roman" w:cs="Times New Roman"/>
          <w:sz w:val="24"/>
          <w:szCs w:val="24"/>
        </w:rPr>
        <w:t xml:space="preserve"> in terms of which the applicant seeks the following relief against the first respondent: </w:t>
      </w:r>
    </w:p>
    <w:p w14:paraId="354D5848" w14:textId="77777777" w:rsidR="004F4192" w:rsidRPr="004F4192" w:rsidRDefault="004F4192" w:rsidP="00281CD5">
      <w:pPr>
        <w:spacing w:after="0" w:line="360" w:lineRule="auto"/>
        <w:jc w:val="both"/>
        <w:rPr>
          <w:rFonts w:ascii="Times New Roman" w:hAnsi="Times New Roman" w:cs="Times New Roman"/>
          <w:sz w:val="24"/>
          <w:szCs w:val="24"/>
          <w:u w:val="single"/>
        </w:rPr>
      </w:pPr>
      <w:r w:rsidRPr="004F4192">
        <w:rPr>
          <w:rFonts w:ascii="Times New Roman" w:hAnsi="Times New Roman" w:cs="Times New Roman"/>
          <w:sz w:val="24"/>
          <w:szCs w:val="24"/>
        </w:rPr>
        <w:tab/>
      </w:r>
      <w:r w:rsidRPr="004F4192">
        <w:rPr>
          <w:rFonts w:ascii="Times New Roman" w:hAnsi="Times New Roman" w:cs="Times New Roman"/>
          <w:sz w:val="24"/>
          <w:szCs w:val="24"/>
          <w:u w:val="single"/>
        </w:rPr>
        <w:t>“IT IS DECLARED AND ORDERED THAT</w:t>
      </w:r>
      <w:r w:rsidRPr="007826FD">
        <w:rPr>
          <w:rFonts w:ascii="Times New Roman" w:hAnsi="Times New Roman" w:cs="Times New Roman"/>
          <w:sz w:val="24"/>
          <w:szCs w:val="24"/>
        </w:rPr>
        <w:t>:</w:t>
      </w:r>
    </w:p>
    <w:p w14:paraId="73409819" w14:textId="77777777" w:rsidR="004F4192" w:rsidRDefault="004F4192" w:rsidP="004F4192">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The 50% shareholding in Maurizm Investments (Pvt) Ltd in Stand 10245 Glenview Township measuring 2383 square meters were validly sold to the Applicant by the 1</w:t>
      </w:r>
      <w:r w:rsidRPr="004F4192">
        <w:rPr>
          <w:rFonts w:ascii="Times New Roman" w:hAnsi="Times New Roman" w:cs="Times New Roman"/>
          <w:vertAlign w:val="superscript"/>
        </w:rPr>
        <w:t>st</w:t>
      </w:r>
      <w:r>
        <w:rPr>
          <w:rFonts w:ascii="Times New Roman" w:hAnsi="Times New Roman" w:cs="Times New Roman"/>
        </w:rPr>
        <w:t xml:space="preserve"> Respondent on the 20</w:t>
      </w:r>
      <w:r w:rsidRPr="004F4192">
        <w:rPr>
          <w:rFonts w:ascii="Times New Roman" w:hAnsi="Times New Roman" w:cs="Times New Roman"/>
          <w:vertAlign w:val="superscript"/>
        </w:rPr>
        <w:t>th</w:t>
      </w:r>
      <w:r>
        <w:rPr>
          <w:rFonts w:ascii="Times New Roman" w:hAnsi="Times New Roman" w:cs="Times New Roman"/>
        </w:rPr>
        <w:t xml:space="preserve"> October 2015 when the Applicant’s offer was accepted by the 1</w:t>
      </w:r>
      <w:r w:rsidRPr="004F4192">
        <w:rPr>
          <w:rFonts w:ascii="Times New Roman" w:hAnsi="Times New Roman" w:cs="Times New Roman"/>
          <w:vertAlign w:val="superscript"/>
        </w:rPr>
        <w:t>st</w:t>
      </w:r>
      <w:r>
        <w:rPr>
          <w:rFonts w:ascii="Times New Roman" w:hAnsi="Times New Roman" w:cs="Times New Roman"/>
        </w:rPr>
        <w:t xml:space="preserve"> Respondent.</w:t>
      </w:r>
    </w:p>
    <w:p w14:paraId="1017DE09" w14:textId="77777777" w:rsidR="004F4192" w:rsidRDefault="000D2EF5" w:rsidP="004F4192">
      <w:pPr>
        <w:pStyle w:val="ListParagraph"/>
        <w:numPr>
          <w:ilvl w:val="0"/>
          <w:numId w:val="9"/>
        </w:numPr>
        <w:spacing w:after="0" w:line="240" w:lineRule="auto"/>
        <w:jc w:val="both"/>
        <w:rPr>
          <w:rFonts w:ascii="Times New Roman" w:hAnsi="Times New Roman" w:cs="Times New Roman"/>
        </w:rPr>
      </w:pPr>
      <w:r>
        <w:rPr>
          <w:rFonts w:ascii="Times New Roman" w:hAnsi="Times New Roman" w:cs="Times New Roman"/>
        </w:rPr>
        <w:t>1</w:t>
      </w:r>
      <w:r w:rsidRPr="000D2EF5">
        <w:rPr>
          <w:rFonts w:ascii="Times New Roman" w:hAnsi="Times New Roman" w:cs="Times New Roman"/>
          <w:vertAlign w:val="superscript"/>
        </w:rPr>
        <w:t>st</w:t>
      </w:r>
      <w:r>
        <w:rPr>
          <w:rFonts w:ascii="Times New Roman" w:hAnsi="Times New Roman" w:cs="Times New Roman"/>
        </w:rPr>
        <w:t xml:space="preserve"> Respondent to pay costs of suit.”</w:t>
      </w:r>
    </w:p>
    <w:p w14:paraId="7EADC8EC" w14:textId="77777777" w:rsidR="000D2EF5" w:rsidRDefault="000D2EF5" w:rsidP="000D2EF5">
      <w:pPr>
        <w:pStyle w:val="ListParagraph"/>
        <w:spacing w:after="0" w:line="240" w:lineRule="auto"/>
        <w:ind w:left="1440"/>
        <w:jc w:val="both"/>
        <w:rPr>
          <w:rFonts w:ascii="Times New Roman" w:hAnsi="Times New Roman" w:cs="Times New Roman"/>
        </w:rPr>
      </w:pPr>
    </w:p>
    <w:p w14:paraId="6C01F4C7" w14:textId="51B16D56" w:rsidR="000D2EF5" w:rsidRDefault="000D2EF5" w:rsidP="00CA10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Background to the </w:t>
      </w:r>
      <w:r w:rsidR="007826FD">
        <w:rPr>
          <w:rFonts w:ascii="Times New Roman" w:hAnsi="Times New Roman" w:cs="Times New Roman"/>
          <w:b/>
          <w:sz w:val="24"/>
          <w:szCs w:val="24"/>
        </w:rPr>
        <w:t>A</w:t>
      </w:r>
      <w:r>
        <w:rPr>
          <w:rFonts w:ascii="Times New Roman" w:hAnsi="Times New Roman" w:cs="Times New Roman"/>
          <w:b/>
          <w:sz w:val="24"/>
          <w:szCs w:val="24"/>
        </w:rPr>
        <w:t xml:space="preserve">pplicant’s </w:t>
      </w:r>
      <w:r w:rsidR="007826FD">
        <w:rPr>
          <w:rFonts w:ascii="Times New Roman" w:hAnsi="Times New Roman" w:cs="Times New Roman"/>
          <w:b/>
          <w:sz w:val="24"/>
          <w:szCs w:val="24"/>
        </w:rPr>
        <w:t>C</w:t>
      </w:r>
      <w:r>
        <w:rPr>
          <w:rFonts w:ascii="Times New Roman" w:hAnsi="Times New Roman" w:cs="Times New Roman"/>
          <w:b/>
          <w:sz w:val="24"/>
          <w:szCs w:val="24"/>
        </w:rPr>
        <w:t xml:space="preserve">ase </w:t>
      </w:r>
    </w:p>
    <w:p w14:paraId="221857A1" w14:textId="770611EB" w:rsidR="000D2EF5" w:rsidRDefault="000D2EF5" w:rsidP="00CA10D0">
      <w:pPr>
        <w:spacing w:after="0" w:line="360" w:lineRule="auto"/>
        <w:jc w:val="both"/>
        <w:rPr>
          <w:rFonts w:ascii="Times New Roman" w:hAnsi="Times New Roman" w:cs="Times New Roman"/>
          <w:sz w:val="24"/>
          <w:szCs w:val="24"/>
        </w:rPr>
      </w:pPr>
      <w:r w:rsidRPr="000D2EF5">
        <w:rPr>
          <w:rFonts w:ascii="Times New Roman" w:hAnsi="Times New Roman" w:cs="Times New Roman"/>
          <w:sz w:val="24"/>
          <w:szCs w:val="24"/>
        </w:rPr>
        <w:tab/>
        <w:t xml:space="preserve">The applicant and </w:t>
      </w:r>
      <w:r>
        <w:rPr>
          <w:rFonts w:ascii="Times New Roman" w:hAnsi="Times New Roman" w:cs="Times New Roman"/>
          <w:sz w:val="24"/>
          <w:szCs w:val="24"/>
        </w:rPr>
        <w:t>one Phillip Chigumira, who is now deceased, were business partners with equal shareholding of 50% each in an entity called Maurizim Investments (Pvt) Ltd (hereinafter referred to as Maurizim or the company). The</w:t>
      </w:r>
      <w:r w:rsidR="00B24D2D">
        <w:rPr>
          <w:rFonts w:ascii="Times New Roman" w:hAnsi="Times New Roman" w:cs="Times New Roman"/>
          <w:sz w:val="24"/>
          <w:szCs w:val="24"/>
        </w:rPr>
        <w:t>y</w:t>
      </w:r>
      <w:r>
        <w:rPr>
          <w:rFonts w:ascii="Times New Roman" w:hAnsi="Times New Roman" w:cs="Times New Roman"/>
          <w:sz w:val="24"/>
          <w:szCs w:val="24"/>
        </w:rPr>
        <w:t xml:space="preserve"> acquired an immovable property called Stand 10245 measuring 2383 square metres (the property). The property was registered in the name of the company. Following the demise of the late Phillip Chigumira in 2011, his estate was registered with the second respondent under DR 1265/11. The first respondent was appointed the Executor Dative. </w:t>
      </w:r>
    </w:p>
    <w:p w14:paraId="1AE66D2B" w14:textId="5F295E7E" w:rsidR="00525616" w:rsidRDefault="000D2EF5" w:rsidP="00CA10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first respondent has apparently taken long to wind up the estate prompting the applicant to engage him </w:t>
      </w:r>
      <w:r w:rsidR="00B24D2D">
        <w:rPr>
          <w:rFonts w:ascii="Times New Roman" w:hAnsi="Times New Roman" w:cs="Times New Roman"/>
          <w:sz w:val="24"/>
          <w:szCs w:val="24"/>
        </w:rPr>
        <w:t xml:space="preserve">on several occasions </w:t>
      </w:r>
      <w:r>
        <w:rPr>
          <w:rFonts w:ascii="Times New Roman" w:hAnsi="Times New Roman" w:cs="Times New Roman"/>
          <w:sz w:val="24"/>
          <w:szCs w:val="24"/>
        </w:rPr>
        <w:t>to expedite the process</w:t>
      </w:r>
      <w:r w:rsidR="001F5E52">
        <w:rPr>
          <w:rFonts w:ascii="Times New Roman" w:hAnsi="Times New Roman" w:cs="Times New Roman"/>
          <w:sz w:val="24"/>
          <w:szCs w:val="24"/>
        </w:rPr>
        <w:t>, as an interested party</w:t>
      </w:r>
      <w:r w:rsidR="00B24D2D">
        <w:rPr>
          <w:rFonts w:ascii="Times New Roman" w:hAnsi="Times New Roman" w:cs="Times New Roman"/>
          <w:sz w:val="24"/>
          <w:szCs w:val="24"/>
        </w:rPr>
        <w:t>.</w:t>
      </w:r>
      <w:r>
        <w:rPr>
          <w:rFonts w:ascii="Times New Roman" w:hAnsi="Times New Roman" w:cs="Times New Roman"/>
          <w:sz w:val="24"/>
          <w:szCs w:val="24"/>
        </w:rPr>
        <w:t xml:space="preserve"> </w:t>
      </w:r>
      <w:r w:rsidR="00F76EF1">
        <w:rPr>
          <w:rFonts w:ascii="Times New Roman" w:hAnsi="Times New Roman" w:cs="Times New Roman"/>
          <w:sz w:val="24"/>
          <w:szCs w:val="24"/>
        </w:rPr>
        <w:t xml:space="preserve">The </w:t>
      </w:r>
      <w:r w:rsidR="00F76EF1">
        <w:rPr>
          <w:rFonts w:ascii="Times New Roman" w:hAnsi="Times New Roman" w:cs="Times New Roman"/>
          <w:sz w:val="24"/>
          <w:szCs w:val="24"/>
        </w:rPr>
        <w:lastRenderedPageBreak/>
        <w:t xml:space="preserve">first respondent was not cooperating. The applicant engaged an Estate Administrator </w:t>
      </w:r>
      <w:r w:rsidR="00B24D2D">
        <w:rPr>
          <w:rFonts w:ascii="Times New Roman" w:hAnsi="Times New Roman" w:cs="Times New Roman"/>
          <w:sz w:val="24"/>
          <w:szCs w:val="24"/>
        </w:rPr>
        <w:t xml:space="preserve">called Zimbabwe Inheritance Services </w:t>
      </w:r>
      <w:r w:rsidR="00F76EF1">
        <w:rPr>
          <w:rFonts w:ascii="Times New Roman" w:hAnsi="Times New Roman" w:cs="Times New Roman"/>
          <w:sz w:val="24"/>
          <w:szCs w:val="24"/>
        </w:rPr>
        <w:t>through a power of attorney to represent him in the matter. On 2</w:t>
      </w:r>
      <w:r w:rsidR="0012316C">
        <w:rPr>
          <w:rFonts w:ascii="Times New Roman" w:hAnsi="Times New Roman" w:cs="Times New Roman"/>
          <w:sz w:val="24"/>
          <w:szCs w:val="24"/>
        </w:rPr>
        <w:t>8</w:t>
      </w:r>
      <w:r w:rsidR="00F76EF1">
        <w:rPr>
          <w:rFonts w:ascii="Times New Roman" w:hAnsi="Times New Roman" w:cs="Times New Roman"/>
          <w:sz w:val="24"/>
          <w:szCs w:val="24"/>
        </w:rPr>
        <w:t xml:space="preserve"> February 2012, the applicant authorized the sale of his share </w:t>
      </w:r>
      <w:r w:rsidR="0012316C">
        <w:rPr>
          <w:rFonts w:ascii="Times New Roman" w:hAnsi="Times New Roman" w:cs="Times New Roman"/>
          <w:sz w:val="24"/>
          <w:szCs w:val="24"/>
        </w:rPr>
        <w:t xml:space="preserve">through a letter </w:t>
      </w:r>
      <w:r w:rsidR="003E52BD">
        <w:rPr>
          <w:rFonts w:ascii="Times New Roman" w:hAnsi="Times New Roman" w:cs="Times New Roman"/>
          <w:sz w:val="24"/>
          <w:szCs w:val="24"/>
        </w:rPr>
        <w:t xml:space="preserve">of 28 February 2012 </w:t>
      </w:r>
      <w:r w:rsidR="0012316C">
        <w:rPr>
          <w:rFonts w:ascii="Times New Roman" w:hAnsi="Times New Roman" w:cs="Times New Roman"/>
          <w:sz w:val="24"/>
          <w:szCs w:val="24"/>
        </w:rPr>
        <w:t xml:space="preserve">by the Estate Administrator to the first respondent. </w:t>
      </w:r>
      <w:r w:rsidR="003E52BD">
        <w:rPr>
          <w:rFonts w:ascii="Times New Roman" w:hAnsi="Times New Roman" w:cs="Times New Roman"/>
          <w:sz w:val="24"/>
          <w:szCs w:val="24"/>
        </w:rPr>
        <w:t xml:space="preserve">On 13 March 2012, the applicant wrote to the first respondent, through the Estate Administrator, proposing a dissolution of the partnership or alternatively that the estate buys him out of the business. </w:t>
      </w:r>
      <w:r w:rsidR="00525616">
        <w:rPr>
          <w:rFonts w:ascii="Times New Roman" w:hAnsi="Times New Roman" w:cs="Times New Roman"/>
          <w:sz w:val="24"/>
          <w:szCs w:val="24"/>
        </w:rPr>
        <w:t xml:space="preserve">The first respondent responded advising that the beneficiaries were not keen on selling the immovable property. They were only amenable to the disposal of the mill. </w:t>
      </w:r>
    </w:p>
    <w:p w14:paraId="14F6CE82" w14:textId="68663E9D" w:rsidR="00283F31" w:rsidRDefault="00525616" w:rsidP="00CA10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2015, the applicant </w:t>
      </w:r>
      <w:r w:rsidR="00283F31">
        <w:rPr>
          <w:rFonts w:ascii="Times New Roman" w:hAnsi="Times New Roman" w:cs="Times New Roman"/>
          <w:sz w:val="24"/>
          <w:szCs w:val="24"/>
        </w:rPr>
        <w:t xml:space="preserve">suggested to the </w:t>
      </w:r>
      <w:r>
        <w:rPr>
          <w:rFonts w:ascii="Times New Roman" w:hAnsi="Times New Roman" w:cs="Times New Roman"/>
          <w:sz w:val="24"/>
          <w:szCs w:val="24"/>
        </w:rPr>
        <w:t>first responde</w:t>
      </w:r>
      <w:r w:rsidR="00283F31">
        <w:rPr>
          <w:rFonts w:ascii="Times New Roman" w:hAnsi="Times New Roman" w:cs="Times New Roman"/>
          <w:sz w:val="24"/>
          <w:szCs w:val="24"/>
        </w:rPr>
        <w:t>nt that since the</w:t>
      </w:r>
      <w:r w:rsidR="003E52BD">
        <w:rPr>
          <w:rFonts w:ascii="Times New Roman" w:hAnsi="Times New Roman" w:cs="Times New Roman"/>
          <w:sz w:val="24"/>
          <w:szCs w:val="24"/>
        </w:rPr>
        <w:t xml:space="preserve"> </w:t>
      </w:r>
      <w:r w:rsidR="00283F31">
        <w:rPr>
          <w:rFonts w:ascii="Times New Roman" w:hAnsi="Times New Roman" w:cs="Times New Roman"/>
          <w:sz w:val="24"/>
          <w:szCs w:val="24"/>
        </w:rPr>
        <w:t>property was incurring expenses, it was only proper to liquidate it and pay off creditors who</w:t>
      </w:r>
      <w:r w:rsidR="00B24D2D">
        <w:rPr>
          <w:rFonts w:ascii="Times New Roman" w:hAnsi="Times New Roman" w:cs="Times New Roman"/>
          <w:sz w:val="24"/>
          <w:szCs w:val="24"/>
        </w:rPr>
        <w:t>m</w:t>
      </w:r>
      <w:r w:rsidR="00283F31">
        <w:rPr>
          <w:rFonts w:ascii="Times New Roman" w:hAnsi="Times New Roman" w:cs="Times New Roman"/>
          <w:sz w:val="24"/>
          <w:szCs w:val="24"/>
        </w:rPr>
        <w:t xml:space="preserve"> the applicant had singlehandedly </w:t>
      </w:r>
      <w:r w:rsidR="00B24D2D">
        <w:rPr>
          <w:rFonts w:ascii="Times New Roman" w:hAnsi="Times New Roman" w:cs="Times New Roman"/>
          <w:sz w:val="24"/>
          <w:szCs w:val="24"/>
        </w:rPr>
        <w:t>taken care of over the years.</w:t>
      </w:r>
      <w:r w:rsidR="00283F31">
        <w:rPr>
          <w:rFonts w:ascii="Times New Roman" w:hAnsi="Times New Roman" w:cs="Times New Roman"/>
          <w:sz w:val="24"/>
          <w:szCs w:val="24"/>
        </w:rPr>
        <w:t xml:space="preserve"> The first respondent acceded to the request. On 9 March 2015, the </w:t>
      </w:r>
      <w:r w:rsidR="00B24D2D">
        <w:rPr>
          <w:rFonts w:ascii="Times New Roman" w:hAnsi="Times New Roman" w:cs="Times New Roman"/>
          <w:sz w:val="24"/>
          <w:szCs w:val="24"/>
        </w:rPr>
        <w:t xml:space="preserve">applicant </w:t>
      </w:r>
      <w:r w:rsidR="00283F31">
        <w:rPr>
          <w:rFonts w:ascii="Times New Roman" w:hAnsi="Times New Roman" w:cs="Times New Roman"/>
          <w:sz w:val="24"/>
          <w:szCs w:val="24"/>
        </w:rPr>
        <w:t>placed his offer to purchase the property. The letter reads as follows:</w:t>
      </w:r>
    </w:p>
    <w:p w14:paraId="5B5D1A6E" w14:textId="1D39E942" w:rsidR="00283F31" w:rsidRPr="007826FD" w:rsidRDefault="00283F31" w:rsidP="00A06542">
      <w:pPr>
        <w:spacing w:after="0" w:line="240" w:lineRule="auto"/>
        <w:jc w:val="both"/>
        <w:rPr>
          <w:rFonts w:ascii="Times New Roman" w:hAnsi="Times New Roman" w:cs="Times New Roman"/>
          <w:b/>
          <w:u w:val="single"/>
        </w:rPr>
      </w:pPr>
      <w:r>
        <w:rPr>
          <w:rFonts w:ascii="Times New Roman" w:hAnsi="Times New Roman" w:cs="Times New Roman"/>
          <w:sz w:val="24"/>
          <w:szCs w:val="24"/>
        </w:rPr>
        <w:tab/>
      </w:r>
      <w:r w:rsidRPr="007826FD">
        <w:rPr>
          <w:rFonts w:ascii="Times New Roman" w:hAnsi="Times New Roman" w:cs="Times New Roman"/>
          <w:b/>
          <w:u w:val="single"/>
        </w:rPr>
        <w:t xml:space="preserve">“RE: OFFER TO PURCHASE STAND 10245 GLENVIEW TOWNSHIP, GLENVIEW, </w:t>
      </w:r>
      <w:r w:rsidR="007826FD">
        <w:rPr>
          <w:rFonts w:ascii="Times New Roman" w:hAnsi="Times New Roman" w:cs="Times New Roman"/>
          <w:b/>
        </w:rPr>
        <w:tab/>
      </w:r>
      <w:r w:rsidRPr="007826FD">
        <w:rPr>
          <w:rFonts w:ascii="Times New Roman" w:hAnsi="Times New Roman" w:cs="Times New Roman"/>
          <w:b/>
          <w:u w:val="single"/>
        </w:rPr>
        <w:t xml:space="preserve">HARARE </w:t>
      </w:r>
    </w:p>
    <w:p w14:paraId="1DCBD98F" w14:textId="304B9450" w:rsidR="00283F31" w:rsidRPr="007826FD" w:rsidRDefault="00323441" w:rsidP="00A06542">
      <w:pPr>
        <w:spacing w:after="0" w:line="240" w:lineRule="auto"/>
        <w:jc w:val="both"/>
        <w:rPr>
          <w:rFonts w:ascii="Times New Roman" w:hAnsi="Times New Roman" w:cs="Times New Roman"/>
        </w:rPr>
      </w:pPr>
      <w:r w:rsidRPr="007826FD">
        <w:rPr>
          <w:rFonts w:ascii="Times New Roman" w:hAnsi="Times New Roman" w:cs="Times New Roman"/>
        </w:rPr>
        <w:tab/>
      </w:r>
    </w:p>
    <w:p w14:paraId="1A11A796" w14:textId="77777777" w:rsidR="00323441" w:rsidRPr="007826FD" w:rsidRDefault="00323441" w:rsidP="00323441">
      <w:pPr>
        <w:spacing w:after="0" w:line="240" w:lineRule="auto"/>
        <w:ind w:left="720"/>
        <w:jc w:val="both"/>
        <w:rPr>
          <w:rFonts w:ascii="Times New Roman" w:hAnsi="Times New Roman" w:cs="Times New Roman"/>
        </w:rPr>
      </w:pPr>
      <w:r w:rsidRPr="007826FD">
        <w:rPr>
          <w:rFonts w:ascii="Times New Roman" w:hAnsi="Times New Roman" w:cs="Times New Roman"/>
        </w:rPr>
        <w:t>I refer to our precious discussion in which we resolved that the above property should be sold to settle the bills that Maurizim owes various creditors.</w:t>
      </w:r>
    </w:p>
    <w:p w14:paraId="094828A2" w14:textId="3256DE84" w:rsidR="00323441" w:rsidRPr="007826FD" w:rsidRDefault="00323441" w:rsidP="00323441">
      <w:pPr>
        <w:spacing w:after="0" w:line="240" w:lineRule="auto"/>
        <w:ind w:left="720"/>
        <w:jc w:val="both"/>
        <w:rPr>
          <w:rFonts w:ascii="Times New Roman" w:hAnsi="Times New Roman" w:cs="Times New Roman"/>
        </w:rPr>
      </w:pPr>
      <w:r w:rsidRPr="007826FD">
        <w:rPr>
          <w:rFonts w:ascii="Times New Roman" w:hAnsi="Times New Roman" w:cs="Times New Roman"/>
        </w:rPr>
        <w:t xml:space="preserve"> </w:t>
      </w:r>
    </w:p>
    <w:p w14:paraId="3066167F" w14:textId="593F6888" w:rsidR="00A06542" w:rsidRPr="007826FD" w:rsidRDefault="00283F31" w:rsidP="00A06542">
      <w:pPr>
        <w:spacing w:after="0" w:line="240" w:lineRule="auto"/>
        <w:ind w:left="720"/>
        <w:jc w:val="both"/>
        <w:rPr>
          <w:rFonts w:ascii="Times New Roman" w:hAnsi="Times New Roman" w:cs="Times New Roman"/>
        </w:rPr>
      </w:pPr>
      <w:r w:rsidRPr="007826FD">
        <w:rPr>
          <w:rFonts w:ascii="Times New Roman" w:hAnsi="Times New Roman" w:cs="Times New Roman"/>
        </w:rPr>
        <w:t>I hereby offer to purchase the property and my firm offer is sixty five thousand dollars (65 000) for the whole property.</w:t>
      </w:r>
      <w:r w:rsidR="00A06542" w:rsidRPr="007826FD">
        <w:rPr>
          <w:rFonts w:ascii="Times New Roman" w:hAnsi="Times New Roman" w:cs="Times New Roman"/>
        </w:rPr>
        <w:t xml:space="preserve"> Technically, this means I would pay thirty two thousand five hundred dollars ($32 500</w:t>
      </w:r>
      <w:r w:rsidR="007826FD">
        <w:rPr>
          <w:rFonts w:ascii="Times New Roman" w:hAnsi="Times New Roman" w:cs="Times New Roman"/>
        </w:rPr>
        <w:t>.</w:t>
      </w:r>
      <w:r w:rsidR="00A06542" w:rsidRPr="007826FD">
        <w:rPr>
          <w:rFonts w:ascii="Times New Roman" w:hAnsi="Times New Roman" w:cs="Times New Roman"/>
        </w:rPr>
        <w:t>00) for the half share which is owned by the estate late Phillip Chigumira. I am therefore willing to buy out the estate from the property.</w:t>
      </w:r>
    </w:p>
    <w:p w14:paraId="5779CDEB" w14:textId="77777777" w:rsidR="00A06542" w:rsidRPr="007826FD" w:rsidRDefault="00A06542" w:rsidP="00A06542">
      <w:pPr>
        <w:spacing w:after="0" w:line="240" w:lineRule="auto"/>
        <w:ind w:left="720"/>
        <w:jc w:val="both"/>
        <w:rPr>
          <w:rFonts w:ascii="Times New Roman" w:hAnsi="Times New Roman" w:cs="Times New Roman"/>
        </w:rPr>
      </w:pPr>
    </w:p>
    <w:p w14:paraId="76DD8AA8" w14:textId="77777777" w:rsidR="00283F31" w:rsidRPr="007826FD" w:rsidRDefault="00A06542" w:rsidP="00A06542">
      <w:pPr>
        <w:spacing w:after="0" w:line="240" w:lineRule="auto"/>
        <w:ind w:left="720"/>
        <w:jc w:val="both"/>
        <w:rPr>
          <w:rFonts w:ascii="Times New Roman" w:hAnsi="Times New Roman" w:cs="Times New Roman"/>
        </w:rPr>
      </w:pPr>
      <w:r w:rsidRPr="007826FD">
        <w:rPr>
          <w:rFonts w:ascii="Times New Roman" w:hAnsi="Times New Roman" w:cs="Times New Roman"/>
        </w:rPr>
        <w:t>Kindly advise me of your position regarding my offer so that I can arrange to proceed with settlement of the same.”</w:t>
      </w:r>
    </w:p>
    <w:p w14:paraId="2C1D4A84" w14:textId="77777777" w:rsidR="00A06542" w:rsidRPr="007826FD" w:rsidRDefault="00A06542" w:rsidP="00A06542">
      <w:pPr>
        <w:spacing w:after="0" w:line="240" w:lineRule="auto"/>
        <w:ind w:left="720"/>
        <w:jc w:val="both"/>
        <w:rPr>
          <w:rFonts w:ascii="Times New Roman" w:hAnsi="Times New Roman" w:cs="Times New Roman"/>
        </w:rPr>
      </w:pPr>
    </w:p>
    <w:p w14:paraId="7AC06A9D" w14:textId="0E2BE077" w:rsidR="00283F31" w:rsidRDefault="00B24D2D" w:rsidP="00A065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did not receive a response to </w:t>
      </w:r>
      <w:r w:rsidR="001F5E52">
        <w:rPr>
          <w:rFonts w:ascii="Times New Roman" w:hAnsi="Times New Roman" w:cs="Times New Roman"/>
          <w:sz w:val="24"/>
          <w:szCs w:val="24"/>
        </w:rPr>
        <w:t>the</w:t>
      </w:r>
      <w:r>
        <w:rPr>
          <w:rFonts w:ascii="Times New Roman" w:hAnsi="Times New Roman" w:cs="Times New Roman"/>
          <w:sz w:val="24"/>
          <w:szCs w:val="24"/>
        </w:rPr>
        <w:t xml:space="preserve"> offer. </w:t>
      </w:r>
      <w:r w:rsidR="00283F31">
        <w:rPr>
          <w:rFonts w:ascii="Times New Roman" w:hAnsi="Times New Roman" w:cs="Times New Roman"/>
          <w:sz w:val="24"/>
          <w:szCs w:val="24"/>
        </w:rPr>
        <w:t xml:space="preserve">He made a follow </w:t>
      </w:r>
      <w:r w:rsidR="001F5E52">
        <w:rPr>
          <w:rFonts w:ascii="Times New Roman" w:hAnsi="Times New Roman" w:cs="Times New Roman"/>
          <w:sz w:val="24"/>
          <w:szCs w:val="24"/>
        </w:rPr>
        <w:t xml:space="preserve">up on the offer in October 2015. He </w:t>
      </w:r>
      <w:r w:rsidR="00283F31">
        <w:rPr>
          <w:rFonts w:ascii="Times New Roman" w:hAnsi="Times New Roman" w:cs="Times New Roman"/>
          <w:sz w:val="24"/>
          <w:szCs w:val="24"/>
        </w:rPr>
        <w:t>was advised to resubmit his offer as the earlier offer could not be located. The applicant resubmitted his offer on 19 October 2015, and he claims that it was accepted on 20 October 2015. The acceptance letter invited the applicant to make the necessary payment.</w:t>
      </w:r>
      <w:r w:rsidR="00FA277E">
        <w:rPr>
          <w:rFonts w:ascii="Times New Roman" w:hAnsi="Times New Roman" w:cs="Times New Roman"/>
          <w:sz w:val="24"/>
          <w:szCs w:val="24"/>
        </w:rPr>
        <w:t xml:space="preserve"> It reads in part as follows:</w:t>
      </w:r>
    </w:p>
    <w:p w14:paraId="42C6FFDF" w14:textId="2EC7FA45" w:rsidR="00FA277E" w:rsidRPr="007826FD" w:rsidRDefault="00FA277E" w:rsidP="00A06542">
      <w:pPr>
        <w:spacing w:after="0" w:line="360" w:lineRule="auto"/>
        <w:ind w:firstLine="720"/>
        <w:jc w:val="both"/>
        <w:rPr>
          <w:rFonts w:ascii="Times New Roman" w:hAnsi="Times New Roman" w:cs="Times New Roman"/>
        </w:rPr>
      </w:pPr>
      <w:r w:rsidRPr="007826FD">
        <w:rPr>
          <w:rFonts w:ascii="Times New Roman" w:hAnsi="Times New Roman" w:cs="Times New Roman"/>
        </w:rPr>
        <w:t>“</w:t>
      </w:r>
      <w:r w:rsidR="00812AEB" w:rsidRPr="007826FD">
        <w:rPr>
          <w:rFonts w:ascii="Times New Roman" w:hAnsi="Times New Roman" w:cs="Times New Roman"/>
          <w:b/>
          <w:u w:val="single"/>
        </w:rPr>
        <w:t xml:space="preserve">RE: OFFER TO PURCHASE STAND 10245 GLENVIEW TOWNSHIP, GLENVIEW, </w:t>
      </w:r>
      <w:r w:rsidR="007826FD">
        <w:rPr>
          <w:rFonts w:ascii="Times New Roman" w:hAnsi="Times New Roman" w:cs="Times New Roman"/>
          <w:b/>
        </w:rPr>
        <w:tab/>
      </w:r>
      <w:r w:rsidR="007826FD">
        <w:rPr>
          <w:rFonts w:ascii="Times New Roman" w:hAnsi="Times New Roman" w:cs="Times New Roman"/>
          <w:b/>
        </w:rPr>
        <w:tab/>
      </w:r>
      <w:r w:rsidR="00812AEB" w:rsidRPr="007826FD">
        <w:rPr>
          <w:rFonts w:ascii="Times New Roman" w:hAnsi="Times New Roman" w:cs="Times New Roman"/>
          <w:b/>
          <w:u w:val="single"/>
        </w:rPr>
        <w:t>HARARE</w:t>
      </w:r>
    </w:p>
    <w:p w14:paraId="6752EB25" w14:textId="77777777" w:rsidR="00283F31" w:rsidRPr="007826FD" w:rsidRDefault="00AF7BEF" w:rsidP="00AF7BEF">
      <w:pPr>
        <w:spacing w:after="0" w:line="240" w:lineRule="auto"/>
        <w:ind w:left="720"/>
        <w:jc w:val="both"/>
        <w:rPr>
          <w:rFonts w:ascii="Times New Roman" w:hAnsi="Times New Roman" w:cs="Times New Roman"/>
        </w:rPr>
      </w:pPr>
      <w:r w:rsidRPr="007826FD">
        <w:rPr>
          <w:rFonts w:ascii="Times New Roman" w:hAnsi="Times New Roman" w:cs="Times New Roman"/>
        </w:rPr>
        <w:t>Reference is made to the above and to your letter to us mistakenly dated 20</w:t>
      </w:r>
      <w:r w:rsidRPr="007826FD">
        <w:rPr>
          <w:rFonts w:ascii="Times New Roman" w:hAnsi="Times New Roman" w:cs="Times New Roman"/>
          <w:vertAlign w:val="superscript"/>
        </w:rPr>
        <w:t>th</w:t>
      </w:r>
      <w:r w:rsidRPr="007826FD">
        <w:rPr>
          <w:rFonts w:ascii="Times New Roman" w:hAnsi="Times New Roman" w:cs="Times New Roman"/>
        </w:rPr>
        <w:t xml:space="preserve"> October 2015 as it was received by us on the 19</w:t>
      </w:r>
      <w:r w:rsidRPr="007826FD">
        <w:rPr>
          <w:rFonts w:ascii="Times New Roman" w:hAnsi="Times New Roman" w:cs="Times New Roman"/>
          <w:vertAlign w:val="superscript"/>
        </w:rPr>
        <w:t>th</w:t>
      </w:r>
      <w:r w:rsidRPr="007826FD">
        <w:rPr>
          <w:rFonts w:ascii="Times New Roman" w:hAnsi="Times New Roman" w:cs="Times New Roman"/>
        </w:rPr>
        <w:t xml:space="preserve"> October 2015.</w:t>
      </w:r>
    </w:p>
    <w:p w14:paraId="7313E22D" w14:textId="77777777" w:rsidR="00AF7BEF" w:rsidRPr="007826FD" w:rsidRDefault="00AF7BEF" w:rsidP="00AF7BEF">
      <w:pPr>
        <w:spacing w:after="0" w:line="240" w:lineRule="auto"/>
        <w:ind w:left="720"/>
        <w:jc w:val="both"/>
        <w:rPr>
          <w:rFonts w:ascii="Times New Roman" w:hAnsi="Times New Roman" w:cs="Times New Roman"/>
        </w:rPr>
      </w:pPr>
    </w:p>
    <w:p w14:paraId="5CD8BC3A" w14:textId="77777777" w:rsidR="00AF7BEF" w:rsidRPr="007826FD" w:rsidRDefault="00AF7BEF" w:rsidP="00AF7BEF">
      <w:pPr>
        <w:spacing w:after="0" w:line="240" w:lineRule="auto"/>
        <w:ind w:left="720"/>
        <w:jc w:val="both"/>
        <w:rPr>
          <w:rFonts w:ascii="Times New Roman" w:hAnsi="Times New Roman" w:cs="Times New Roman"/>
        </w:rPr>
      </w:pPr>
      <w:r w:rsidRPr="007826FD">
        <w:rPr>
          <w:rFonts w:ascii="Times New Roman" w:hAnsi="Times New Roman" w:cs="Times New Roman"/>
        </w:rPr>
        <w:t>We accept the offer of US$32 500 (Thirty Two Thousand Five hundred United States Dollars) to buy out the half share owned by Estate Late Phillip Chigumira DR 1265/11.</w:t>
      </w:r>
    </w:p>
    <w:p w14:paraId="01B9DBDC" w14:textId="77777777" w:rsidR="00AF7BEF" w:rsidRPr="007826FD" w:rsidRDefault="00AF7BEF" w:rsidP="00AF7BEF">
      <w:pPr>
        <w:spacing w:after="0" w:line="240" w:lineRule="auto"/>
        <w:ind w:left="720"/>
        <w:jc w:val="both"/>
        <w:rPr>
          <w:rFonts w:ascii="Times New Roman" w:hAnsi="Times New Roman" w:cs="Times New Roman"/>
        </w:rPr>
      </w:pPr>
    </w:p>
    <w:p w14:paraId="523431C8" w14:textId="77777777" w:rsidR="00AF7BEF" w:rsidRPr="007826FD" w:rsidRDefault="00AF7BEF" w:rsidP="00AF7BEF">
      <w:pPr>
        <w:spacing w:after="0" w:line="240" w:lineRule="auto"/>
        <w:ind w:left="720"/>
        <w:jc w:val="both"/>
        <w:rPr>
          <w:rFonts w:ascii="Times New Roman" w:hAnsi="Times New Roman" w:cs="Times New Roman"/>
        </w:rPr>
      </w:pPr>
      <w:r w:rsidRPr="007826FD">
        <w:rPr>
          <w:rFonts w:ascii="Times New Roman" w:hAnsi="Times New Roman" w:cs="Times New Roman"/>
        </w:rPr>
        <w:t>May you proceed with payment of the said amount into our trust account. Our bank account details are as follows:-…”</w:t>
      </w:r>
    </w:p>
    <w:p w14:paraId="37669B9A" w14:textId="77777777" w:rsidR="00AF7BEF" w:rsidRDefault="00AF7BEF" w:rsidP="00AF7BEF">
      <w:pPr>
        <w:spacing w:after="0" w:line="240" w:lineRule="auto"/>
        <w:jc w:val="both"/>
        <w:rPr>
          <w:rFonts w:ascii="Times New Roman" w:hAnsi="Times New Roman" w:cs="Times New Roman"/>
        </w:rPr>
      </w:pPr>
    </w:p>
    <w:p w14:paraId="766C3A89" w14:textId="4CDDDD83" w:rsidR="00AF7BEF" w:rsidRDefault="00AF7BEF" w:rsidP="00F6726C">
      <w:pPr>
        <w:spacing w:after="0" w:line="360" w:lineRule="auto"/>
        <w:ind w:firstLine="720"/>
        <w:jc w:val="both"/>
        <w:rPr>
          <w:rFonts w:ascii="Times New Roman" w:hAnsi="Times New Roman" w:cs="Times New Roman"/>
          <w:sz w:val="24"/>
          <w:szCs w:val="24"/>
        </w:rPr>
      </w:pPr>
      <w:r w:rsidRPr="0042300D">
        <w:rPr>
          <w:rFonts w:ascii="Times New Roman" w:hAnsi="Times New Roman" w:cs="Times New Roman"/>
          <w:sz w:val="24"/>
          <w:szCs w:val="24"/>
        </w:rPr>
        <w:t>The applicant ma</w:t>
      </w:r>
      <w:r w:rsidR="007826FD">
        <w:rPr>
          <w:rFonts w:ascii="Times New Roman" w:hAnsi="Times New Roman" w:cs="Times New Roman"/>
          <w:sz w:val="24"/>
          <w:szCs w:val="24"/>
        </w:rPr>
        <w:t>de two payments being US$10 000</w:t>
      </w:r>
      <w:r w:rsidRPr="0042300D">
        <w:rPr>
          <w:rFonts w:ascii="Times New Roman" w:hAnsi="Times New Roman" w:cs="Times New Roman"/>
          <w:sz w:val="24"/>
          <w:szCs w:val="24"/>
        </w:rPr>
        <w:t xml:space="preserve"> and US$9 800 by way of bank transfer from Barclays Bank </w:t>
      </w:r>
      <w:r w:rsidR="00FC03DB" w:rsidRPr="0042300D">
        <w:rPr>
          <w:rFonts w:ascii="Times New Roman" w:hAnsi="Times New Roman" w:cs="Times New Roman"/>
          <w:sz w:val="24"/>
          <w:szCs w:val="24"/>
        </w:rPr>
        <w:t>to give a total of US$19</w:t>
      </w:r>
      <w:r w:rsidR="007826FD">
        <w:rPr>
          <w:rFonts w:ascii="Times New Roman" w:hAnsi="Times New Roman" w:cs="Times New Roman"/>
          <w:sz w:val="24"/>
          <w:szCs w:val="24"/>
        </w:rPr>
        <w:t xml:space="preserve"> </w:t>
      </w:r>
      <w:r w:rsidR="00FC03DB" w:rsidRPr="0042300D">
        <w:rPr>
          <w:rFonts w:ascii="Times New Roman" w:hAnsi="Times New Roman" w:cs="Times New Roman"/>
          <w:sz w:val="24"/>
          <w:szCs w:val="24"/>
        </w:rPr>
        <w:t xml:space="preserve">800. </w:t>
      </w:r>
      <w:r w:rsidR="00B24D2D">
        <w:rPr>
          <w:rFonts w:ascii="Times New Roman" w:hAnsi="Times New Roman" w:cs="Times New Roman"/>
          <w:sz w:val="24"/>
          <w:szCs w:val="24"/>
        </w:rPr>
        <w:t xml:space="preserve">The payment was going towards the purchase </w:t>
      </w:r>
      <w:r w:rsidR="001F5E52">
        <w:rPr>
          <w:rFonts w:ascii="Times New Roman" w:hAnsi="Times New Roman" w:cs="Times New Roman"/>
          <w:sz w:val="24"/>
          <w:szCs w:val="24"/>
        </w:rPr>
        <w:t xml:space="preserve">of </w:t>
      </w:r>
      <w:r w:rsidR="00B24D2D">
        <w:rPr>
          <w:rFonts w:ascii="Times New Roman" w:hAnsi="Times New Roman" w:cs="Times New Roman"/>
          <w:sz w:val="24"/>
          <w:szCs w:val="24"/>
        </w:rPr>
        <w:t xml:space="preserve">the property. </w:t>
      </w:r>
    </w:p>
    <w:p w14:paraId="310E8093" w14:textId="7687D2E3" w:rsidR="0042300D" w:rsidRDefault="0042300D" w:rsidP="00F672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states that on 5 February 2019, he received a letter from </w:t>
      </w:r>
      <w:r w:rsidR="001F5E52">
        <w:rPr>
          <w:rFonts w:ascii="Times New Roman" w:hAnsi="Times New Roman" w:cs="Times New Roman"/>
          <w:sz w:val="24"/>
          <w:szCs w:val="24"/>
        </w:rPr>
        <w:t xml:space="preserve">the </w:t>
      </w:r>
      <w:r>
        <w:rPr>
          <w:rFonts w:ascii="Times New Roman" w:hAnsi="Times New Roman" w:cs="Times New Roman"/>
          <w:sz w:val="24"/>
          <w:szCs w:val="24"/>
        </w:rPr>
        <w:t>first respondent advising that the beneficiaries of the Estate Late Phillip Chogumira had been granted consent to sell 50% shareholding in the companies that included Maurizim</w:t>
      </w:r>
      <w:r w:rsidR="00B24D2D">
        <w:rPr>
          <w:rFonts w:ascii="Times New Roman" w:hAnsi="Times New Roman" w:cs="Times New Roman"/>
          <w:sz w:val="24"/>
          <w:szCs w:val="24"/>
        </w:rPr>
        <w:t xml:space="preserve">. Maurizim </w:t>
      </w:r>
      <w:r>
        <w:rPr>
          <w:rFonts w:ascii="Times New Roman" w:hAnsi="Times New Roman" w:cs="Times New Roman"/>
          <w:sz w:val="24"/>
          <w:szCs w:val="24"/>
        </w:rPr>
        <w:t xml:space="preserve">is the same company whose shares the applicant bought and was in the process of paying for. The first respondent gave the applicant the first option to buy the shares. The option was valid for 30 days. </w:t>
      </w:r>
      <w:r w:rsidR="00F267AC">
        <w:rPr>
          <w:rFonts w:ascii="Times New Roman" w:hAnsi="Times New Roman" w:cs="Times New Roman"/>
          <w:sz w:val="24"/>
          <w:szCs w:val="24"/>
        </w:rPr>
        <w:t>The applicant c</w:t>
      </w:r>
      <w:r w:rsidR="009F7436">
        <w:rPr>
          <w:rFonts w:ascii="Times New Roman" w:hAnsi="Times New Roman" w:cs="Times New Roman"/>
          <w:sz w:val="24"/>
          <w:szCs w:val="24"/>
        </w:rPr>
        <w:t xml:space="preserve">ontends </w:t>
      </w:r>
      <w:r w:rsidR="00F267AC">
        <w:rPr>
          <w:rFonts w:ascii="Times New Roman" w:hAnsi="Times New Roman" w:cs="Times New Roman"/>
          <w:sz w:val="24"/>
          <w:szCs w:val="24"/>
        </w:rPr>
        <w:t xml:space="preserve">that the consent to sale issued by the second respondent was granted to the first respondent and not the beneficiaries. </w:t>
      </w:r>
    </w:p>
    <w:p w14:paraId="146742F9" w14:textId="3B84CB25" w:rsidR="00F267AC" w:rsidRDefault="00F267AC" w:rsidP="00F672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12 February 2019, the applicant wrote to the first respondent advising him that he had already purchased the shares in Maurizim Investments through the offer and acceptance of October 2015. The first respondent replied alleging that the applicant had not purchased the shares in Maurizim Investments. The applicant sought to set the record straight through further correspondence with the first respondent. The back and forth </w:t>
      </w:r>
      <w:r w:rsidR="003D1002">
        <w:rPr>
          <w:rFonts w:ascii="Times New Roman" w:hAnsi="Times New Roman" w:cs="Times New Roman"/>
          <w:sz w:val="24"/>
          <w:szCs w:val="24"/>
        </w:rPr>
        <w:t>culminated in a meeting held on 3 May 2021 where the applicant maintained his position. He tendered payment of the balance of the purchase price i</w:t>
      </w:r>
      <w:r w:rsidR="00A565F5">
        <w:rPr>
          <w:rFonts w:ascii="Times New Roman" w:hAnsi="Times New Roman" w:cs="Times New Roman"/>
          <w:sz w:val="24"/>
          <w:szCs w:val="24"/>
        </w:rPr>
        <w:t>n the sum of US$12 000</w:t>
      </w:r>
      <w:r w:rsidR="003D1002">
        <w:rPr>
          <w:rFonts w:ascii="Times New Roman" w:hAnsi="Times New Roman" w:cs="Times New Roman"/>
          <w:sz w:val="24"/>
          <w:szCs w:val="24"/>
        </w:rPr>
        <w:t xml:space="preserve">. The first respondent rejected the payment. </w:t>
      </w:r>
    </w:p>
    <w:p w14:paraId="58810D71" w14:textId="77777777" w:rsidR="003D1002" w:rsidRDefault="003D1002" w:rsidP="00F672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avers that the first respondent was wrong in rejecting his payment of the balance of the purchase price. An offer had been made and accepted. There had been substantial performance. It was on that basis that he approached this court for a </w:t>
      </w:r>
      <w:r w:rsidRPr="003D1002">
        <w:rPr>
          <w:rFonts w:ascii="Times New Roman" w:hAnsi="Times New Roman" w:cs="Times New Roman"/>
          <w:i/>
          <w:sz w:val="24"/>
          <w:szCs w:val="24"/>
        </w:rPr>
        <w:t>declaratur</w:t>
      </w:r>
      <w:r w:rsidRPr="003D1002">
        <w:rPr>
          <w:rFonts w:ascii="Times New Roman" w:hAnsi="Times New Roman" w:cs="Times New Roman"/>
          <w:sz w:val="24"/>
          <w:szCs w:val="24"/>
        </w:rPr>
        <w:t xml:space="preserve"> </w:t>
      </w:r>
    </w:p>
    <w:p w14:paraId="69ED90B9" w14:textId="77777777" w:rsidR="003D1002" w:rsidRPr="00AB5509" w:rsidRDefault="00621FE7" w:rsidP="00621FE7">
      <w:pPr>
        <w:spacing w:after="0" w:line="360" w:lineRule="auto"/>
        <w:jc w:val="both"/>
        <w:rPr>
          <w:rFonts w:ascii="Times New Roman" w:hAnsi="Times New Roman" w:cs="Times New Roman"/>
          <w:b/>
          <w:sz w:val="24"/>
          <w:szCs w:val="24"/>
        </w:rPr>
      </w:pPr>
      <w:r w:rsidRPr="00AB5509">
        <w:rPr>
          <w:rFonts w:ascii="Times New Roman" w:hAnsi="Times New Roman" w:cs="Times New Roman"/>
          <w:b/>
          <w:sz w:val="24"/>
          <w:szCs w:val="24"/>
        </w:rPr>
        <w:t xml:space="preserve">The First Respondent’s Case </w:t>
      </w:r>
      <w:r w:rsidR="003D1002" w:rsidRPr="00AB5509">
        <w:rPr>
          <w:rFonts w:ascii="Times New Roman" w:hAnsi="Times New Roman" w:cs="Times New Roman"/>
          <w:b/>
          <w:sz w:val="24"/>
          <w:szCs w:val="24"/>
        </w:rPr>
        <w:t xml:space="preserve"> </w:t>
      </w:r>
    </w:p>
    <w:p w14:paraId="59D5FFE4" w14:textId="77777777" w:rsidR="0042300D" w:rsidRDefault="00AB5509" w:rsidP="00F6726C">
      <w:pPr>
        <w:spacing w:after="0" w:line="360" w:lineRule="auto"/>
        <w:ind w:firstLine="720"/>
        <w:jc w:val="both"/>
        <w:rPr>
          <w:rFonts w:ascii="Times New Roman" w:hAnsi="Times New Roman" w:cs="Times New Roman"/>
          <w:sz w:val="24"/>
          <w:szCs w:val="24"/>
        </w:rPr>
      </w:pPr>
      <w:r w:rsidRPr="00AB5509">
        <w:rPr>
          <w:rFonts w:ascii="Times New Roman" w:hAnsi="Times New Roman" w:cs="Times New Roman"/>
          <w:sz w:val="24"/>
          <w:szCs w:val="24"/>
        </w:rPr>
        <w:t xml:space="preserve">The first respondent urged the court not to exercise its discretion to award the </w:t>
      </w:r>
      <w:r w:rsidRPr="00AB5509">
        <w:rPr>
          <w:rFonts w:ascii="Times New Roman" w:hAnsi="Times New Roman" w:cs="Times New Roman"/>
          <w:i/>
          <w:sz w:val="24"/>
          <w:szCs w:val="24"/>
        </w:rPr>
        <w:t>declaratur</w:t>
      </w:r>
      <w:r w:rsidRPr="00AB5509">
        <w:rPr>
          <w:rFonts w:ascii="Times New Roman" w:hAnsi="Times New Roman" w:cs="Times New Roman"/>
          <w:sz w:val="24"/>
          <w:szCs w:val="24"/>
        </w:rPr>
        <w:t xml:space="preserve">. There was no </w:t>
      </w:r>
      <w:r w:rsidRPr="00AB5509">
        <w:rPr>
          <w:rFonts w:ascii="Times New Roman" w:hAnsi="Times New Roman" w:cs="Times New Roman"/>
          <w:i/>
          <w:sz w:val="24"/>
          <w:szCs w:val="24"/>
        </w:rPr>
        <w:t xml:space="preserve">prima facie </w:t>
      </w:r>
      <w:r w:rsidRPr="00AB5509">
        <w:rPr>
          <w:rFonts w:ascii="Times New Roman" w:hAnsi="Times New Roman" w:cs="Times New Roman"/>
          <w:sz w:val="24"/>
          <w:szCs w:val="24"/>
        </w:rPr>
        <w:t xml:space="preserve">proof of a transaction pertaining to the property. </w:t>
      </w:r>
      <w:r>
        <w:rPr>
          <w:rFonts w:ascii="Times New Roman" w:hAnsi="Times New Roman" w:cs="Times New Roman"/>
          <w:sz w:val="24"/>
          <w:szCs w:val="24"/>
        </w:rPr>
        <w:t xml:space="preserve">There was never a discussion concerning the sale of the property. The proposal to sale the property had been rejected by the first respondent and the beneficiaries. The first respondent pointed to his letter of 13 March 2012 in which he advised the applicant’s agent that the beneficiaries were not keen on selling the property. </w:t>
      </w:r>
    </w:p>
    <w:p w14:paraId="01C6C33F" w14:textId="58693B0C" w:rsidR="008C21C5" w:rsidRDefault="00AB5509" w:rsidP="00F672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respondent further averred that the transaction for the sale of the shares in Maurizim </w:t>
      </w:r>
      <w:r w:rsidR="0028688B">
        <w:rPr>
          <w:rFonts w:ascii="Times New Roman" w:hAnsi="Times New Roman" w:cs="Times New Roman"/>
          <w:sz w:val="24"/>
          <w:szCs w:val="24"/>
        </w:rPr>
        <w:t xml:space="preserve">fell away after the applicant failed to exercise his right of first refusal or sign the agreement for the sale of those shares which was forwarded to him on 5 February 2019. </w:t>
      </w:r>
      <w:r w:rsidR="008C21C5">
        <w:rPr>
          <w:rFonts w:ascii="Times New Roman" w:hAnsi="Times New Roman" w:cs="Times New Roman"/>
          <w:sz w:val="24"/>
          <w:szCs w:val="24"/>
        </w:rPr>
        <w:t>The applicant failed to pay the purchase price for the shares. The agreement was never consummated</w:t>
      </w:r>
      <w:r w:rsidR="009F7436">
        <w:rPr>
          <w:rFonts w:ascii="Times New Roman" w:hAnsi="Times New Roman" w:cs="Times New Roman"/>
          <w:sz w:val="24"/>
          <w:szCs w:val="24"/>
        </w:rPr>
        <w:t xml:space="preserve">. The alleged payment of the purchase </w:t>
      </w:r>
      <w:r w:rsidR="008C21C5">
        <w:rPr>
          <w:rFonts w:ascii="Times New Roman" w:hAnsi="Times New Roman" w:cs="Times New Roman"/>
          <w:sz w:val="24"/>
          <w:szCs w:val="24"/>
        </w:rPr>
        <w:t>price</w:t>
      </w:r>
      <w:r w:rsidR="00FB4672">
        <w:rPr>
          <w:rFonts w:ascii="Times New Roman" w:hAnsi="Times New Roman" w:cs="Times New Roman"/>
          <w:sz w:val="24"/>
          <w:szCs w:val="24"/>
        </w:rPr>
        <w:t xml:space="preserve"> did not give birth to any agreement.</w:t>
      </w:r>
      <w:r w:rsidR="008C21C5">
        <w:rPr>
          <w:rFonts w:ascii="Times New Roman" w:hAnsi="Times New Roman" w:cs="Times New Roman"/>
          <w:sz w:val="24"/>
          <w:szCs w:val="24"/>
        </w:rPr>
        <w:t xml:space="preserve"> No agreement ever came into force in 2015 or 2019. </w:t>
      </w:r>
    </w:p>
    <w:p w14:paraId="413CED34" w14:textId="79A3CC04" w:rsidR="00AB5509" w:rsidRDefault="008C21C5" w:rsidP="00F672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any rate, assuming the applicant's claim that an agreement was consummated in 2015, the claim would be prescribed by operation of law. Further, it was also averred that any arrangement that was made without the second respondent’s consent w</w:t>
      </w:r>
      <w:r w:rsidR="00FB4672">
        <w:rPr>
          <w:rFonts w:ascii="Times New Roman" w:hAnsi="Times New Roman" w:cs="Times New Roman"/>
          <w:sz w:val="24"/>
          <w:szCs w:val="24"/>
        </w:rPr>
        <w:t>as</w:t>
      </w:r>
      <w:r>
        <w:rPr>
          <w:rFonts w:ascii="Times New Roman" w:hAnsi="Times New Roman" w:cs="Times New Roman"/>
          <w:sz w:val="24"/>
          <w:szCs w:val="24"/>
        </w:rPr>
        <w:t xml:space="preserve"> </w:t>
      </w:r>
      <w:r w:rsidRPr="008C21C5">
        <w:rPr>
          <w:rFonts w:ascii="Times New Roman" w:hAnsi="Times New Roman" w:cs="Times New Roman"/>
          <w:i/>
          <w:sz w:val="24"/>
          <w:szCs w:val="24"/>
        </w:rPr>
        <w:t>void ab initio</w:t>
      </w:r>
      <w:r>
        <w:rPr>
          <w:rFonts w:ascii="Times New Roman" w:hAnsi="Times New Roman" w:cs="Times New Roman"/>
          <w:sz w:val="24"/>
          <w:szCs w:val="24"/>
        </w:rPr>
        <w:t xml:space="preserve">. </w:t>
      </w:r>
      <w:r w:rsidR="001D4AA5">
        <w:rPr>
          <w:rFonts w:ascii="Times New Roman" w:hAnsi="Times New Roman" w:cs="Times New Roman"/>
          <w:sz w:val="24"/>
          <w:szCs w:val="24"/>
        </w:rPr>
        <w:t xml:space="preserve">The second respondent’s consent was not there in 2015. It was only granted in 2019. The court could not sanitise an arrangement that was null and void for want of consent. </w:t>
      </w:r>
    </w:p>
    <w:p w14:paraId="5964A8E7" w14:textId="17EA796F" w:rsidR="001D4AA5" w:rsidRDefault="001D4AA5" w:rsidP="00F6726C">
      <w:pPr>
        <w:spacing w:after="0" w:line="360" w:lineRule="auto"/>
        <w:ind w:firstLine="720"/>
        <w:jc w:val="both"/>
        <w:rPr>
          <w:rFonts w:ascii="Times New Roman" w:hAnsi="Times New Roman" w:cs="Times New Roman"/>
          <w:sz w:val="24"/>
          <w:szCs w:val="24"/>
        </w:rPr>
      </w:pPr>
      <w:r w:rsidRPr="0021663E">
        <w:rPr>
          <w:rFonts w:ascii="Times New Roman" w:hAnsi="Times New Roman" w:cs="Times New Roman"/>
          <w:sz w:val="24"/>
          <w:szCs w:val="24"/>
        </w:rPr>
        <w:t xml:space="preserve">The first respondent also argued that assuming an agreement was concluded in 2015, then the applicant breached that agreement of sale by failing to pay the purchase price within a reasonable time. </w:t>
      </w:r>
      <w:r>
        <w:rPr>
          <w:rFonts w:ascii="Times New Roman" w:hAnsi="Times New Roman" w:cs="Times New Roman"/>
          <w:sz w:val="24"/>
          <w:szCs w:val="24"/>
        </w:rPr>
        <w:t>The applicant never made a</w:t>
      </w:r>
      <w:r w:rsidR="0021663E">
        <w:rPr>
          <w:rFonts w:ascii="Times New Roman" w:hAnsi="Times New Roman" w:cs="Times New Roman"/>
          <w:sz w:val="24"/>
          <w:szCs w:val="24"/>
        </w:rPr>
        <w:t xml:space="preserve"> tender </w:t>
      </w:r>
      <w:r>
        <w:rPr>
          <w:rFonts w:ascii="Times New Roman" w:hAnsi="Times New Roman" w:cs="Times New Roman"/>
          <w:sz w:val="24"/>
          <w:szCs w:val="24"/>
        </w:rPr>
        <w:t xml:space="preserve">for the alleged balance of the purchase price for at least five years. No such offer was made even in 2019 when the applicant was invited to exercise his right of first refusal. </w:t>
      </w:r>
    </w:p>
    <w:p w14:paraId="05B07B91" w14:textId="1941652D" w:rsidR="00406B52" w:rsidRDefault="00406B52" w:rsidP="00F672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blamed the applicant for the delays in finalizing the estate. He accused the applicant of meddling in the affairs of the estate and acting in bad faith by discussing the sale of the assets of the estate behind the first respondent’s back. One such instance was the agreement between the applicant and the beneficiary to sell </w:t>
      </w:r>
      <w:r w:rsidR="0021663E">
        <w:rPr>
          <w:rFonts w:ascii="Times New Roman" w:hAnsi="Times New Roman" w:cs="Times New Roman"/>
          <w:sz w:val="24"/>
          <w:szCs w:val="24"/>
        </w:rPr>
        <w:t xml:space="preserve">the </w:t>
      </w:r>
      <w:r>
        <w:rPr>
          <w:rFonts w:ascii="Times New Roman" w:hAnsi="Times New Roman" w:cs="Times New Roman"/>
          <w:sz w:val="24"/>
          <w:szCs w:val="24"/>
        </w:rPr>
        <w:t xml:space="preserve">mill situated at the property behind the first respondent’s back. The first respondent only got to know of the transaction when a dispute arose between the applicant and one of the beneficiaries. </w:t>
      </w:r>
    </w:p>
    <w:p w14:paraId="5E810E64" w14:textId="2AE18FB4" w:rsidR="00F042B8" w:rsidRDefault="00F042B8" w:rsidP="00F672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is also accused of failing to disclose or remit to the estate the income earned by the two companies, Maurizm and Raquinn following the leasing of the property to tenants. The applicant and his agents were also allegedly </w:t>
      </w:r>
      <w:r w:rsidR="00745120">
        <w:rPr>
          <w:rFonts w:ascii="Times New Roman" w:hAnsi="Times New Roman" w:cs="Times New Roman"/>
          <w:sz w:val="24"/>
          <w:szCs w:val="24"/>
        </w:rPr>
        <w:t xml:space="preserve">denying the first respondent access to the property. </w:t>
      </w:r>
    </w:p>
    <w:p w14:paraId="5132F4AE" w14:textId="54C5DFD9" w:rsidR="00745120" w:rsidRDefault="00745120" w:rsidP="00F672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claims that before the applicant made the alleged offer, there had been discussions about the exercise of the right of first refusal to be extended to the applicant. That right was to be exercised as and when the time was ripe for the disposal of the properties. That culminated in the offer which was made for the exercise</w:t>
      </w:r>
      <w:r w:rsidR="00285D35">
        <w:rPr>
          <w:rFonts w:ascii="Times New Roman" w:hAnsi="Times New Roman" w:cs="Times New Roman"/>
          <w:sz w:val="24"/>
          <w:szCs w:val="24"/>
        </w:rPr>
        <w:t xml:space="preserve"> of the r</w:t>
      </w:r>
      <w:r>
        <w:rPr>
          <w:rFonts w:ascii="Times New Roman" w:hAnsi="Times New Roman" w:cs="Times New Roman"/>
          <w:sz w:val="24"/>
          <w:szCs w:val="24"/>
        </w:rPr>
        <w:t xml:space="preserve">ight of first refusal. The </w:t>
      </w:r>
      <w:r w:rsidR="0021663E">
        <w:rPr>
          <w:rFonts w:ascii="Times New Roman" w:hAnsi="Times New Roman" w:cs="Times New Roman"/>
          <w:sz w:val="24"/>
          <w:szCs w:val="24"/>
        </w:rPr>
        <w:t xml:space="preserve">applicant’s </w:t>
      </w:r>
      <w:r>
        <w:rPr>
          <w:rFonts w:ascii="Times New Roman" w:hAnsi="Times New Roman" w:cs="Times New Roman"/>
          <w:sz w:val="24"/>
          <w:szCs w:val="24"/>
        </w:rPr>
        <w:t xml:space="preserve">offer was received by the first respondent on the understanding that it was arising out of discussions </w:t>
      </w:r>
      <w:r>
        <w:rPr>
          <w:rFonts w:ascii="Times New Roman" w:hAnsi="Times New Roman" w:cs="Times New Roman"/>
          <w:sz w:val="24"/>
          <w:szCs w:val="24"/>
        </w:rPr>
        <w:lastRenderedPageBreak/>
        <w:t>on the issue of the right of first refusal. The applicant had indicated that he would pay a commitment fee on the exercise of his right of first refusal. The sum of US$19</w:t>
      </w:r>
      <w:r w:rsidR="00A565F5">
        <w:rPr>
          <w:rFonts w:ascii="Times New Roman" w:hAnsi="Times New Roman" w:cs="Times New Roman"/>
          <w:sz w:val="24"/>
          <w:szCs w:val="24"/>
        </w:rPr>
        <w:t> </w:t>
      </w:r>
      <w:r>
        <w:rPr>
          <w:rFonts w:ascii="Times New Roman" w:hAnsi="Times New Roman" w:cs="Times New Roman"/>
          <w:sz w:val="24"/>
          <w:szCs w:val="24"/>
        </w:rPr>
        <w:t>8</w:t>
      </w:r>
      <w:r w:rsidR="0021663E">
        <w:rPr>
          <w:rFonts w:ascii="Times New Roman" w:hAnsi="Times New Roman" w:cs="Times New Roman"/>
          <w:sz w:val="24"/>
          <w:szCs w:val="24"/>
        </w:rPr>
        <w:t>00 was treated as a commitment by the applicant to exercise his r</w:t>
      </w:r>
      <w:r>
        <w:rPr>
          <w:rFonts w:ascii="Times New Roman" w:hAnsi="Times New Roman" w:cs="Times New Roman"/>
          <w:sz w:val="24"/>
          <w:szCs w:val="24"/>
        </w:rPr>
        <w:t>ight of first refusal</w:t>
      </w:r>
      <w:r w:rsidR="0021663E">
        <w:rPr>
          <w:rFonts w:ascii="Times New Roman" w:hAnsi="Times New Roman" w:cs="Times New Roman"/>
          <w:sz w:val="24"/>
          <w:szCs w:val="24"/>
        </w:rPr>
        <w:t>, at the</w:t>
      </w:r>
      <w:r>
        <w:rPr>
          <w:rFonts w:ascii="Times New Roman" w:hAnsi="Times New Roman" w:cs="Times New Roman"/>
          <w:sz w:val="24"/>
          <w:szCs w:val="24"/>
        </w:rPr>
        <w:t xml:space="preserve"> appropriate time when the requisite approvals had been obtained. The amount </w:t>
      </w:r>
      <w:r w:rsidR="0021663E">
        <w:rPr>
          <w:rFonts w:ascii="Times New Roman" w:hAnsi="Times New Roman" w:cs="Times New Roman"/>
          <w:sz w:val="24"/>
          <w:szCs w:val="24"/>
        </w:rPr>
        <w:t xml:space="preserve">paid </w:t>
      </w:r>
      <w:r>
        <w:rPr>
          <w:rFonts w:ascii="Times New Roman" w:hAnsi="Times New Roman" w:cs="Times New Roman"/>
          <w:sz w:val="24"/>
          <w:szCs w:val="24"/>
        </w:rPr>
        <w:t xml:space="preserve">remained in the first respondent’s trust account. </w:t>
      </w:r>
    </w:p>
    <w:p w14:paraId="3D214CA8" w14:textId="61C14A8C" w:rsidR="00745120" w:rsidRDefault="006F6928" w:rsidP="00F672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respondent admitted writing to the applicant advising him that the necessary authority had been obtained, and that he could proceed to exercise his right of first refusal to purchase the shares in M</w:t>
      </w:r>
      <w:r w:rsidR="006B3917">
        <w:rPr>
          <w:rFonts w:ascii="Times New Roman" w:hAnsi="Times New Roman" w:cs="Times New Roman"/>
          <w:sz w:val="24"/>
          <w:szCs w:val="24"/>
        </w:rPr>
        <w:t xml:space="preserve">aurizim and other companies. The first respondent also averred that the applicant changed course on 12 February 2019 by alleging that he bought shares in Maurizim. Only </w:t>
      </w:r>
      <w:r w:rsidR="00F92A51">
        <w:rPr>
          <w:rFonts w:ascii="Times New Roman" w:hAnsi="Times New Roman" w:cs="Times New Roman"/>
          <w:sz w:val="24"/>
          <w:szCs w:val="24"/>
        </w:rPr>
        <w:t>US</w:t>
      </w:r>
      <w:r w:rsidR="00827587">
        <w:rPr>
          <w:rFonts w:ascii="Times New Roman" w:hAnsi="Times New Roman" w:cs="Times New Roman"/>
          <w:sz w:val="24"/>
          <w:szCs w:val="24"/>
        </w:rPr>
        <w:t>$19 800</w:t>
      </w:r>
      <w:r w:rsidR="006B3917">
        <w:rPr>
          <w:rFonts w:ascii="Times New Roman" w:hAnsi="Times New Roman" w:cs="Times New Roman"/>
          <w:sz w:val="24"/>
          <w:szCs w:val="24"/>
        </w:rPr>
        <w:t xml:space="preserve"> had been paid in 2015. For a good three years the balance remained unpaid. According to the first respondent, the balance was not paid because there was no agreement. </w:t>
      </w:r>
      <w:r w:rsidR="008F365C">
        <w:rPr>
          <w:rFonts w:ascii="Times New Roman" w:hAnsi="Times New Roman" w:cs="Times New Roman"/>
          <w:sz w:val="24"/>
          <w:szCs w:val="24"/>
        </w:rPr>
        <w:t xml:space="preserve">The only agreement was with respect to the exercise of the right of first refusal. </w:t>
      </w:r>
    </w:p>
    <w:p w14:paraId="45FE7B99" w14:textId="5B3F57B1" w:rsidR="008F365C" w:rsidRDefault="008F365C" w:rsidP="00F6726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rPr>
        <w:t xml:space="preserve">The </w:t>
      </w:r>
      <w:r w:rsidR="00C2273B">
        <w:rPr>
          <w:rFonts w:ascii="Times New Roman" w:hAnsi="Times New Roman" w:cs="Times New Roman"/>
          <w:sz w:val="24"/>
          <w:szCs w:val="24"/>
        </w:rPr>
        <w:t xml:space="preserve">first </w:t>
      </w:r>
      <w:r>
        <w:rPr>
          <w:rFonts w:ascii="Times New Roman" w:hAnsi="Times New Roman" w:cs="Times New Roman"/>
          <w:sz w:val="24"/>
          <w:szCs w:val="24"/>
        </w:rPr>
        <w:t>respondent also claimed that it was quite telling that the applicant remained mum about the agreement of sale which was sent to him for proof reading and signing</w:t>
      </w:r>
      <w:r w:rsidR="00C2273B">
        <w:rPr>
          <w:rFonts w:ascii="Times New Roman" w:hAnsi="Times New Roman" w:cs="Times New Roman"/>
          <w:sz w:val="24"/>
          <w:szCs w:val="24"/>
        </w:rPr>
        <w:t xml:space="preserve">. He did not act on the document when he knew well that no agreement had been entered without the consent of the second respondent. The first respondent admitted that he rejected the tender of the balance of the purchase price in 2021 because no agreement had been reached as the applicant had not exercised his right of first refusal extended to him in 2019. </w:t>
      </w:r>
      <w:r w:rsidR="00F92A51">
        <w:rPr>
          <w:rFonts w:ascii="Times New Roman" w:hAnsi="Times New Roman" w:cs="Times New Roman"/>
          <w:sz w:val="24"/>
          <w:szCs w:val="24"/>
        </w:rPr>
        <w:t xml:space="preserve">The engagements in 2015 and the period before were in the context of the exercise of the right of first refusal. </w:t>
      </w:r>
    </w:p>
    <w:p w14:paraId="4C38060D" w14:textId="22EF563C" w:rsidR="003C7305" w:rsidRDefault="00EB2009" w:rsidP="00F6726C">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The first respondent claims that he revalued the shares in 2019 when he obtained the second respondent’s consent to dispose of the shares. This he did in order to safeguard the interests of the estate.</w:t>
      </w:r>
    </w:p>
    <w:p w14:paraId="36577A39" w14:textId="557216B4" w:rsidR="00EB2009" w:rsidRDefault="003C7305" w:rsidP="003C7305">
      <w:pPr>
        <w:spacing w:after="0" w:line="360" w:lineRule="auto"/>
        <w:jc w:val="both"/>
        <w:rPr>
          <w:rFonts w:ascii="Times New Roman" w:hAnsi="Times New Roman" w:cs="Times New Roman"/>
          <w:b/>
          <w:sz w:val="24"/>
          <w:szCs w:val="24"/>
          <w:lang w:val="en-ZW"/>
        </w:rPr>
      </w:pPr>
      <w:r w:rsidRPr="003C7305">
        <w:rPr>
          <w:rFonts w:ascii="Times New Roman" w:hAnsi="Times New Roman" w:cs="Times New Roman"/>
          <w:b/>
          <w:sz w:val="24"/>
          <w:szCs w:val="24"/>
          <w:lang w:val="en-ZW"/>
        </w:rPr>
        <w:t xml:space="preserve">The </w:t>
      </w:r>
      <w:r w:rsidR="00827587">
        <w:rPr>
          <w:rFonts w:ascii="Times New Roman" w:hAnsi="Times New Roman" w:cs="Times New Roman"/>
          <w:b/>
          <w:sz w:val="24"/>
          <w:szCs w:val="24"/>
          <w:lang w:val="en-ZW"/>
        </w:rPr>
        <w:t>A</w:t>
      </w:r>
      <w:r w:rsidRPr="003C7305">
        <w:rPr>
          <w:rFonts w:ascii="Times New Roman" w:hAnsi="Times New Roman" w:cs="Times New Roman"/>
          <w:b/>
          <w:sz w:val="24"/>
          <w:szCs w:val="24"/>
          <w:lang w:val="en-ZW"/>
        </w:rPr>
        <w:t xml:space="preserve">pplicant’s </w:t>
      </w:r>
      <w:r w:rsidR="00827587">
        <w:rPr>
          <w:rFonts w:ascii="Times New Roman" w:hAnsi="Times New Roman" w:cs="Times New Roman"/>
          <w:b/>
          <w:sz w:val="24"/>
          <w:szCs w:val="24"/>
          <w:lang w:val="en-ZW"/>
        </w:rPr>
        <w:t>R</w:t>
      </w:r>
      <w:r w:rsidRPr="003C7305">
        <w:rPr>
          <w:rFonts w:ascii="Times New Roman" w:hAnsi="Times New Roman" w:cs="Times New Roman"/>
          <w:b/>
          <w:sz w:val="24"/>
          <w:szCs w:val="24"/>
          <w:lang w:val="en-ZW"/>
        </w:rPr>
        <w:t>eply</w:t>
      </w:r>
      <w:r w:rsidR="00EB2009" w:rsidRPr="003C7305">
        <w:rPr>
          <w:rFonts w:ascii="Times New Roman" w:hAnsi="Times New Roman" w:cs="Times New Roman"/>
          <w:b/>
          <w:sz w:val="24"/>
          <w:szCs w:val="24"/>
          <w:lang w:val="en-ZW"/>
        </w:rPr>
        <w:t xml:space="preserve"> </w:t>
      </w:r>
    </w:p>
    <w:p w14:paraId="017A947C" w14:textId="004869C9" w:rsidR="00476FF3" w:rsidRDefault="003C7305" w:rsidP="003C7305">
      <w:pPr>
        <w:spacing w:after="0" w:line="360" w:lineRule="auto"/>
        <w:jc w:val="both"/>
        <w:rPr>
          <w:rFonts w:ascii="Times New Roman" w:hAnsi="Times New Roman" w:cs="Times New Roman"/>
          <w:sz w:val="24"/>
          <w:szCs w:val="24"/>
          <w:lang w:val="en-ZW"/>
        </w:rPr>
      </w:pPr>
      <w:r>
        <w:rPr>
          <w:rFonts w:ascii="Times New Roman" w:hAnsi="Times New Roman" w:cs="Times New Roman"/>
          <w:b/>
          <w:sz w:val="24"/>
          <w:szCs w:val="24"/>
          <w:lang w:val="en-ZW"/>
        </w:rPr>
        <w:tab/>
      </w:r>
      <w:r w:rsidRPr="0024729C">
        <w:rPr>
          <w:rFonts w:ascii="Times New Roman" w:hAnsi="Times New Roman" w:cs="Times New Roman"/>
          <w:sz w:val="24"/>
          <w:szCs w:val="24"/>
          <w:lang w:val="en-ZW"/>
        </w:rPr>
        <w:t>In his reply, the applicant insisted that t</w:t>
      </w:r>
      <w:r w:rsidR="00D60F56" w:rsidRPr="0024729C">
        <w:rPr>
          <w:rFonts w:ascii="Times New Roman" w:hAnsi="Times New Roman" w:cs="Times New Roman"/>
          <w:sz w:val="24"/>
          <w:szCs w:val="24"/>
          <w:lang w:val="en-ZW"/>
        </w:rPr>
        <w:t>he transaction was completed on 20 October 2015 when there was a</w:t>
      </w:r>
      <w:r w:rsidR="002A0156">
        <w:rPr>
          <w:rFonts w:ascii="Times New Roman" w:hAnsi="Times New Roman" w:cs="Times New Roman"/>
          <w:sz w:val="24"/>
          <w:szCs w:val="24"/>
          <w:lang w:val="en-ZW"/>
        </w:rPr>
        <w:t>n</w:t>
      </w:r>
      <w:r w:rsidR="00D60F56" w:rsidRPr="0024729C">
        <w:rPr>
          <w:rFonts w:ascii="Times New Roman" w:hAnsi="Times New Roman" w:cs="Times New Roman"/>
          <w:sz w:val="24"/>
          <w:szCs w:val="24"/>
          <w:lang w:val="en-ZW"/>
        </w:rPr>
        <w:t xml:space="preserve"> offer and acceptance. </w:t>
      </w:r>
      <w:r w:rsidR="0024729C">
        <w:rPr>
          <w:rFonts w:ascii="Times New Roman" w:hAnsi="Times New Roman" w:cs="Times New Roman"/>
          <w:sz w:val="24"/>
          <w:szCs w:val="24"/>
          <w:lang w:val="en-ZW"/>
        </w:rPr>
        <w:t xml:space="preserve">It was the first defendant who never demanded the balance of the purchase price. On his part the applicant believed it proper to pay the balance of the purchase price as and when it was needed. </w:t>
      </w:r>
      <w:r w:rsidR="00632F35">
        <w:rPr>
          <w:rFonts w:ascii="Times New Roman" w:hAnsi="Times New Roman" w:cs="Times New Roman"/>
          <w:sz w:val="24"/>
          <w:szCs w:val="24"/>
          <w:lang w:val="en-ZW"/>
        </w:rPr>
        <w:t xml:space="preserve">The transaction was not restricted by time and the applicant was just waiting on the first defendant in order to pay off the balance, which had since been tendered. </w:t>
      </w:r>
      <w:r w:rsidR="0024729C">
        <w:rPr>
          <w:rFonts w:ascii="Times New Roman" w:hAnsi="Times New Roman" w:cs="Times New Roman"/>
          <w:sz w:val="24"/>
          <w:szCs w:val="24"/>
          <w:lang w:val="en-ZW"/>
        </w:rPr>
        <w:t xml:space="preserve">The attempt to sell the same shares to the applicant on 5 February 2019 was irregular as it constituted a double sale. </w:t>
      </w:r>
    </w:p>
    <w:p w14:paraId="04197223" w14:textId="79C06D8C" w:rsidR="00F15C7A" w:rsidRDefault="00476FF3" w:rsidP="00476FF3">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It was also averred that the </w:t>
      </w:r>
      <w:r w:rsidR="0024729C">
        <w:rPr>
          <w:rFonts w:ascii="Times New Roman" w:hAnsi="Times New Roman" w:cs="Times New Roman"/>
          <w:sz w:val="24"/>
          <w:szCs w:val="24"/>
          <w:lang w:val="en-ZW"/>
        </w:rPr>
        <w:t>second respondent’s consent was not a prerequisite for the disposal of</w:t>
      </w:r>
      <w:r w:rsidR="009B6437">
        <w:rPr>
          <w:rFonts w:ascii="Times New Roman" w:hAnsi="Times New Roman" w:cs="Times New Roman"/>
          <w:sz w:val="24"/>
          <w:szCs w:val="24"/>
          <w:lang w:val="en-ZW"/>
        </w:rPr>
        <w:t xml:space="preserve"> company</w:t>
      </w:r>
      <w:r w:rsidR="0024729C">
        <w:rPr>
          <w:rFonts w:ascii="Times New Roman" w:hAnsi="Times New Roman" w:cs="Times New Roman"/>
          <w:sz w:val="24"/>
          <w:szCs w:val="24"/>
          <w:lang w:val="en-ZW"/>
        </w:rPr>
        <w:t xml:space="preserve"> assets. </w:t>
      </w:r>
      <w:r>
        <w:rPr>
          <w:rFonts w:ascii="Times New Roman" w:hAnsi="Times New Roman" w:cs="Times New Roman"/>
          <w:sz w:val="24"/>
          <w:szCs w:val="24"/>
          <w:lang w:val="en-ZW"/>
        </w:rPr>
        <w:t xml:space="preserve">In any case, the consent was granted to the first respondent and not the beneficiaries. </w:t>
      </w:r>
      <w:r w:rsidR="00237662">
        <w:rPr>
          <w:rFonts w:ascii="Times New Roman" w:hAnsi="Times New Roman" w:cs="Times New Roman"/>
          <w:sz w:val="24"/>
          <w:szCs w:val="24"/>
          <w:lang w:val="en-ZW"/>
        </w:rPr>
        <w:t>The applicant denied that he remained silent on the draft agreement</w:t>
      </w:r>
      <w:r w:rsidR="00A34908">
        <w:rPr>
          <w:rFonts w:ascii="Times New Roman" w:hAnsi="Times New Roman" w:cs="Times New Roman"/>
          <w:sz w:val="24"/>
          <w:szCs w:val="24"/>
          <w:lang w:val="en-ZW"/>
        </w:rPr>
        <w:t xml:space="preserve">, but was waiting for the first respondent’s call to attend the signing ceremony. </w:t>
      </w:r>
      <w:r w:rsidR="00827587">
        <w:rPr>
          <w:rFonts w:ascii="Times New Roman" w:hAnsi="Times New Roman" w:cs="Times New Roman"/>
          <w:sz w:val="24"/>
          <w:szCs w:val="24"/>
          <w:lang w:val="en-ZW"/>
        </w:rPr>
        <w:t xml:space="preserve"> </w:t>
      </w:r>
      <w:r w:rsidR="00A34908">
        <w:rPr>
          <w:rFonts w:ascii="Times New Roman" w:hAnsi="Times New Roman" w:cs="Times New Roman"/>
          <w:sz w:val="24"/>
          <w:szCs w:val="24"/>
          <w:lang w:val="en-ZW"/>
        </w:rPr>
        <w:t>At any rate, an agreement of sale was constituted through an offer and a</w:t>
      </w:r>
      <w:r w:rsidR="002A0156">
        <w:rPr>
          <w:rFonts w:ascii="Times New Roman" w:hAnsi="Times New Roman" w:cs="Times New Roman"/>
          <w:sz w:val="24"/>
          <w:szCs w:val="24"/>
          <w:lang w:val="en-ZW"/>
        </w:rPr>
        <w:t xml:space="preserve">cceptance </w:t>
      </w:r>
      <w:r w:rsidR="00A34908">
        <w:rPr>
          <w:rFonts w:ascii="Times New Roman" w:hAnsi="Times New Roman" w:cs="Times New Roman"/>
          <w:sz w:val="24"/>
          <w:szCs w:val="24"/>
          <w:lang w:val="en-ZW"/>
        </w:rPr>
        <w:t xml:space="preserve">and not by signing a document. The applicant denied the alleged existence of </w:t>
      </w:r>
      <w:r w:rsidR="00F15C7A">
        <w:rPr>
          <w:rFonts w:ascii="Times New Roman" w:hAnsi="Times New Roman" w:cs="Times New Roman"/>
          <w:sz w:val="24"/>
          <w:szCs w:val="24"/>
          <w:lang w:val="en-ZW"/>
        </w:rPr>
        <w:t xml:space="preserve">a right of first refusal in any of the communication shared between the parties. </w:t>
      </w:r>
    </w:p>
    <w:p w14:paraId="7CEBD522" w14:textId="4AB2E9CA" w:rsidR="003C7305" w:rsidRDefault="008B4815" w:rsidP="008B4815">
      <w:pPr>
        <w:spacing w:after="0" w:line="360" w:lineRule="auto"/>
        <w:jc w:val="both"/>
        <w:rPr>
          <w:rFonts w:ascii="Times New Roman" w:hAnsi="Times New Roman" w:cs="Times New Roman"/>
          <w:b/>
          <w:sz w:val="24"/>
          <w:szCs w:val="24"/>
          <w:lang w:val="en-ZW"/>
        </w:rPr>
      </w:pPr>
      <w:r w:rsidRPr="008B4815">
        <w:rPr>
          <w:rFonts w:ascii="Times New Roman" w:hAnsi="Times New Roman" w:cs="Times New Roman"/>
          <w:b/>
          <w:sz w:val="24"/>
          <w:szCs w:val="24"/>
          <w:lang w:val="en-ZW"/>
        </w:rPr>
        <w:t xml:space="preserve">The </w:t>
      </w:r>
      <w:r w:rsidR="00827587">
        <w:rPr>
          <w:rFonts w:ascii="Times New Roman" w:hAnsi="Times New Roman" w:cs="Times New Roman"/>
          <w:b/>
          <w:sz w:val="24"/>
          <w:szCs w:val="24"/>
          <w:lang w:val="en-ZW"/>
        </w:rPr>
        <w:t>S</w:t>
      </w:r>
      <w:r w:rsidRPr="008B4815">
        <w:rPr>
          <w:rFonts w:ascii="Times New Roman" w:hAnsi="Times New Roman" w:cs="Times New Roman"/>
          <w:b/>
          <w:sz w:val="24"/>
          <w:szCs w:val="24"/>
          <w:lang w:val="en-ZW"/>
        </w:rPr>
        <w:t>ubmissions</w:t>
      </w:r>
      <w:r w:rsidR="00A34908" w:rsidRPr="008B4815">
        <w:rPr>
          <w:rFonts w:ascii="Times New Roman" w:hAnsi="Times New Roman" w:cs="Times New Roman"/>
          <w:b/>
          <w:sz w:val="24"/>
          <w:szCs w:val="24"/>
          <w:lang w:val="en-ZW"/>
        </w:rPr>
        <w:t xml:space="preserve"> </w:t>
      </w:r>
      <w:r w:rsidR="00632F35" w:rsidRPr="008B4815">
        <w:rPr>
          <w:rFonts w:ascii="Times New Roman" w:hAnsi="Times New Roman" w:cs="Times New Roman"/>
          <w:b/>
          <w:sz w:val="24"/>
          <w:szCs w:val="24"/>
          <w:lang w:val="en-ZW"/>
        </w:rPr>
        <w:t xml:space="preserve"> </w:t>
      </w:r>
    </w:p>
    <w:p w14:paraId="28437946" w14:textId="4CBFC92B" w:rsidR="008B4815" w:rsidRDefault="008B4815" w:rsidP="008B4815">
      <w:pPr>
        <w:spacing w:after="0" w:line="360" w:lineRule="auto"/>
        <w:jc w:val="both"/>
        <w:rPr>
          <w:rFonts w:ascii="Times New Roman" w:hAnsi="Times New Roman" w:cs="Times New Roman"/>
          <w:sz w:val="24"/>
          <w:szCs w:val="24"/>
          <w:lang w:val="en-ZW"/>
        </w:rPr>
      </w:pPr>
      <w:r w:rsidRPr="008B4815">
        <w:rPr>
          <w:rFonts w:ascii="Times New Roman" w:hAnsi="Times New Roman" w:cs="Times New Roman"/>
          <w:sz w:val="24"/>
          <w:szCs w:val="24"/>
          <w:lang w:val="en-ZW"/>
        </w:rPr>
        <w:tab/>
        <w:t xml:space="preserve">Mr </w:t>
      </w:r>
      <w:r w:rsidRPr="008B4815">
        <w:rPr>
          <w:rFonts w:ascii="Times New Roman" w:hAnsi="Times New Roman" w:cs="Times New Roman"/>
          <w:i/>
          <w:sz w:val="24"/>
          <w:szCs w:val="24"/>
          <w:lang w:val="en-ZW"/>
        </w:rPr>
        <w:t xml:space="preserve">Mandizvidza </w:t>
      </w:r>
      <w:r>
        <w:rPr>
          <w:rFonts w:ascii="Times New Roman" w:hAnsi="Times New Roman" w:cs="Times New Roman"/>
          <w:sz w:val="24"/>
          <w:szCs w:val="24"/>
          <w:lang w:val="en-ZW"/>
        </w:rPr>
        <w:t>for the applicant submitted that the letters of 20 October 2015 all but confirmed the existence of an offer and acceptance. The subject matter of the sale was clearly identifiable as the property. The purchase price was also agreed upon. The first respondent even directed the applicant to proceed with payment and furnished the bank and account details</w:t>
      </w:r>
      <w:r w:rsidR="002A0156">
        <w:rPr>
          <w:rFonts w:ascii="Times New Roman" w:hAnsi="Times New Roman" w:cs="Times New Roman"/>
          <w:sz w:val="24"/>
          <w:szCs w:val="24"/>
          <w:lang w:val="en-ZW"/>
        </w:rPr>
        <w:t xml:space="preserve"> into which payment was to be made</w:t>
      </w:r>
      <w:r>
        <w:rPr>
          <w:rFonts w:ascii="Times New Roman" w:hAnsi="Times New Roman" w:cs="Times New Roman"/>
          <w:sz w:val="24"/>
          <w:szCs w:val="24"/>
          <w:lang w:val="en-ZW"/>
        </w:rPr>
        <w:t xml:space="preserve">. </w:t>
      </w:r>
      <w:r w:rsidR="00827587">
        <w:rPr>
          <w:rFonts w:ascii="Times New Roman" w:hAnsi="Times New Roman" w:cs="Times New Roman"/>
          <w:sz w:val="24"/>
          <w:szCs w:val="24"/>
          <w:lang w:val="en-ZW"/>
        </w:rPr>
        <w:t> </w:t>
      </w:r>
      <w:r w:rsidR="00091A3F">
        <w:rPr>
          <w:rFonts w:ascii="Times New Roman" w:hAnsi="Times New Roman" w:cs="Times New Roman"/>
          <w:sz w:val="24"/>
          <w:szCs w:val="24"/>
          <w:lang w:val="en-ZW"/>
        </w:rPr>
        <w:t xml:space="preserve">It therefore boggled the mind to deny that there was an agreement of sale. </w:t>
      </w:r>
    </w:p>
    <w:p w14:paraId="73A8DD07" w14:textId="24766560" w:rsidR="00B02FAC" w:rsidRDefault="00B02FAC" w:rsidP="008B4815">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On whether the second respondent’s consent was required </w:t>
      </w:r>
      <w:r w:rsidR="00E72E59">
        <w:rPr>
          <w:rFonts w:ascii="Times New Roman" w:hAnsi="Times New Roman" w:cs="Times New Roman"/>
          <w:sz w:val="24"/>
          <w:szCs w:val="24"/>
          <w:lang w:val="en-ZW"/>
        </w:rPr>
        <w:t xml:space="preserve">for the disposal of the property, Mr </w:t>
      </w:r>
      <w:r w:rsidR="00E72E59" w:rsidRPr="00E72E59">
        <w:rPr>
          <w:rFonts w:ascii="Times New Roman" w:hAnsi="Times New Roman" w:cs="Times New Roman"/>
          <w:i/>
          <w:sz w:val="24"/>
          <w:szCs w:val="24"/>
          <w:lang w:val="en-ZW"/>
        </w:rPr>
        <w:t xml:space="preserve">Mandizvidza </w:t>
      </w:r>
      <w:r w:rsidR="00E72E59">
        <w:rPr>
          <w:rFonts w:ascii="Times New Roman" w:hAnsi="Times New Roman" w:cs="Times New Roman"/>
          <w:sz w:val="24"/>
          <w:szCs w:val="24"/>
          <w:lang w:val="en-ZW"/>
        </w:rPr>
        <w:t xml:space="preserve">argued that </w:t>
      </w:r>
      <w:r w:rsidR="002A0156">
        <w:rPr>
          <w:rFonts w:ascii="Times New Roman" w:hAnsi="Times New Roman" w:cs="Times New Roman"/>
          <w:sz w:val="24"/>
          <w:szCs w:val="24"/>
          <w:lang w:val="en-ZW"/>
        </w:rPr>
        <w:t xml:space="preserve">what </w:t>
      </w:r>
      <w:r w:rsidR="00E72E59">
        <w:rPr>
          <w:rFonts w:ascii="Times New Roman" w:hAnsi="Times New Roman" w:cs="Times New Roman"/>
          <w:sz w:val="24"/>
          <w:szCs w:val="24"/>
          <w:lang w:val="en-ZW"/>
        </w:rPr>
        <w:t xml:space="preserve">was on sale was an asset of a company which required no consent to sale </w:t>
      </w:r>
      <w:r w:rsidR="009B6437">
        <w:rPr>
          <w:rFonts w:ascii="Times New Roman" w:hAnsi="Times New Roman" w:cs="Times New Roman"/>
          <w:sz w:val="24"/>
          <w:szCs w:val="24"/>
          <w:lang w:val="en-ZW"/>
        </w:rPr>
        <w:t xml:space="preserve">from </w:t>
      </w:r>
      <w:r w:rsidR="00E72E59">
        <w:rPr>
          <w:rFonts w:ascii="Times New Roman" w:hAnsi="Times New Roman" w:cs="Times New Roman"/>
          <w:sz w:val="24"/>
          <w:szCs w:val="24"/>
          <w:lang w:val="en-ZW"/>
        </w:rPr>
        <w:t xml:space="preserve">the second respondent. </w:t>
      </w:r>
      <w:r w:rsidR="002965FE">
        <w:rPr>
          <w:rFonts w:ascii="Times New Roman" w:hAnsi="Times New Roman" w:cs="Times New Roman"/>
          <w:sz w:val="24"/>
          <w:szCs w:val="24"/>
          <w:lang w:val="en-ZW"/>
        </w:rPr>
        <w:t xml:space="preserve">The first respondent was representing the estate and the interests of shareholders. An asset of the company could be sold in order to pay off creditors. </w:t>
      </w:r>
      <w:r w:rsidR="00B9784A">
        <w:rPr>
          <w:rFonts w:ascii="Times New Roman" w:hAnsi="Times New Roman" w:cs="Times New Roman"/>
          <w:sz w:val="24"/>
          <w:szCs w:val="24"/>
          <w:lang w:val="en-ZW"/>
        </w:rPr>
        <w:t xml:space="preserve">Counsel further submitted that a company was a separate legal person. The deceased was entitled to shares in the company. What was on sale was an asset of the company and not its shares. According to counsel, it was the first respondent who brought up the idea of the sale of shares and not the asset. </w:t>
      </w:r>
    </w:p>
    <w:p w14:paraId="7C858ABC" w14:textId="7768A68F" w:rsidR="00E664C1" w:rsidRDefault="0055630C" w:rsidP="00E664C1">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In response, Mr </w:t>
      </w:r>
      <w:r w:rsidRPr="0055630C">
        <w:rPr>
          <w:rFonts w:ascii="Times New Roman" w:hAnsi="Times New Roman" w:cs="Times New Roman"/>
          <w:i/>
          <w:sz w:val="24"/>
          <w:szCs w:val="24"/>
          <w:lang w:val="en-ZW"/>
        </w:rPr>
        <w:t>Nyamukondiwa</w:t>
      </w:r>
      <w:r>
        <w:rPr>
          <w:rFonts w:ascii="Times New Roman" w:hAnsi="Times New Roman" w:cs="Times New Roman"/>
          <w:sz w:val="24"/>
          <w:szCs w:val="24"/>
          <w:lang w:val="en-ZW"/>
        </w:rPr>
        <w:t xml:space="preserve"> for the first respondent submitted that there was no offer and</w:t>
      </w:r>
      <w:r w:rsidR="009B6437">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acceptance </w:t>
      </w:r>
      <w:r w:rsidR="009B6437">
        <w:rPr>
          <w:rFonts w:ascii="Times New Roman" w:hAnsi="Times New Roman" w:cs="Times New Roman"/>
          <w:sz w:val="24"/>
          <w:szCs w:val="24"/>
          <w:lang w:val="en-ZW"/>
        </w:rPr>
        <w:t>to talk about.</w:t>
      </w:r>
      <w:r>
        <w:rPr>
          <w:rFonts w:ascii="Times New Roman" w:hAnsi="Times New Roman" w:cs="Times New Roman"/>
          <w:sz w:val="24"/>
          <w:szCs w:val="24"/>
          <w:lang w:val="en-ZW"/>
        </w:rPr>
        <w:t xml:space="preserve"> The parties had some discussions pertaining to the exercise of the right of first refusal, prior to the </w:t>
      </w:r>
      <w:r w:rsidR="00A22CBA">
        <w:rPr>
          <w:rFonts w:ascii="Times New Roman" w:hAnsi="Times New Roman" w:cs="Times New Roman"/>
          <w:sz w:val="24"/>
          <w:szCs w:val="24"/>
          <w:lang w:val="en-ZW"/>
        </w:rPr>
        <w:t xml:space="preserve">alleged agreement. Counsel further submitted that in his letter of 20 October 2015, the first respondent was inviting the applicant to exercise his right of first refusal. That letter was not accepting any offer. </w:t>
      </w:r>
    </w:p>
    <w:p w14:paraId="284C2DC4" w14:textId="13ADE97D" w:rsidR="0055630C" w:rsidRDefault="00D026DD" w:rsidP="00E664C1">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In his heads of argument, the first respondent argued that even assuming there was a sale, that sale was void for want of compliance with s 120 of the Administration of Estates Act.</w:t>
      </w:r>
      <w:r>
        <w:rPr>
          <w:rStyle w:val="FootnoteReference"/>
          <w:rFonts w:ascii="Times New Roman" w:hAnsi="Times New Roman" w:cs="Times New Roman"/>
          <w:sz w:val="24"/>
          <w:szCs w:val="24"/>
          <w:lang w:val="en-ZW"/>
        </w:rPr>
        <w:footnoteReference w:id="1"/>
      </w:r>
      <w:r>
        <w:rPr>
          <w:rFonts w:ascii="Times New Roman" w:hAnsi="Times New Roman" w:cs="Times New Roman"/>
          <w:sz w:val="24"/>
          <w:szCs w:val="24"/>
          <w:lang w:val="en-ZW"/>
        </w:rPr>
        <w:t xml:space="preserve"> The second respondent’s authority was required before such </w:t>
      </w:r>
      <w:r w:rsidR="009B6437">
        <w:rPr>
          <w:rFonts w:ascii="Times New Roman" w:hAnsi="Times New Roman" w:cs="Times New Roman"/>
          <w:sz w:val="24"/>
          <w:szCs w:val="24"/>
          <w:lang w:val="en-ZW"/>
        </w:rPr>
        <w:t>alienation.</w:t>
      </w:r>
      <w:r>
        <w:rPr>
          <w:rFonts w:ascii="Times New Roman" w:hAnsi="Times New Roman" w:cs="Times New Roman"/>
          <w:sz w:val="24"/>
          <w:szCs w:val="24"/>
          <w:lang w:val="en-ZW"/>
        </w:rPr>
        <w:t xml:space="preserve"> </w:t>
      </w:r>
    </w:p>
    <w:p w14:paraId="4FC40147" w14:textId="1DF1FF6A" w:rsidR="00D026DD" w:rsidRDefault="00D026DD" w:rsidP="00D026DD">
      <w:pPr>
        <w:spacing w:after="0" w:line="360" w:lineRule="auto"/>
        <w:jc w:val="both"/>
        <w:rPr>
          <w:rFonts w:ascii="Times New Roman" w:hAnsi="Times New Roman" w:cs="Times New Roman"/>
          <w:b/>
          <w:sz w:val="24"/>
          <w:szCs w:val="24"/>
          <w:lang w:val="en-ZW"/>
        </w:rPr>
      </w:pPr>
      <w:r w:rsidRPr="00D026DD">
        <w:rPr>
          <w:rFonts w:ascii="Times New Roman" w:hAnsi="Times New Roman" w:cs="Times New Roman"/>
          <w:b/>
          <w:sz w:val="24"/>
          <w:szCs w:val="24"/>
          <w:lang w:val="en-ZW"/>
        </w:rPr>
        <w:t xml:space="preserve">The </w:t>
      </w:r>
      <w:r w:rsidR="00827587">
        <w:rPr>
          <w:rFonts w:ascii="Times New Roman" w:hAnsi="Times New Roman" w:cs="Times New Roman"/>
          <w:b/>
          <w:sz w:val="24"/>
          <w:szCs w:val="24"/>
          <w:lang w:val="en-ZW"/>
        </w:rPr>
        <w:t>A</w:t>
      </w:r>
      <w:r w:rsidRPr="00D026DD">
        <w:rPr>
          <w:rFonts w:ascii="Times New Roman" w:hAnsi="Times New Roman" w:cs="Times New Roman"/>
          <w:b/>
          <w:sz w:val="24"/>
          <w:szCs w:val="24"/>
          <w:lang w:val="en-ZW"/>
        </w:rPr>
        <w:t xml:space="preserve">nalysis </w:t>
      </w:r>
    </w:p>
    <w:p w14:paraId="291A6443" w14:textId="726B5171" w:rsidR="00D7589A" w:rsidRDefault="00D7589A" w:rsidP="00D7589A">
      <w:pPr>
        <w:spacing w:after="0" w:line="360" w:lineRule="auto"/>
        <w:ind w:firstLine="720"/>
        <w:jc w:val="both"/>
        <w:rPr>
          <w:rFonts w:ascii="Times New Roman" w:hAnsi="Times New Roman" w:cs="Times New Roman"/>
          <w:sz w:val="24"/>
          <w:szCs w:val="24"/>
          <w:lang w:val="en-ZW"/>
        </w:rPr>
      </w:pPr>
      <w:r w:rsidRPr="00D7589A">
        <w:rPr>
          <w:rFonts w:ascii="Times New Roman" w:hAnsi="Times New Roman" w:cs="Times New Roman"/>
          <w:sz w:val="24"/>
          <w:szCs w:val="24"/>
          <w:lang w:val="en-ZW"/>
        </w:rPr>
        <w:t>T</w:t>
      </w:r>
      <w:r w:rsidR="00E664C1">
        <w:rPr>
          <w:rFonts w:ascii="Times New Roman" w:hAnsi="Times New Roman" w:cs="Times New Roman"/>
          <w:sz w:val="24"/>
          <w:szCs w:val="24"/>
          <w:lang w:val="en-ZW"/>
        </w:rPr>
        <w:t xml:space="preserve">hree </w:t>
      </w:r>
      <w:r w:rsidRPr="00D7589A">
        <w:rPr>
          <w:rFonts w:ascii="Times New Roman" w:hAnsi="Times New Roman" w:cs="Times New Roman"/>
          <w:sz w:val="24"/>
          <w:szCs w:val="24"/>
          <w:lang w:val="en-ZW"/>
        </w:rPr>
        <w:t xml:space="preserve">key issues arise for determination herein. </w:t>
      </w:r>
      <w:r>
        <w:rPr>
          <w:rFonts w:ascii="Times New Roman" w:hAnsi="Times New Roman" w:cs="Times New Roman"/>
          <w:sz w:val="24"/>
          <w:szCs w:val="24"/>
          <w:lang w:val="en-ZW"/>
        </w:rPr>
        <w:t xml:space="preserve">The first is whether the applicant made </w:t>
      </w:r>
      <w:r w:rsidR="00323441">
        <w:rPr>
          <w:rFonts w:ascii="Times New Roman" w:hAnsi="Times New Roman" w:cs="Times New Roman"/>
          <w:sz w:val="24"/>
          <w:szCs w:val="24"/>
          <w:lang w:val="en-ZW"/>
        </w:rPr>
        <w:t>an offer</w:t>
      </w:r>
      <w:r>
        <w:rPr>
          <w:rFonts w:ascii="Times New Roman" w:hAnsi="Times New Roman" w:cs="Times New Roman"/>
          <w:sz w:val="24"/>
          <w:szCs w:val="24"/>
          <w:lang w:val="en-ZW"/>
        </w:rPr>
        <w:t xml:space="preserve"> for the purchase of the property, which </w:t>
      </w:r>
      <w:r w:rsidR="009B6437">
        <w:rPr>
          <w:rFonts w:ascii="Times New Roman" w:hAnsi="Times New Roman" w:cs="Times New Roman"/>
          <w:sz w:val="24"/>
          <w:szCs w:val="24"/>
          <w:lang w:val="en-ZW"/>
        </w:rPr>
        <w:t xml:space="preserve">offer </w:t>
      </w:r>
      <w:r>
        <w:rPr>
          <w:rFonts w:ascii="Times New Roman" w:hAnsi="Times New Roman" w:cs="Times New Roman"/>
          <w:sz w:val="24"/>
          <w:szCs w:val="24"/>
          <w:lang w:val="en-ZW"/>
        </w:rPr>
        <w:t xml:space="preserve">was accepted by the first respondent. The second is whether the consent of the second respondent was required for the disposal of that property. </w:t>
      </w:r>
      <w:r w:rsidR="00E664C1">
        <w:rPr>
          <w:rFonts w:ascii="Times New Roman" w:hAnsi="Times New Roman" w:cs="Times New Roman"/>
          <w:sz w:val="24"/>
          <w:szCs w:val="24"/>
          <w:lang w:val="en-ZW"/>
        </w:rPr>
        <w:t xml:space="preserve">The third issue is dependent on the findings the court makes on the first two issues. </w:t>
      </w:r>
      <w:r w:rsidR="00827587">
        <w:rPr>
          <w:rFonts w:ascii="Times New Roman" w:hAnsi="Times New Roman" w:cs="Times New Roman"/>
          <w:sz w:val="24"/>
          <w:szCs w:val="24"/>
          <w:lang w:val="en-ZW"/>
        </w:rPr>
        <w:t> </w:t>
      </w:r>
      <w:r w:rsidR="00E664C1">
        <w:rPr>
          <w:rFonts w:ascii="Times New Roman" w:hAnsi="Times New Roman" w:cs="Times New Roman"/>
          <w:sz w:val="24"/>
          <w:szCs w:val="24"/>
          <w:lang w:val="en-ZW"/>
        </w:rPr>
        <w:t xml:space="preserve">It is whether a valid agreement exists between the applicant and the first respondent. </w:t>
      </w:r>
      <w:r w:rsidR="009B6437">
        <w:rPr>
          <w:rFonts w:ascii="Times New Roman" w:hAnsi="Times New Roman" w:cs="Times New Roman"/>
          <w:sz w:val="24"/>
          <w:szCs w:val="24"/>
          <w:lang w:val="en-ZW"/>
        </w:rPr>
        <w:t xml:space="preserve">I now turn to determine these issues seriatim. </w:t>
      </w:r>
    </w:p>
    <w:p w14:paraId="52D74A3D" w14:textId="20010824" w:rsidR="00D7589A" w:rsidRDefault="00D7589A" w:rsidP="00D7589A">
      <w:pPr>
        <w:spacing w:after="0" w:line="360" w:lineRule="auto"/>
        <w:jc w:val="both"/>
        <w:rPr>
          <w:rFonts w:ascii="Times New Roman" w:hAnsi="Times New Roman" w:cs="Times New Roman"/>
          <w:b/>
          <w:i/>
          <w:sz w:val="24"/>
          <w:szCs w:val="24"/>
          <w:lang w:val="en-ZW"/>
        </w:rPr>
      </w:pPr>
      <w:r w:rsidRPr="00D7589A">
        <w:rPr>
          <w:rFonts w:ascii="Times New Roman" w:hAnsi="Times New Roman" w:cs="Times New Roman"/>
          <w:b/>
          <w:i/>
          <w:sz w:val="24"/>
          <w:szCs w:val="24"/>
          <w:lang w:val="en-ZW"/>
        </w:rPr>
        <w:t>Whether the applicant made an offer which was accepted by the first respondent</w:t>
      </w:r>
    </w:p>
    <w:p w14:paraId="13969B81" w14:textId="163E5C36" w:rsidR="00323441" w:rsidRDefault="00323441" w:rsidP="00D7589A">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The applicant claims that his offer for the purchase of the property was initiated through the letter of 9 March 2015. </w:t>
      </w:r>
      <w:r w:rsidR="00847AE2">
        <w:rPr>
          <w:rFonts w:ascii="Times New Roman" w:hAnsi="Times New Roman" w:cs="Times New Roman"/>
          <w:sz w:val="24"/>
          <w:szCs w:val="24"/>
          <w:lang w:val="en-ZW"/>
        </w:rPr>
        <w:t xml:space="preserve">The applicant made a follow up through another letter of 20 October 2015. The letter highlighted that the parties had “resolved” that the property be sold in order to settle amounts owed to various creditors by Maurizim. The first respondent’s response of the same date accepted the offer of the US$32 500 to buy out “the half share owned by Estate Late Phillip Chigumira…” </w:t>
      </w:r>
      <w:r w:rsidR="00285D35">
        <w:rPr>
          <w:rFonts w:ascii="Times New Roman" w:hAnsi="Times New Roman" w:cs="Times New Roman"/>
          <w:sz w:val="24"/>
          <w:szCs w:val="24"/>
          <w:lang w:val="en-ZW"/>
        </w:rPr>
        <w:t xml:space="preserve">The applicant’s offer was clear that he was buying out the estate’s half share in the property since the business that owned the property was jointly owned by the applicant and the deceased. </w:t>
      </w:r>
    </w:p>
    <w:p w14:paraId="430B2193" w14:textId="689EBF3E" w:rsidR="00285D35" w:rsidRPr="00323441" w:rsidRDefault="00285D35" w:rsidP="00D7589A">
      <w:pPr>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t xml:space="preserve">In opposition, the first respondent denied that the applicant’s letter of 20 October 2015 constituted an offer to purchase the property. According to him, he understood it to be an offer to exercise the applicant’s right of first refusal to purchase the property. This was because in prior discussions, the applicant’s right of first refusal to purchase the property had been discussed. The amounts paid by the applicant were merely some commitment fee showing his intent to exercise that right. That line of argument was persisted with during oral submissions. </w:t>
      </w:r>
    </w:p>
    <w:p w14:paraId="239FEB93" w14:textId="77777777" w:rsidR="006F1EC4" w:rsidRDefault="00323441" w:rsidP="00D7589A">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ZW"/>
        </w:rPr>
        <w:tab/>
      </w:r>
      <w:r w:rsidR="006F1EC4">
        <w:rPr>
          <w:rFonts w:ascii="Times New Roman" w:hAnsi="Times New Roman" w:cs="Times New Roman"/>
          <w:sz w:val="24"/>
          <w:szCs w:val="24"/>
        </w:rPr>
        <w:t xml:space="preserve">In his book </w:t>
      </w:r>
      <w:r w:rsidR="006F1EC4" w:rsidRPr="004E5FFB">
        <w:rPr>
          <w:rFonts w:ascii="Times New Roman" w:hAnsi="Times New Roman" w:cs="Times New Roman"/>
          <w:i/>
          <w:sz w:val="24"/>
          <w:szCs w:val="24"/>
        </w:rPr>
        <w:t>Business Law in Zimbabwe</w:t>
      </w:r>
      <w:r w:rsidR="006F1EC4">
        <w:rPr>
          <w:rStyle w:val="FootnoteReference"/>
          <w:rFonts w:ascii="Times New Roman" w:hAnsi="Times New Roman" w:cs="Times New Roman"/>
          <w:sz w:val="24"/>
          <w:szCs w:val="24"/>
        </w:rPr>
        <w:footnoteReference w:id="2"/>
      </w:r>
      <w:r w:rsidR="006F1EC4">
        <w:rPr>
          <w:rFonts w:ascii="Times New Roman" w:hAnsi="Times New Roman" w:cs="Times New Roman"/>
          <w:sz w:val="24"/>
          <w:szCs w:val="24"/>
        </w:rPr>
        <w:t>,</w:t>
      </w:r>
      <w:r w:rsidR="006F1EC4" w:rsidRPr="00AE5896">
        <w:rPr>
          <w:rFonts w:ascii="Times New Roman" w:hAnsi="Times New Roman" w:cs="Times New Roman"/>
          <w:sz w:val="24"/>
          <w:szCs w:val="24"/>
        </w:rPr>
        <w:t xml:space="preserve"> </w:t>
      </w:r>
      <w:r w:rsidR="006F1EC4">
        <w:rPr>
          <w:rFonts w:ascii="Times New Roman" w:hAnsi="Times New Roman" w:cs="Times New Roman"/>
          <w:sz w:val="24"/>
          <w:szCs w:val="24"/>
        </w:rPr>
        <w:t>Author R.H. Christie analysed an offer as follows:</w:t>
      </w:r>
    </w:p>
    <w:p w14:paraId="01B8637A" w14:textId="62747BDA" w:rsidR="006F1EC4" w:rsidRDefault="006F1EC4" w:rsidP="006F1EC4">
      <w:pPr>
        <w:spacing w:after="0" w:line="240" w:lineRule="auto"/>
        <w:ind w:left="720"/>
        <w:jc w:val="both"/>
        <w:rPr>
          <w:rFonts w:ascii="Times New Roman" w:hAnsi="Times New Roman" w:cs="Times New Roman"/>
        </w:rPr>
      </w:pPr>
      <w:r w:rsidRPr="006F1EC4">
        <w:rPr>
          <w:rFonts w:ascii="Times New Roman" w:hAnsi="Times New Roman" w:cs="Times New Roman"/>
        </w:rPr>
        <w:t xml:space="preserve">“An offer, in the specialized sense in which that word has come to be used in the law of contract, is identifiable as being </w:t>
      </w:r>
      <w:r>
        <w:rPr>
          <w:rFonts w:ascii="Times New Roman" w:hAnsi="Times New Roman" w:cs="Times New Roman"/>
        </w:rPr>
        <w:t xml:space="preserve">accompanied by </w:t>
      </w:r>
      <w:r w:rsidRPr="006B09DB">
        <w:rPr>
          <w:rFonts w:ascii="Times New Roman" w:hAnsi="Times New Roman" w:cs="Times New Roman"/>
          <w:i/>
        </w:rPr>
        <w:t>animus contrahendi</w:t>
      </w:r>
      <w:r>
        <w:rPr>
          <w:rFonts w:ascii="Times New Roman" w:hAnsi="Times New Roman" w:cs="Times New Roman"/>
        </w:rPr>
        <w:t>, the intention of putting the conclusion of the negotiations out of one’s further power and enabling the offeree, by mere acceptance, to create the contract.</w:t>
      </w:r>
      <w:r w:rsidR="006B09DB">
        <w:rPr>
          <w:rFonts w:ascii="Times New Roman" w:hAnsi="Times New Roman" w:cs="Times New Roman"/>
        </w:rPr>
        <w:t>”</w:t>
      </w:r>
    </w:p>
    <w:p w14:paraId="593BE5BD" w14:textId="77777777" w:rsidR="006F1EC4" w:rsidRPr="006F1EC4" w:rsidRDefault="006F1EC4" w:rsidP="006F1EC4">
      <w:pPr>
        <w:spacing w:after="0" w:line="240" w:lineRule="auto"/>
        <w:jc w:val="both"/>
        <w:rPr>
          <w:rFonts w:ascii="Times New Roman" w:hAnsi="Times New Roman" w:cs="Times New Roman"/>
        </w:rPr>
      </w:pPr>
    </w:p>
    <w:p w14:paraId="1738DCF8" w14:textId="3EF38E00" w:rsidR="006F1EC4" w:rsidRDefault="006F1EC4" w:rsidP="006F1E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Speaking of an acceptance, the same author had this to say:</w:t>
      </w:r>
    </w:p>
    <w:p w14:paraId="589401F3" w14:textId="3FF74872" w:rsidR="006F1EC4" w:rsidRDefault="006F1EC4" w:rsidP="006F1EC4">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9730E4">
        <w:rPr>
          <w:rFonts w:ascii="Times New Roman" w:hAnsi="Times New Roman" w:cs="Times New Roman"/>
          <w:u w:val="single"/>
        </w:rPr>
        <w:t>To be effective in creating a contract, acceptance must be so clear and unequivocal as to leave no reasonable doubt in the offeror’s mind that his offer has been accepted</w:t>
      </w:r>
      <w:r w:rsidRPr="009730E4">
        <w:rPr>
          <w:rFonts w:ascii="Times New Roman" w:hAnsi="Times New Roman" w:cs="Times New Roman"/>
        </w:rPr>
        <w:t xml:space="preserve">: </w:t>
      </w:r>
      <w:r w:rsidRPr="009730E4">
        <w:rPr>
          <w:rFonts w:ascii="Times New Roman" w:hAnsi="Times New Roman" w:cs="Times New Roman"/>
          <w:i/>
        </w:rPr>
        <w:t xml:space="preserve">Selected Mines and Marketing (Rhodesia) Ltd </w:t>
      </w:r>
      <w:r w:rsidRPr="008B1D8E">
        <w:rPr>
          <w:rFonts w:ascii="Times New Roman" w:hAnsi="Times New Roman" w:cs="Times New Roman"/>
        </w:rPr>
        <w:t>v</w:t>
      </w:r>
      <w:r w:rsidRPr="009730E4">
        <w:rPr>
          <w:rFonts w:ascii="Times New Roman" w:hAnsi="Times New Roman" w:cs="Times New Roman"/>
          <w:i/>
        </w:rPr>
        <w:t xml:space="preserve"> Trees Asbestos Mining Co Ltd </w:t>
      </w:r>
      <w:r w:rsidRPr="009730E4">
        <w:rPr>
          <w:rFonts w:ascii="Times New Roman" w:hAnsi="Times New Roman" w:cs="Times New Roman"/>
        </w:rPr>
        <w:t>1952 SR 57. The reason for requiring a higher degree of certainty than the standard of proof on the preponderance of probability that is universally accepted in civil as opposed to criminal cases is that the offeror is entitled to expect an answer on which he can immediately act, without interrupting his business while he weighs up conflicting probabilities in order to decide whethe</w:t>
      </w:r>
      <w:r>
        <w:rPr>
          <w:rFonts w:ascii="Times New Roman" w:hAnsi="Times New Roman" w:cs="Times New Roman"/>
        </w:rPr>
        <w:t>r he has a contract or not.</w:t>
      </w:r>
      <w:r w:rsidRPr="009730E4">
        <w:rPr>
          <w:rFonts w:ascii="Times New Roman" w:hAnsi="Times New Roman" w:cs="Times New Roman"/>
        </w:rPr>
        <w:t>…..”</w:t>
      </w:r>
      <w:r w:rsidR="005D007F">
        <w:rPr>
          <w:rStyle w:val="FootnoteReference"/>
          <w:rFonts w:ascii="Times New Roman" w:hAnsi="Times New Roman" w:cs="Times New Roman"/>
        </w:rPr>
        <w:footnoteReference w:id="3"/>
      </w:r>
      <w:r w:rsidRPr="009730E4">
        <w:rPr>
          <w:rFonts w:ascii="Times New Roman" w:hAnsi="Times New Roman" w:cs="Times New Roman"/>
        </w:rPr>
        <w:t xml:space="preserve"> </w:t>
      </w:r>
    </w:p>
    <w:p w14:paraId="70FC8779" w14:textId="77777777" w:rsidR="00491656" w:rsidRPr="009730E4" w:rsidRDefault="00491656" w:rsidP="006F1EC4">
      <w:pPr>
        <w:spacing w:after="0" w:line="240" w:lineRule="auto"/>
        <w:ind w:left="720"/>
        <w:jc w:val="both"/>
        <w:rPr>
          <w:rFonts w:ascii="Times New Roman" w:hAnsi="Times New Roman" w:cs="Times New Roman"/>
        </w:rPr>
      </w:pPr>
    </w:p>
    <w:p w14:paraId="3A4B822B" w14:textId="7195A5D9" w:rsidR="00491656" w:rsidRDefault="006F1EC4" w:rsidP="0049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what is central to both an offer and acceptance </w:t>
      </w:r>
      <w:r w:rsidR="00491656">
        <w:rPr>
          <w:rFonts w:ascii="Times New Roman" w:hAnsi="Times New Roman" w:cs="Times New Roman"/>
          <w:sz w:val="24"/>
          <w:szCs w:val="24"/>
        </w:rPr>
        <w:t xml:space="preserve">is the accompanying state of mind in which the communication </w:t>
      </w:r>
      <w:r w:rsidR="00E664C1">
        <w:rPr>
          <w:rFonts w:ascii="Times New Roman" w:hAnsi="Times New Roman" w:cs="Times New Roman"/>
          <w:sz w:val="24"/>
          <w:szCs w:val="24"/>
        </w:rPr>
        <w:t xml:space="preserve">of the offer or acceptance </w:t>
      </w:r>
      <w:r w:rsidR="00491656">
        <w:rPr>
          <w:rFonts w:ascii="Times New Roman" w:hAnsi="Times New Roman" w:cs="Times New Roman"/>
          <w:sz w:val="24"/>
          <w:szCs w:val="24"/>
        </w:rPr>
        <w:t xml:space="preserve">is made. The communication must be clear and unequivocal about what is being offered </w:t>
      </w:r>
      <w:r w:rsidR="00E664C1">
        <w:rPr>
          <w:rFonts w:ascii="Times New Roman" w:hAnsi="Times New Roman" w:cs="Times New Roman"/>
          <w:sz w:val="24"/>
          <w:szCs w:val="24"/>
        </w:rPr>
        <w:t xml:space="preserve">or what is being accepted </w:t>
      </w:r>
      <w:r w:rsidR="00491656">
        <w:rPr>
          <w:rFonts w:ascii="Times New Roman" w:hAnsi="Times New Roman" w:cs="Times New Roman"/>
          <w:sz w:val="24"/>
          <w:szCs w:val="24"/>
        </w:rPr>
        <w:t xml:space="preserve">and at what price. The applicant’s letter of 20 October 2015 clearly stated that he was offering to purchase the Glenview property. He set out the terms of his offer. The first respondent’s letter of the same date cited the same reference used by the applicant. It accepted the offer as communicated by the applicant and gave the account details into which payment was to be made. The first respondent’s letter made no reference to past discussions involving the parties on the same property. It made no reference to the exercise of the right of first refusal. It made no reference to the need to secure the second respondent’s permission to sell the property. </w:t>
      </w:r>
    </w:p>
    <w:p w14:paraId="05DBAA7A" w14:textId="77777777" w:rsidR="00246B33" w:rsidRDefault="00491656" w:rsidP="0049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offer, once accepted, gives rise to a binding agreement between the parties. It creates rights and obligations between the parties. I have no doubt in my mind that the first respondent’s response to the </w:t>
      </w:r>
      <w:r w:rsidR="005D007F">
        <w:rPr>
          <w:rFonts w:ascii="Times New Roman" w:hAnsi="Times New Roman" w:cs="Times New Roman"/>
          <w:sz w:val="24"/>
          <w:szCs w:val="24"/>
        </w:rPr>
        <w:t xml:space="preserve">applicant’s letter of 20 October 2015 constituted an acceptance to the offer contained in that letter. To construe the applicant’s letter of 20 October 2015 as communicating an intention to exercise the applicant’s right of first refusal, is in my view preposterous. The same goes for the first respondent’s own response to the offer. To construe the response as merely affirming the applicant’s right of first refusal and nothing else is equally mind boggling. </w:t>
      </w:r>
    </w:p>
    <w:p w14:paraId="2762A007" w14:textId="5727B2B5" w:rsidR="006F1EC4" w:rsidRDefault="00E664C1" w:rsidP="0049165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Counsel for the first respondent was at pains to explain what it is that the first respondent was accepting, if it was not the clear offer made in the letter of 20 October 2015. </w:t>
      </w:r>
      <w:r w:rsidR="005D007F">
        <w:rPr>
          <w:rFonts w:ascii="Times New Roman" w:hAnsi="Times New Roman" w:cs="Times New Roman"/>
          <w:sz w:val="24"/>
          <w:szCs w:val="24"/>
        </w:rPr>
        <w:t xml:space="preserve">The two letters are clear on what was being offered and </w:t>
      </w:r>
      <w:r w:rsidR="00246B33">
        <w:rPr>
          <w:rFonts w:ascii="Times New Roman" w:hAnsi="Times New Roman" w:cs="Times New Roman"/>
          <w:sz w:val="24"/>
          <w:szCs w:val="24"/>
        </w:rPr>
        <w:t>a</w:t>
      </w:r>
      <w:r w:rsidR="005D007F">
        <w:rPr>
          <w:rFonts w:ascii="Times New Roman" w:hAnsi="Times New Roman" w:cs="Times New Roman"/>
          <w:sz w:val="24"/>
          <w:szCs w:val="24"/>
        </w:rPr>
        <w:t xml:space="preserve">ccepted. </w:t>
      </w:r>
      <w:r>
        <w:rPr>
          <w:rFonts w:ascii="Times New Roman" w:hAnsi="Times New Roman" w:cs="Times New Roman"/>
          <w:sz w:val="24"/>
          <w:szCs w:val="24"/>
        </w:rPr>
        <w:t xml:space="preserve">The court therefore determines that the applicant made an offer to purchase the property and this offer was accepted by the first respondent. </w:t>
      </w:r>
    </w:p>
    <w:p w14:paraId="5B6A412E" w14:textId="77777777" w:rsidR="00E664C1" w:rsidRDefault="00E664C1" w:rsidP="00491656">
      <w:pPr>
        <w:spacing w:after="0" w:line="360" w:lineRule="auto"/>
        <w:ind w:firstLine="720"/>
        <w:jc w:val="both"/>
        <w:rPr>
          <w:rFonts w:ascii="Times New Roman" w:hAnsi="Times New Roman" w:cs="Times New Roman"/>
          <w:sz w:val="24"/>
          <w:szCs w:val="24"/>
        </w:rPr>
      </w:pPr>
    </w:p>
    <w:p w14:paraId="197B6469" w14:textId="77777777" w:rsidR="00E664C1" w:rsidRDefault="00E664C1" w:rsidP="00491656">
      <w:pPr>
        <w:spacing w:after="0" w:line="360" w:lineRule="auto"/>
        <w:ind w:firstLine="720"/>
        <w:jc w:val="both"/>
        <w:rPr>
          <w:rFonts w:ascii="Times New Roman" w:hAnsi="Times New Roman" w:cs="Times New Roman"/>
          <w:sz w:val="24"/>
          <w:szCs w:val="24"/>
        </w:rPr>
      </w:pPr>
    </w:p>
    <w:p w14:paraId="59700FA7" w14:textId="67FCF689" w:rsidR="005D007F" w:rsidRPr="0045758B" w:rsidRDefault="0045758B" w:rsidP="0045758B">
      <w:pPr>
        <w:spacing w:after="0" w:line="360" w:lineRule="auto"/>
        <w:jc w:val="both"/>
        <w:rPr>
          <w:rFonts w:ascii="Times New Roman" w:hAnsi="Times New Roman" w:cs="Times New Roman"/>
          <w:b/>
          <w:i/>
          <w:sz w:val="24"/>
          <w:szCs w:val="24"/>
        </w:rPr>
      </w:pPr>
      <w:r w:rsidRPr="0045758B">
        <w:rPr>
          <w:rFonts w:ascii="Times New Roman" w:hAnsi="Times New Roman" w:cs="Times New Roman"/>
          <w:b/>
          <w:i/>
          <w:sz w:val="24"/>
          <w:szCs w:val="24"/>
        </w:rPr>
        <w:t>Whether the Master’s consent was a pre-requisite to the disposal of the property</w:t>
      </w:r>
    </w:p>
    <w:p w14:paraId="76A59E0F" w14:textId="3CA1B47E" w:rsidR="0045758B" w:rsidRDefault="0045758B" w:rsidP="00D026DD">
      <w:pPr>
        <w:spacing w:after="0" w:line="360" w:lineRule="auto"/>
        <w:jc w:val="both"/>
        <w:rPr>
          <w:rFonts w:ascii="Times New Roman" w:hAnsi="Times New Roman" w:cs="Times New Roman"/>
          <w:sz w:val="24"/>
          <w:szCs w:val="24"/>
          <w:lang w:val="en-ZW"/>
        </w:rPr>
      </w:pPr>
      <w:r w:rsidRPr="0045758B">
        <w:rPr>
          <w:rFonts w:ascii="Times New Roman" w:hAnsi="Times New Roman" w:cs="Times New Roman"/>
          <w:sz w:val="24"/>
          <w:szCs w:val="24"/>
          <w:lang w:val="en-ZW"/>
        </w:rPr>
        <w:tab/>
        <w:t xml:space="preserve">It was argued </w:t>
      </w:r>
      <w:r>
        <w:rPr>
          <w:rFonts w:ascii="Times New Roman" w:hAnsi="Times New Roman" w:cs="Times New Roman"/>
          <w:sz w:val="24"/>
          <w:szCs w:val="24"/>
          <w:lang w:val="en-ZW"/>
        </w:rPr>
        <w:t xml:space="preserve">on behalf of the first respondent that even assuming that the applicant’s offer was indeed accepted by the first respondent’s letter of 20 October 2015, </w:t>
      </w:r>
      <w:r w:rsidR="009A47F2">
        <w:rPr>
          <w:rFonts w:ascii="Times New Roman" w:hAnsi="Times New Roman" w:cs="Times New Roman"/>
          <w:sz w:val="24"/>
          <w:szCs w:val="24"/>
          <w:lang w:val="en-ZW"/>
        </w:rPr>
        <w:t xml:space="preserve">whatever agreement that ensued was </w:t>
      </w:r>
      <w:r w:rsidR="009A47F2" w:rsidRPr="009A47F2">
        <w:rPr>
          <w:rFonts w:ascii="Times New Roman" w:hAnsi="Times New Roman" w:cs="Times New Roman"/>
          <w:i/>
          <w:sz w:val="24"/>
          <w:szCs w:val="24"/>
          <w:lang w:val="en-ZW"/>
        </w:rPr>
        <w:t xml:space="preserve">void ab initio </w:t>
      </w:r>
      <w:r w:rsidR="009A47F2">
        <w:rPr>
          <w:rFonts w:ascii="Times New Roman" w:hAnsi="Times New Roman" w:cs="Times New Roman"/>
          <w:sz w:val="24"/>
          <w:szCs w:val="24"/>
          <w:lang w:val="en-ZW"/>
        </w:rPr>
        <w:t xml:space="preserve">for want of compliance with s 120 of the Administration of Estate Act. </w:t>
      </w:r>
      <w:r w:rsidR="007C654E">
        <w:rPr>
          <w:rFonts w:ascii="Times New Roman" w:hAnsi="Times New Roman" w:cs="Times New Roman"/>
          <w:sz w:val="24"/>
          <w:szCs w:val="24"/>
          <w:lang w:val="en-ZW"/>
        </w:rPr>
        <w:t>That section states as follows:</w:t>
      </w:r>
    </w:p>
    <w:p w14:paraId="22960E4E" w14:textId="0458B318" w:rsidR="007C654E" w:rsidRPr="008B1D8E" w:rsidRDefault="007C654E" w:rsidP="007C654E">
      <w:pPr>
        <w:autoSpaceDE w:val="0"/>
        <w:autoSpaceDN w:val="0"/>
        <w:adjustRightInd w:val="0"/>
        <w:spacing w:after="0" w:line="240" w:lineRule="auto"/>
        <w:ind w:left="720"/>
        <w:jc w:val="both"/>
        <w:rPr>
          <w:rFonts w:ascii="Times New Roman" w:hAnsi="Times New Roman" w:cs="Times New Roman"/>
          <w:lang w:val="en-ZW"/>
        </w:rPr>
      </w:pPr>
      <w:r w:rsidRPr="008B1D8E">
        <w:rPr>
          <w:rFonts w:ascii="Times New Roman" w:hAnsi="Times New Roman" w:cs="Times New Roman"/>
          <w:lang w:val="en-ZW"/>
        </w:rPr>
        <w:t>“If, after due inquiry, the Master is of opinion that it would be to the advantage of persons interested in the estate to sell any property belonging to such estate otherwise than by public auction he may, if the will of the deceased contains no provisions to the contrary, grant the necessary authority to the executor so to act.”</w:t>
      </w:r>
    </w:p>
    <w:p w14:paraId="422D72D0" w14:textId="77777777" w:rsidR="007C654E" w:rsidRPr="008B1D8E" w:rsidRDefault="007C654E" w:rsidP="007C654E">
      <w:pPr>
        <w:autoSpaceDE w:val="0"/>
        <w:autoSpaceDN w:val="0"/>
        <w:adjustRightInd w:val="0"/>
        <w:spacing w:after="0" w:line="240" w:lineRule="auto"/>
        <w:ind w:left="720"/>
        <w:jc w:val="both"/>
        <w:rPr>
          <w:rFonts w:ascii="Times New Roman" w:hAnsi="Times New Roman" w:cs="Times New Roman"/>
          <w:lang w:val="en-ZW"/>
        </w:rPr>
      </w:pPr>
    </w:p>
    <w:p w14:paraId="51635527" w14:textId="694267CF" w:rsidR="00B64932" w:rsidRDefault="007C654E" w:rsidP="00B64932">
      <w:pPr>
        <w:autoSpaceDE w:val="0"/>
        <w:autoSpaceDN w:val="0"/>
        <w:adjustRightInd w:val="0"/>
        <w:spacing w:after="0" w:line="360" w:lineRule="auto"/>
        <w:ind w:firstLine="720"/>
        <w:jc w:val="both"/>
        <w:rPr>
          <w:rFonts w:ascii="Times New Roman" w:eastAsiaTheme="minorEastAsia" w:hAnsi="Times New Roman" w:cs="Times New Roman"/>
          <w:sz w:val="24"/>
          <w:szCs w:val="24"/>
          <w:lang w:val="en-ZW" w:eastAsia="en-ZW"/>
        </w:rPr>
      </w:pPr>
      <w:r>
        <w:rPr>
          <w:rFonts w:ascii="Times New Roman" w:hAnsi="Times New Roman" w:cs="Times New Roman"/>
          <w:sz w:val="24"/>
          <w:szCs w:val="24"/>
          <w:lang w:val="en-ZW"/>
        </w:rPr>
        <w:t xml:space="preserve">The applicant’s counsel submitted that the </w:t>
      </w:r>
      <w:r w:rsidR="009614F3">
        <w:rPr>
          <w:rFonts w:ascii="Times New Roman" w:hAnsi="Times New Roman" w:cs="Times New Roman"/>
          <w:sz w:val="24"/>
          <w:szCs w:val="24"/>
          <w:lang w:val="en-ZW"/>
        </w:rPr>
        <w:t xml:space="preserve">above section was not applicable to this case because what was on sale was an asset of a company and not shares held by the deceased in the company. I agree with that interpretation of the law. The position advocated for by the first respondent and the case authority cited in his heads of argument applies where one seeks to sell the assets or property of the deceased. Assets of a company in which deceased person held shares do </w:t>
      </w:r>
      <w:r w:rsidR="00B64932">
        <w:rPr>
          <w:rFonts w:ascii="Times New Roman" w:hAnsi="Times New Roman" w:cs="Times New Roman"/>
          <w:sz w:val="24"/>
          <w:szCs w:val="24"/>
          <w:lang w:val="en-ZW"/>
        </w:rPr>
        <w:t xml:space="preserve">form part of the deceased’s estate. The second respondent’s consent is required under s 120 in respect of those assets that form part of the deceased’s estate. In </w:t>
      </w:r>
      <w:r w:rsidR="00B64932" w:rsidRPr="00B64932">
        <w:rPr>
          <w:rFonts w:ascii="Times New Roman" w:eastAsiaTheme="minorEastAsia" w:hAnsi="Times New Roman" w:cs="Times New Roman"/>
          <w:i/>
          <w:sz w:val="24"/>
          <w:szCs w:val="24"/>
          <w:lang w:val="en-ZW" w:eastAsia="en-ZW"/>
        </w:rPr>
        <w:t xml:space="preserve">Salma Ebrahim </w:t>
      </w:r>
      <w:r w:rsidR="00B64932" w:rsidRPr="008B1D8E">
        <w:rPr>
          <w:rFonts w:ascii="Times New Roman" w:eastAsiaTheme="minorEastAsia" w:hAnsi="Times New Roman" w:cs="Times New Roman"/>
          <w:sz w:val="24"/>
          <w:szCs w:val="24"/>
          <w:lang w:val="en-ZW" w:eastAsia="en-ZW"/>
        </w:rPr>
        <w:t>v</w:t>
      </w:r>
      <w:r w:rsidR="00B64932" w:rsidRPr="00B64932">
        <w:rPr>
          <w:rFonts w:ascii="Times New Roman" w:eastAsiaTheme="minorEastAsia" w:hAnsi="Times New Roman" w:cs="Times New Roman"/>
          <w:i/>
          <w:sz w:val="24"/>
          <w:szCs w:val="24"/>
          <w:lang w:val="en-ZW" w:eastAsia="en-ZW"/>
        </w:rPr>
        <w:t xml:space="preserve"> Attiya Ebrahim (In Her Capacity </w:t>
      </w:r>
      <w:r w:rsidR="00B64932">
        <w:rPr>
          <w:rFonts w:ascii="Times New Roman" w:eastAsiaTheme="minorEastAsia" w:hAnsi="Times New Roman" w:cs="Times New Roman"/>
          <w:i/>
          <w:sz w:val="24"/>
          <w:szCs w:val="24"/>
          <w:lang w:val="en-ZW" w:eastAsia="en-ZW"/>
        </w:rPr>
        <w:t>a</w:t>
      </w:r>
      <w:r w:rsidR="00B64932" w:rsidRPr="00B64932">
        <w:rPr>
          <w:rFonts w:ascii="Times New Roman" w:eastAsiaTheme="minorEastAsia" w:hAnsi="Times New Roman" w:cs="Times New Roman"/>
          <w:i/>
          <w:sz w:val="24"/>
          <w:szCs w:val="24"/>
          <w:lang w:val="en-ZW" w:eastAsia="en-ZW"/>
        </w:rPr>
        <w:t xml:space="preserve">s Executrix Dative </w:t>
      </w:r>
      <w:r w:rsidR="00B64932">
        <w:rPr>
          <w:rFonts w:ascii="Times New Roman" w:eastAsiaTheme="minorEastAsia" w:hAnsi="Times New Roman" w:cs="Times New Roman"/>
          <w:i/>
          <w:sz w:val="24"/>
          <w:szCs w:val="24"/>
          <w:lang w:val="en-ZW" w:eastAsia="en-ZW"/>
        </w:rPr>
        <w:t>o</w:t>
      </w:r>
      <w:r w:rsidR="00B64932" w:rsidRPr="00B64932">
        <w:rPr>
          <w:rFonts w:ascii="Times New Roman" w:eastAsiaTheme="minorEastAsia" w:hAnsi="Times New Roman" w:cs="Times New Roman"/>
          <w:i/>
          <w:sz w:val="24"/>
          <w:szCs w:val="24"/>
          <w:lang w:val="en-ZW" w:eastAsia="en-ZW"/>
        </w:rPr>
        <w:t xml:space="preserve">f Estate Late Basheer Ahmed Ebrahim) </w:t>
      </w:r>
      <w:r w:rsidR="008B1D8E">
        <w:rPr>
          <w:rFonts w:ascii="Times New Roman" w:eastAsiaTheme="minorEastAsia" w:hAnsi="Times New Roman" w:cs="Times New Roman"/>
          <w:i/>
          <w:sz w:val="24"/>
          <w:szCs w:val="24"/>
          <w:lang w:val="en-ZW" w:eastAsia="en-ZW"/>
        </w:rPr>
        <w:t>&amp;</w:t>
      </w:r>
      <w:r w:rsidR="00B64932" w:rsidRPr="00B64932">
        <w:rPr>
          <w:rFonts w:ascii="Times New Roman" w:eastAsiaTheme="minorEastAsia" w:hAnsi="Times New Roman" w:cs="Times New Roman"/>
          <w:i/>
          <w:sz w:val="24"/>
          <w:szCs w:val="24"/>
          <w:lang w:val="en-ZW" w:eastAsia="en-ZW"/>
        </w:rPr>
        <w:t xml:space="preserve"> 6 Ors</w:t>
      </w:r>
      <w:r w:rsidR="00B64932">
        <w:rPr>
          <w:rStyle w:val="FootnoteReference"/>
          <w:rFonts w:ascii="Times New Roman" w:eastAsiaTheme="minorEastAsia" w:hAnsi="Times New Roman" w:cs="Times New Roman"/>
          <w:i/>
          <w:sz w:val="24"/>
          <w:szCs w:val="24"/>
          <w:lang w:val="en-ZW" w:eastAsia="en-ZW"/>
        </w:rPr>
        <w:footnoteReference w:id="4"/>
      </w:r>
      <w:r w:rsidR="00B64932">
        <w:rPr>
          <w:rFonts w:ascii="Times New Roman" w:eastAsiaTheme="minorEastAsia" w:hAnsi="Times New Roman" w:cs="Times New Roman"/>
          <w:sz w:val="24"/>
          <w:szCs w:val="24"/>
          <w:lang w:val="en-ZW" w:eastAsia="en-ZW"/>
        </w:rPr>
        <w:t xml:space="preserve">, </w:t>
      </w:r>
      <w:r w:rsidR="008B1D8E" w:rsidRPr="008B1D8E">
        <w:rPr>
          <w:rFonts w:ascii="Times New Roman" w:eastAsiaTheme="minorEastAsia" w:hAnsi="Times New Roman" w:cs="Times New Roman"/>
          <w:smallCaps/>
          <w:sz w:val="24"/>
          <w:szCs w:val="24"/>
          <w:lang w:val="en-ZW" w:eastAsia="en-ZW"/>
        </w:rPr>
        <w:t>Chitakunye J</w:t>
      </w:r>
      <w:r w:rsidR="008B1D8E">
        <w:rPr>
          <w:rFonts w:ascii="Times New Roman" w:eastAsiaTheme="minorEastAsia" w:hAnsi="Times New Roman" w:cs="Times New Roman"/>
          <w:sz w:val="24"/>
          <w:szCs w:val="24"/>
          <w:lang w:val="en-ZW" w:eastAsia="en-ZW"/>
        </w:rPr>
        <w:t xml:space="preserve"> </w:t>
      </w:r>
      <w:r w:rsidR="00B64932">
        <w:rPr>
          <w:rFonts w:ascii="Times New Roman" w:eastAsiaTheme="minorEastAsia" w:hAnsi="Times New Roman" w:cs="Times New Roman"/>
          <w:sz w:val="24"/>
          <w:szCs w:val="24"/>
          <w:lang w:val="en-ZW" w:eastAsia="en-ZW"/>
        </w:rPr>
        <w:t>(as he was then), made the following pertinent remarks:</w:t>
      </w:r>
    </w:p>
    <w:p w14:paraId="157340F9" w14:textId="4B9E6377" w:rsidR="00B64932" w:rsidRPr="00B64932" w:rsidRDefault="00B64932" w:rsidP="00497287">
      <w:pPr>
        <w:autoSpaceDE w:val="0"/>
        <w:autoSpaceDN w:val="0"/>
        <w:adjustRightInd w:val="0"/>
        <w:spacing w:line="240" w:lineRule="auto"/>
        <w:ind w:left="720"/>
        <w:jc w:val="both"/>
        <w:rPr>
          <w:rFonts w:ascii="Times New Roman" w:eastAsiaTheme="minorEastAsia" w:hAnsi="Times New Roman" w:cs="Times New Roman"/>
          <w:lang w:val="en-ZW" w:eastAsia="en-ZW"/>
        </w:rPr>
      </w:pPr>
      <w:r w:rsidRPr="00B64932">
        <w:rPr>
          <w:rFonts w:ascii="Times New Roman" w:eastAsiaTheme="minorEastAsia" w:hAnsi="Times New Roman" w:cs="Times New Roman"/>
          <w:lang w:val="en-ZW" w:eastAsia="en-ZW"/>
        </w:rPr>
        <w:t>“</w:t>
      </w:r>
      <w:r w:rsidRPr="00B64932">
        <w:rPr>
          <w:rFonts w:ascii="Times New Roman" w:hAnsi="Times New Roman" w:cs="Times New Roman"/>
        </w:rPr>
        <w:t xml:space="preserve">It is trite law that a company is a separate legal entity, which conducts its own affairs separately from its shareholders. The case of </w:t>
      </w:r>
      <w:r w:rsidRPr="00B64932">
        <w:rPr>
          <w:rFonts w:ascii="Times New Roman" w:hAnsi="Times New Roman" w:cs="Times New Roman"/>
          <w:i/>
        </w:rPr>
        <w:t>Salomon v Salomon</w:t>
      </w:r>
      <w:r w:rsidRPr="00B64932">
        <w:rPr>
          <w:rFonts w:ascii="Times New Roman" w:hAnsi="Times New Roman" w:cs="Times New Roman"/>
        </w:rPr>
        <w:t xml:space="preserve"> </w:t>
      </w:r>
      <w:r w:rsidRPr="00B64932">
        <w:rPr>
          <w:rFonts w:ascii="Times New Roman" w:hAnsi="Times New Roman" w:cs="Times New Roman"/>
          <w:i/>
        </w:rPr>
        <w:t>&amp;Co. Ltd</w:t>
      </w:r>
      <w:r w:rsidRPr="00B64932">
        <w:rPr>
          <w:rFonts w:ascii="Times New Roman" w:hAnsi="Times New Roman" w:cs="Times New Roman"/>
        </w:rPr>
        <w:t xml:space="preserve"> [1897] A C 22 (HL) long established the legal fiction of the corporate veil, which enunciates that a company has a legal personality separate and independent from the identity of its shareholders. In that regard, any rights, obligations or liabilities of a company are discrete from those of its shareholders, where the latter are responsible only to the extent of their capital contributions, known as ‘limited liability’</w:t>
      </w:r>
      <w:r>
        <w:rPr>
          <w:rFonts w:ascii="Times New Roman" w:hAnsi="Times New Roman" w:cs="Times New Roman"/>
        </w:rPr>
        <w:t>.”</w:t>
      </w:r>
    </w:p>
    <w:p w14:paraId="165AA7CC" w14:textId="41155AB2" w:rsidR="00B64932" w:rsidRDefault="00B64932" w:rsidP="00B64932">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Further down in the same judgment, the learned </w:t>
      </w:r>
      <w:r w:rsidR="00497287">
        <w:rPr>
          <w:rFonts w:ascii="Times New Roman" w:hAnsi="Times New Roman" w:cs="Times New Roman"/>
          <w:sz w:val="24"/>
          <w:szCs w:val="24"/>
          <w:lang w:val="en-ZW"/>
        </w:rPr>
        <w:t>judge observed as follows:</w:t>
      </w:r>
    </w:p>
    <w:p w14:paraId="59D78033" w14:textId="7D8CEE2F" w:rsidR="00497287" w:rsidRPr="00497287" w:rsidRDefault="00497287" w:rsidP="00497287">
      <w:pPr>
        <w:autoSpaceDE w:val="0"/>
        <w:autoSpaceDN w:val="0"/>
        <w:adjustRightInd w:val="0"/>
        <w:spacing w:line="240" w:lineRule="auto"/>
        <w:ind w:left="720"/>
        <w:jc w:val="both"/>
        <w:rPr>
          <w:rFonts w:ascii="Times New Roman" w:eastAsiaTheme="minorEastAsia" w:hAnsi="Times New Roman" w:cs="Times New Roman"/>
          <w:lang w:val="en-ZW" w:eastAsia="en-ZW"/>
        </w:rPr>
      </w:pPr>
      <w:r w:rsidRPr="00497287">
        <w:rPr>
          <w:rFonts w:ascii="Times New Roman" w:hAnsi="Times New Roman" w:cs="Times New Roman"/>
          <w:lang w:val="en-ZW"/>
        </w:rPr>
        <w:t>“</w:t>
      </w:r>
      <w:r w:rsidRPr="00497287">
        <w:rPr>
          <w:rFonts w:ascii="Times New Roman" w:eastAsiaTheme="minorEastAsia" w:hAnsi="Times New Roman" w:cs="Times New Roman"/>
          <w:lang w:val="en-ZW" w:eastAsia="en-ZW"/>
        </w:rPr>
        <w:t>The deceased’s interest as a shareholder extended only to the shares that the deceased had in those companies. It is thus only where the sale pertains to the sale of the deceased’s shares in the companies that the fifth respondent’s consent would be required.”</w:t>
      </w:r>
      <w:r w:rsidR="00D3156C">
        <w:rPr>
          <w:rStyle w:val="FootnoteReference"/>
          <w:rFonts w:ascii="Times New Roman" w:eastAsiaTheme="minorEastAsia" w:hAnsi="Times New Roman" w:cs="Times New Roman"/>
          <w:lang w:val="en-ZW" w:eastAsia="en-ZW"/>
        </w:rPr>
        <w:footnoteReference w:id="5"/>
      </w:r>
    </w:p>
    <w:p w14:paraId="1538610D" w14:textId="2E11CCB6" w:rsidR="00497287" w:rsidRPr="007C654E" w:rsidRDefault="00497287" w:rsidP="00497287">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It is trite that upon its incorporation, a company assumes a separate legal personality, which enables it to conduct its own affairs independent of its shareholders or directors. I</w:t>
      </w:r>
      <w:r w:rsidR="00DD44E1">
        <w:rPr>
          <w:rFonts w:ascii="Times New Roman" w:hAnsi="Times New Roman" w:cs="Times New Roman"/>
          <w:sz w:val="24"/>
          <w:szCs w:val="24"/>
          <w:lang w:val="en-ZW"/>
        </w:rPr>
        <w:t>t</w:t>
      </w:r>
      <w:r>
        <w:rPr>
          <w:rFonts w:ascii="Times New Roman" w:hAnsi="Times New Roman" w:cs="Times New Roman"/>
          <w:sz w:val="24"/>
          <w:szCs w:val="24"/>
          <w:lang w:val="en-ZW"/>
        </w:rPr>
        <w:t xml:space="preserve"> can acquire assets and dispose of such assets on condition </w:t>
      </w:r>
      <w:r w:rsidR="00DD44E1">
        <w:rPr>
          <w:rFonts w:ascii="Times New Roman" w:hAnsi="Times New Roman" w:cs="Times New Roman"/>
          <w:sz w:val="24"/>
          <w:szCs w:val="24"/>
          <w:lang w:val="en-ZW"/>
        </w:rPr>
        <w:t xml:space="preserve">that </w:t>
      </w:r>
      <w:r>
        <w:rPr>
          <w:rFonts w:ascii="Times New Roman" w:hAnsi="Times New Roman" w:cs="Times New Roman"/>
          <w:sz w:val="24"/>
          <w:szCs w:val="24"/>
          <w:lang w:val="en-ZW"/>
        </w:rPr>
        <w:t xml:space="preserve">the relevant legal instruments that regulate its </w:t>
      </w:r>
      <w:r>
        <w:rPr>
          <w:rFonts w:ascii="Times New Roman" w:hAnsi="Times New Roman" w:cs="Times New Roman"/>
          <w:sz w:val="24"/>
          <w:szCs w:val="24"/>
          <w:lang w:val="en-ZW"/>
        </w:rPr>
        <w:lastRenderedPageBreak/>
        <w:t>own affairs have been</w:t>
      </w:r>
      <w:r w:rsidR="00402FA6">
        <w:rPr>
          <w:rFonts w:ascii="Times New Roman" w:hAnsi="Times New Roman" w:cs="Times New Roman"/>
          <w:sz w:val="24"/>
          <w:szCs w:val="24"/>
          <w:lang w:val="en-ZW"/>
        </w:rPr>
        <w:t xml:space="preserve"> engaged and</w:t>
      </w:r>
      <w:r>
        <w:rPr>
          <w:rFonts w:ascii="Times New Roman" w:hAnsi="Times New Roman" w:cs="Times New Roman"/>
          <w:sz w:val="24"/>
          <w:szCs w:val="24"/>
          <w:lang w:val="en-ZW"/>
        </w:rPr>
        <w:t xml:space="preserve"> complied with. Whether the acceptance of the offer was made pursuant to a resolution of the directors of the company was never an issue before the court. The applicant’s letter of 20 October 2015 shows that in previous discussions between the parties, it had been “resolved” that the property be sold in order to settle the debts that Maurizim owed to creditors. </w:t>
      </w:r>
    </w:p>
    <w:p w14:paraId="18BB88E6" w14:textId="77777777" w:rsidR="00D3156C" w:rsidRDefault="00D026DD" w:rsidP="00497287">
      <w:pPr>
        <w:spacing w:after="0" w:line="360" w:lineRule="auto"/>
        <w:jc w:val="both"/>
        <w:rPr>
          <w:rFonts w:ascii="Times New Roman" w:hAnsi="Times New Roman" w:cs="Times New Roman"/>
          <w:color w:val="FF0000"/>
          <w:sz w:val="24"/>
          <w:szCs w:val="24"/>
        </w:rPr>
      </w:pPr>
      <w:r w:rsidRPr="00497287">
        <w:rPr>
          <w:rFonts w:ascii="Times New Roman" w:hAnsi="Times New Roman" w:cs="Times New Roman"/>
          <w:sz w:val="24"/>
          <w:szCs w:val="24"/>
          <w:lang w:val="en-ZW"/>
        </w:rPr>
        <w:tab/>
      </w:r>
      <w:r w:rsidR="00497287" w:rsidRPr="00497287">
        <w:rPr>
          <w:rFonts w:ascii="Times New Roman" w:hAnsi="Times New Roman" w:cs="Times New Roman"/>
          <w:sz w:val="24"/>
          <w:szCs w:val="24"/>
          <w:lang w:val="en-ZW"/>
        </w:rPr>
        <w:t xml:space="preserve">For the </w:t>
      </w:r>
      <w:r w:rsidR="00497287">
        <w:rPr>
          <w:rFonts w:ascii="Times New Roman" w:hAnsi="Times New Roman" w:cs="Times New Roman"/>
          <w:sz w:val="24"/>
          <w:szCs w:val="24"/>
          <w:lang w:val="en-ZW"/>
        </w:rPr>
        <w:t>foregoing reasons, the court determines that the authority of the second</w:t>
      </w:r>
      <w:r w:rsidR="00D3156C">
        <w:rPr>
          <w:rFonts w:ascii="Times New Roman" w:hAnsi="Times New Roman" w:cs="Times New Roman"/>
          <w:sz w:val="24"/>
          <w:szCs w:val="24"/>
          <w:lang w:val="en-ZW"/>
        </w:rPr>
        <w:t xml:space="preserve"> respondent was not required before the property could be sold. The property is an asset of the company and does not form part of the deceased’s estate. The second respondent’s authority was only required in the event of the sale of the deceased’s shares in the company.</w:t>
      </w:r>
      <w:r w:rsidR="00C2273B" w:rsidRPr="00497287">
        <w:rPr>
          <w:rFonts w:ascii="Times New Roman" w:hAnsi="Times New Roman" w:cs="Times New Roman"/>
          <w:color w:val="FF0000"/>
          <w:sz w:val="24"/>
          <w:szCs w:val="24"/>
        </w:rPr>
        <w:t xml:space="preserve"> </w:t>
      </w:r>
    </w:p>
    <w:p w14:paraId="19DBC6BB" w14:textId="24A9A144" w:rsidR="00D3156C" w:rsidRPr="00D3156C" w:rsidRDefault="00D3156C" w:rsidP="00E664C1">
      <w:pPr>
        <w:spacing w:after="0" w:line="360" w:lineRule="auto"/>
        <w:jc w:val="both"/>
        <w:rPr>
          <w:rFonts w:ascii="Times New Roman" w:hAnsi="Times New Roman" w:cs="Times New Roman"/>
          <w:b/>
          <w:i/>
          <w:sz w:val="24"/>
          <w:szCs w:val="24"/>
        </w:rPr>
      </w:pPr>
      <w:r w:rsidRPr="00D3156C">
        <w:rPr>
          <w:rFonts w:ascii="Times New Roman" w:hAnsi="Times New Roman" w:cs="Times New Roman"/>
          <w:b/>
          <w:i/>
          <w:sz w:val="24"/>
          <w:szCs w:val="24"/>
        </w:rPr>
        <w:t xml:space="preserve">Is there a valid agreement between the applicant and the first respondent? </w:t>
      </w:r>
    </w:p>
    <w:p w14:paraId="2C27162B" w14:textId="0370FA59" w:rsidR="00C2273B" w:rsidRDefault="00D3156C" w:rsidP="00D3156C">
      <w:pPr>
        <w:spacing w:after="0" w:line="360" w:lineRule="auto"/>
        <w:ind w:firstLine="720"/>
        <w:jc w:val="both"/>
        <w:rPr>
          <w:rFonts w:ascii="Times New Roman" w:hAnsi="Times New Roman" w:cs="Times New Roman"/>
          <w:sz w:val="24"/>
          <w:szCs w:val="24"/>
        </w:rPr>
      </w:pPr>
      <w:r w:rsidRPr="00D3156C">
        <w:rPr>
          <w:rFonts w:ascii="Times New Roman" w:hAnsi="Times New Roman" w:cs="Times New Roman"/>
          <w:sz w:val="24"/>
          <w:szCs w:val="24"/>
        </w:rPr>
        <w:t xml:space="preserve">The court further determines that the first respondent’s letter of 20 October 2015, which was a response to the applicant’s offer to purchase </w:t>
      </w:r>
      <w:r w:rsidR="008B1D8E">
        <w:rPr>
          <w:rFonts w:ascii="Times New Roman" w:hAnsi="Times New Roman" w:cs="Times New Roman"/>
          <w:sz w:val="24"/>
          <w:szCs w:val="24"/>
        </w:rPr>
        <w:t>S</w:t>
      </w:r>
      <w:r w:rsidRPr="00D3156C">
        <w:rPr>
          <w:rFonts w:ascii="Times New Roman" w:hAnsi="Times New Roman" w:cs="Times New Roman"/>
          <w:sz w:val="24"/>
          <w:szCs w:val="24"/>
        </w:rPr>
        <w:t xml:space="preserve">tand 10245 Glenview Township, Glenview, Harare, constituted an acceptance of the offer. The acceptance of the offer created a legally binding agreement between the parties. </w:t>
      </w:r>
    </w:p>
    <w:p w14:paraId="1A9C8393" w14:textId="28A5B4F0" w:rsidR="00D3156C" w:rsidRPr="00D3156C" w:rsidRDefault="00D3156C" w:rsidP="00D315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period within which the purchase price ought to have been </w:t>
      </w:r>
      <w:r w:rsidR="00DD44E1">
        <w:rPr>
          <w:rFonts w:ascii="Times New Roman" w:hAnsi="Times New Roman" w:cs="Times New Roman"/>
          <w:sz w:val="24"/>
          <w:szCs w:val="24"/>
        </w:rPr>
        <w:t xml:space="preserve">paid </w:t>
      </w:r>
      <w:r w:rsidR="007C45C3">
        <w:rPr>
          <w:rFonts w:ascii="Times New Roman" w:hAnsi="Times New Roman" w:cs="Times New Roman"/>
          <w:sz w:val="24"/>
          <w:szCs w:val="24"/>
        </w:rPr>
        <w:t>is not stated. The first defendant admitted receivin</w:t>
      </w:r>
      <w:r w:rsidR="008B1D8E">
        <w:rPr>
          <w:rFonts w:ascii="Times New Roman" w:hAnsi="Times New Roman" w:cs="Times New Roman"/>
          <w:sz w:val="24"/>
          <w:szCs w:val="24"/>
        </w:rPr>
        <w:t>g in trust the sum of US$19 800</w:t>
      </w:r>
      <w:r w:rsidR="007C45C3">
        <w:rPr>
          <w:rFonts w:ascii="Times New Roman" w:hAnsi="Times New Roman" w:cs="Times New Roman"/>
          <w:sz w:val="24"/>
          <w:szCs w:val="24"/>
        </w:rPr>
        <w:t xml:space="preserve">. The first respondent however averred that the payment was merely a commitment fee for the exercise of the right of first refusal once all the requisite approvals had been obtained. I have already determined that there is nothing before the court to suggest that the exercise of the right of first refusal was a condition precedent to the sale of the property. The mere fact that the applicant had not paid the full purchase price at the time that this application was launched does not invalidate the </w:t>
      </w:r>
      <w:r w:rsidR="00DD44E1">
        <w:rPr>
          <w:rFonts w:ascii="Times New Roman" w:hAnsi="Times New Roman" w:cs="Times New Roman"/>
          <w:sz w:val="24"/>
          <w:szCs w:val="24"/>
        </w:rPr>
        <w:t>offer which was accepted by the first respondent</w:t>
      </w:r>
      <w:r w:rsidR="007C45C3">
        <w:rPr>
          <w:rFonts w:ascii="Times New Roman" w:hAnsi="Times New Roman" w:cs="Times New Roman"/>
          <w:sz w:val="24"/>
          <w:szCs w:val="24"/>
        </w:rPr>
        <w:t xml:space="preserve">. Having accepted the offer and </w:t>
      </w:r>
      <w:r w:rsidR="00DD44E1">
        <w:rPr>
          <w:rFonts w:ascii="Times New Roman" w:hAnsi="Times New Roman" w:cs="Times New Roman"/>
          <w:sz w:val="24"/>
          <w:szCs w:val="24"/>
        </w:rPr>
        <w:t xml:space="preserve">the </w:t>
      </w:r>
      <w:r w:rsidR="00402FA6">
        <w:rPr>
          <w:rFonts w:ascii="Times New Roman" w:hAnsi="Times New Roman" w:cs="Times New Roman"/>
          <w:sz w:val="24"/>
          <w:szCs w:val="24"/>
        </w:rPr>
        <w:t xml:space="preserve">part </w:t>
      </w:r>
      <w:r w:rsidR="007C45C3">
        <w:rPr>
          <w:rFonts w:ascii="Times New Roman" w:hAnsi="Times New Roman" w:cs="Times New Roman"/>
          <w:sz w:val="24"/>
          <w:szCs w:val="24"/>
        </w:rPr>
        <w:t xml:space="preserve">payment of the purchase price, it was incumbent upon the seller to place the applicant in </w:t>
      </w:r>
      <w:r w:rsidR="007C45C3" w:rsidRPr="007C45C3">
        <w:rPr>
          <w:rFonts w:ascii="Times New Roman" w:hAnsi="Times New Roman" w:cs="Times New Roman"/>
          <w:i/>
          <w:sz w:val="24"/>
          <w:szCs w:val="24"/>
        </w:rPr>
        <w:t>mora</w:t>
      </w:r>
      <w:r w:rsidR="007C45C3">
        <w:rPr>
          <w:rFonts w:ascii="Times New Roman" w:hAnsi="Times New Roman" w:cs="Times New Roman"/>
          <w:sz w:val="24"/>
          <w:szCs w:val="24"/>
        </w:rPr>
        <w:t xml:space="preserve"> before terminating the agreement. </w:t>
      </w:r>
    </w:p>
    <w:p w14:paraId="02A3BF0A" w14:textId="77777777" w:rsidR="00F65F6D" w:rsidRPr="00F65F6D" w:rsidRDefault="00F65F6D" w:rsidP="00607B83">
      <w:pPr>
        <w:spacing w:after="0" w:line="360" w:lineRule="auto"/>
        <w:jc w:val="both"/>
        <w:rPr>
          <w:rFonts w:ascii="Times New Roman" w:hAnsi="Times New Roman" w:cs="Times New Roman"/>
          <w:b/>
          <w:sz w:val="24"/>
          <w:szCs w:val="24"/>
        </w:rPr>
      </w:pPr>
      <w:r w:rsidRPr="00F65F6D">
        <w:rPr>
          <w:rFonts w:ascii="Times New Roman" w:hAnsi="Times New Roman" w:cs="Times New Roman"/>
          <w:b/>
          <w:sz w:val="24"/>
          <w:szCs w:val="24"/>
        </w:rPr>
        <w:t xml:space="preserve">Costs of </w:t>
      </w:r>
      <w:r w:rsidR="00C979B3">
        <w:rPr>
          <w:rFonts w:ascii="Times New Roman" w:hAnsi="Times New Roman" w:cs="Times New Roman"/>
          <w:b/>
          <w:sz w:val="24"/>
          <w:szCs w:val="24"/>
        </w:rPr>
        <w:t>S</w:t>
      </w:r>
      <w:r w:rsidRPr="00F65F6D">
        <w:rPr>
          <w:rFonts w:ascii="Times New Roman" w:hAnsi="Times New Roman" w:cs="Times New Roman"/>
          <w:b/>
          <w:sz w:val="24"/>
          <w:szCs w:val="24"/>
        </w:rPr>
        <w:t>uit</w:t>
      </w:r>
    </w:p>
    <w:p w14:paraId="5EE48D6A" w14:textId="1965EA3A" w:rsidR="00F65F6D" w:rsidRDefault="00F65F6D" w:rsidP="00607B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Costs follow the event. I find no reason to de</w:t>
      </w:r>
      <w:r w:rsidR="00402FA6">
        <w:rPr>
          <w:rFonts w:ascii="Times New Roman" w:hAnsi="Times New Roman" w:cs="Times New Roman"/>
          <w:sz w:val="24"/>
          <w:szCs w:val="24"/>
        </w:rPr>
        <w:t xml:space="preserve">part from this general rule. The applicant must be awarded </w:t>
      </w:r>
      <w:r w:rsidR="007C45C3">
        <w:rPr>
          <w:rFonts w:ascii="Times New Roman" w:hAnsi="Times New Roman" w:cs="Times New Roman"/>
          <w:sz w:val="24"/>
          <w:szCs w:val="24"/>
        </w:rPr>
        <w:t xml:space="preserve">costs of suit as the successful party. </w:t>
      </w:r>
    </w:p>
    <w:p w14:paraId="011210DA" w14:textId="77777777" w:rsidR="00F65F6D" w:rsidRPr="00A402A3" w:rsidRDefault="00F65F6D" w:rsidP="00F65F6D">
      <w:pPr>
        <w:pStyle w:val="Default"/>
        <w:spacing w:line="360" w:lineRule="auto"/>
        <w:jc w:val="both"/>
        <w:rPr>
          <w:rFonts w:ascii="Times New Roman" w:hAnsi="Times New Roman" w:cs="Times New Roman"/>
          <w:b/>
        </w:rPr>
      </w:pPr>
      <w:r w:rsidRPr="00A402A3">
        <w:rPr>
          <w:rFonts w:ascii="Times New Roman" w:hAnsi="Times New Roman" w:cs="Times New Roman"/>
          <w:b/>
        </w:rPr>
        <w:t xml:space="preserve">DISPOSITION </w:t>
      </w:r>
    </w:p>
    <w:p w14:paraId="2D1D308C" w14:textId="6247BDED" w:rsidR="00F65F6D" w:rsidRPr="00EC3218" w:rsidRDefault="008E15EB" w:rsidP="00F65F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r>
      <w:r w:rsidR="00F65F6D" w:rsidRPr="00EC3218">
        <w:rPr>
          <w:rFonts w:ascii="Times New Roman" w:hAnsi="Times New Roman" w:cs="Times New Roman"/>
          <w:b/>
          <w:sz w:val="24"/>
          <w:szCs w:val="24"/>
        </w:rPr>
        <w:t xml:space="preserve">Accordingly it is </w:t>
      </w:r>
      <w:r w:rsidR="00D3156C">
        <w:rPr>
          <w:rFonts w:ascii="Times New Roman" w:hAnsi="Times New Roman" w:cs="Times New Roman"/>
          <w:b/>
          <w:sz w:val="24"/>
          <w:szCs w:val="24"/>
        </w:rPr>
        <w:t xml:space="preserve">declared and </w:t>
      </w:r>
      <w:r w:rsidR="00F65F6D" w:rsidRPr="00EC3218">
        <w:rPr>
          <w:rFonts w:ascii="Times New Roman" w:hAnsi="Times New Roman" w:cs="Times New Roman"/>
          <w:b/>
          <w:sz w:val="24"/>
          <w:szCs w:val="24"/>
        </w:rPr>
        <w:t>ordered as follows:</w:t>
      </w:r>
    </w:p>
    <w:p w14:paraId="246D5C52" w14:textId="50F71BCE" w:rsidR="007C45C3" w:rsidRDefault="00F65F6D" w:rsidP="007C45C3">
      <w:pPr>
        <w:pStyle w:val="ListParagraph"/>
        <w:numPr>
          <w:ilvl w:val="0"/>
          <w:numId w:val="8"/>
        </w:numPr>
        <w:tabs>
          <w:tab w:val="left" w:pos="1080"/>
        </w:tabs>
        <w:spacing w:after="0" w:line="360" w:lineRule="auto"/>
        <w:ind w:left="1134" w:hanging="414"/>
        <w:jc w:val="both"/>
        <w:rPr>
          <w:rFonts w:ascii="Times New Roman" w:hAnsi="Times New Roman" w:cs="Times New Roman"/>
          <w:sz w:val="24"/>
          <w:szCs w:val="24"/>
        </w:rPr>
      </w:pPr>
      <w:r w:rsidRPr="00BC2FC5">
        <w:rPr>
          <w:rFonts w:ascii="Times New Roman" w:hAnsi="Times New Roman" w:cs="Times New Roman"/>
          <w:sz w:val="24"/>
          <w:szCs w:val="24"/>
        </w:rPr>
        <w:t>The</w:t>
      </w:r>
      <w:r>
        <w:rPr>
          <w:rFonts w:ascii="Times New Roman" w:hAnsi="Times New Roman" w:cs="Times New Roman"/>
          <w:sz w:val="24"/>
          <w:szCs w:val="24"/>
        </w:rPr>
        <w:t xml:space="preserve"> </w:t>
      </w:r>
      <w:r w:rsidR="007C45C3">
        <w:rPr>
          <w:rFonts w:ascii="Times New Roman" w:hAnsi="Times New Roman" w:cs="Times New Roman"/>
          <w:sz w:val="24"/>
          <w:szCs w:val="24"/>
        </w:rPr>
        <w:t xml:space="preserve">offer by the applicant and the acceptance by the first respondent to sale half share of Stand 10245 Glen View Township, Glenview, which is registered in the name of a </w:t>
      </w:r>
      <w:r w:rsidR="007C45C3">
        <w:rPr>
          <w:rFonts w:ascii="Times New Roman" w:hAnsi="Times New Roman" w:cs="Times New Roman"/>
          <w:sz w:val="24"/>
          <w:szCs w:val="24"/>
        </w:rPr>
        <w:lastRenderedPageBreak/>
        <w:t xml:space="preserve">company called Maurizm Investments (Private) Limited, created </w:t>
      </w:r>
      <w:r w:rsidR="00DD44E1">
        <w:rPr>
          <w:rFonts w:ascii="Times New Roman" w:hAnsi="Times New Roman" w:cs="Times New Roman"/>
          <w:sz w:val="24"/>
          <w:szCs w:val="24"/>
        </w:rPr>
        <w:t xml:space="preserve">a </w:t>
      </w:r>
      <w:r w:rsidR="007C45C3">
        <w:rPr>
          <w:rFonts w:ascii="Times New Roman" w:hAnsi="Times New Roman" w:cs="Times New Roman"/>
          <w:sz w:val="24"/>
          <w:szCs w:val="24"/>
        </w:rPr>
        <w:t>binding contract of sale.</w:t>
      </w:r>
    </w:p>
    <w:p w14:paraId="406790B0" w14:textId="19DC9F67" w:rsidR="006B31BC" w:rsidRDefault="00F65F6D" w:rsidP="008E15EB">
      <w:pPr>
        <w:pStyle w:val="ListParagraph"/>
        <w:numPr>
          <w:ilvl w:val="0"/>
          <w:numId w:val="8"/>
        </w:numPr>
        <w:tabs>
          <w:tab w:val="left" w:pos="1080"/>
        </w:tabs>
        <w:spacing w:after="0" w:line="360" w:lineRule="auto"/>
        <w:ind w:firstLine="0"/>
        <w:jc w:val="both"/>
        <w:rPr>
          <w:rFonts w:ascii="Times New Roman" w:hAnsi="Times New Roman" w:cs="Times New Roman"/>
          <w:sz w:val="24"/>
          <w:szCs w:val="24"/>
        </w:rPr>
      </w:pPr>
      <w:r>
        <w:rPr>
          <w:rFonts w:ascii="Times New Roman" w:hAnsi="Times New Roman" w:cs="Times New Roman"/>
          <w:sz w:val="24"/>
          <w:szCs w:val="24"/>
        </w:rPr>
        <w:t>The</w:t>
      </w:r>
      <w:r w:rsidR="007C45C3">
        <w:rPr>
          <w:rFonts w:ascii="Times New Roman" w:hAnsi="Times New Roman" w:cs="Times New Roman"/>
          <w:sz w:val="24"/>
          <w:szCs w:val="24"/>
        </w:rPr>
        <w:t xml:space="preserve"> first respondent </w:t>
      </w:r>
      <w:r>
        <w:rPr>
          <w:rFonts w:ascii="Times New Roman" w:hAnsi="Times New Roman" w:cs="Times New Roman"/>
          <w:sz w:val="24"/>
          <w:szCs w:val="24"/>
        </w:rPr>
        <w:t>shall pay the</w:t>
      </w:r>
      <w:r w:rsidR="007C45C3">
        <w:rPr>
          <w:rFonts w:ascii="Times New Roman" w:hAnsi="Times New Roman" w:cs="Times New Roman"/>
          <w:sz w:val="24"/>
          <w:szCs w:val="24"/>
        </w:rPr>
        <w:t xml:space="preserve"> applicant</w:t>
      </w:r>
      <w:r>
        <w:rPr>
          <w:rFonts w:ascii="Times New Roman" w:hAnsi="Times New Roman" w:cs="Times New Roman"/>
          <w:sz w:val="24"/>
          <w:szCs w:val="24"/>
        </w:rPr>
        <w:t xml:space="preserve">’s costs of suit.  </w:t>
      </w:r>
    </w:p>
    <w:p w14:paraId="60269623" w14:textId="77777777" w:rsidR="006B31BC" w:rsidRDefault="006B31BC" w:rsidP="006B31BC">
      <w:pPr>
        <w:spacing w:after="0" w:line="360" w:lineRule="auto"/>
        <w:jc w:val="both"/>
        <w:rPr>
          <w:rFonts w:ascii="Times New Roman" w:hAnsi="Times New Roman" w:cs="Times New Roman"/>
          <w:sz w:val="24"/>
          <w:szCs w:val="24"/>
        </w:rPr>
      </w:pPr>
    </w:p>
    <w:p w14:paraId="435AB3A0" w14:textId="77777777" w:rsidR="006B31BC" w:rsidRDefault="006B31BC" w:rsidP="006B31BC">
      <w:pPr>
        <w:spacing w:after="0" w:line="360" w:lineRule="auto"/>
        <w:jc w:val="both"/>
        <w:rPr>
          <w:rFonts w:ascii="Times New Roman" w:hAnsi="Times New Roman" w:cs="Times New Roman"/>
          <w:sz w:val="24"/>
          <w:szCs w:val="24"/>
        </w:rPr>
      </w:pPr>
    </w:p>
    <w:p w14:paraId="7A9C934F" w14:textId="77777777" w:rsidR="008B1D8E" w:rsidRDefault="008B1D8E" w:rsidP="006B31BC">
      <w:pPr>
        <w:spacing w:after="0" w:line="360" w:lineRule="auto"/>
        <w:jc w:val="both"/>
        <w:rPr>
          <w:rFonts w:ascii="Times New Roman" w:hAnsi="Times New Roman" w:cs="Times New Roman"/>
          <w:sz w:val="24"/>
          <w:szCs w:val="24"/>
        </w:rPr>
      </w:pPr>
    </w:p>
    <w:p w14:paraId="09A9E515" w14:textId="77777777" w:rsidR="00F65F6D" w:rsidRDefault="00F65F6D" w:rsidP="00F65F6D">
      <w:pPr>
        <w:spacing w:after="0" w:line="360" w:lineRule="auto"/>
        <w:jc w:val="right"/>
        <w:rPr>
          <w:noProof/>
          <w:lang w:eastAsia="en-ZW"/>
        </w:rPr>
      </w:pPr>
    </w:p>
    <w:p w14:paraId="55C615F1" w14:textId="77777777" w:rsidR="00B10942" w:rsidRDefault="004F4192" w:rsidP="006B31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DNM Attorneys</w:t>
      </w:r>
      <w:r w:rsidR="00B10942">
        <w:rPr>
          <w:rFonts w:ascii="Times New Roman" w:hAnsi="Times New Roman" w:cs="Times New Roman"/>
          <w:sz w:val="24"/>
          <w:szCs w:val="24"/>
        </w:rPr>
        <w:t xml:space="preserve">, </w:t>
      </w:r>
      <w:r>
        <w:rPr>
          <w:rFonts w:ascii="Times New Roman" w:hAnsi="Times New Roman" w:cs="Times New Roman"/>
          <w:sz w:val="24"/>
          <w:szCs w:val="24"/>
        </w:rPr>
        <w:t>applicant</w:t>
      </w:r>
      <w:r w:rsidR="00FB7BA4">
        <w:rPr>
          <w:rFonts w:ascii="Times New Roman" w:hAnsi="Times New Roman" w:cs="Times New Roman"/>
          <w:sz w:val="24"/>
          <w:szCs w:val="24"/>
        </w:rPr>
        <w:t xml:space="preserve">’s </w:t>
      </w:r>
      <w:r w:rsidR="00B10942">
        <w:rPr>
          <w:rFonts w:ascii="Times New Roman" w:hAnsi="Times New Roman" w:cs="Times New Roman"/>
          <w:sz w:val="24"/>
          <w:szCs w:val="24"/>
        </w:rPr>
        <w:t>legal practitioners</w:t>
      </w:r>
    </w:p>
    <w:p w14:paraId="2B44AB0C" w14:textId="5CD9B462" w:rsidR="00B10942" w:rsidRDefault="004F4192" w:rsidP="006B31B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Chigwanda Legal Practitioners</w:t>
      </w:r>
      <w:r w:rsidR="00FB7BA4">
        <w:rPr>
          <w:rFonts w:ascii="Times New Roman" w:hAnsi="Times New Roman" w:cs="Times New Roman"/>
          <w:i/>
          <w:sz w:val="24"/>
          <w:szCs w:val="24"/>
        </w:rPr>
        <w:t xml:space="preserve">, </w:t>
      </w:r>
      <w:r w:rsidR="008B1D8E">
        <w:rPr>
          <w:rFonts w:ascii="Times New Roman" w:hAnsi="Times New Roman" w:cs="Times New Roman"/>
          <w:sz w:val="24"/>
          <w:szCs w:val="24"/>
        </w:rPr>
        <w:t>first</w:t>
      </w:r>
      <w:r>
        <w:rPr>
          <w:rFonts w:ascii="Times New Roman" w:hAnsi="Times New Roman" w:cs="Times New Roman"/>
          <w:sz w:val="24"/>
          <w:szCs w:val="24"/>
        </w:rPr>
        <w:t xml:space="preserve"> respondent’s </w:t>
      </w:r>
      <w:r w:rsidR="00B10942">
        <w:rPr>
          <w:rFonts w:ascii="Times New Roman" w:hAnsi="Times New Roman" w:cs="Times New Roman"/>
          <w:sz w:val="24"/>
          <w:szCs w:val="24"/>
        </w:rPr>
        <w:t>legal practitioners</w:t>
      </w:r>
    </w:p>
    <w:sectPr w:rsidR="00B10942" w:rsidSect="007E08E5">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B4C2D" w14:textId="77777777" w:rsidR="0087689E" w:rsidRDefault="0087689E" w:rsidP="0000054D">
      <w:pPr>
        <w:spacing w:after="0" w:line="240" w:lineRule="auto"/>
      </w:pPr>
      <w:r>
        <w:separator/>
      </w:r>
    </w:p>
  </w:endnote>
  <w:endnote w:type="continuationSeparator" w:id="0">
    <w:p w14:paraId="5177D9A9" w14:textId="77777777" w:rsidR="0087689E" w:rsidRDefault="0087689E" w:rsidP="00000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Deja Vu San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DBA41" w14:textId="77777777" w:rsidR="0087689E" w:rsidRDefault="0087689E" w:rsidP="0000054D">
      <w:pPr>
        <w:spacing w:after="0" w:line="240" w:lineRule="auto"/>
      </w:pPr>
      <w:r>
        <w:separator/>
      </w:r>
    </w:p>
  </w:footnote>
  <w:footnote w:type="continuationSeparator" w:id="0">
    <w:p w14:paraId="709E16AF" w14:textId="77777777" w:rsidR="0087689E" w:rsidRDefault="0087689E" w:rsidP="0000054D">
      <w:pPr>
        <w:spacing w:after="0" w:line="240" w:lineRule="auto"/>
      </w:pPr>
      <w:r>
        <w:continuationSeparator/>
      </w:r>
    </w:p>
  </w:footnote>
  <w:footnote w:id="1">
    <w:p w14:paraId="22A5F5BB" w14:textId="1483B2CA" w:rsidR="00D026DD" w:rsidRPr="00D026DD" w:rsidRDefault="00D026DD">
      <w:pPr>
        <w:pStyle w:val="FootnoteText"/>
        <w:rPr>
          <w:rFonts w:ascii="Times New Roman" w:hAnsi="Times New Roman" w:cs="Times New Roman"/>
        </w:rPr>
      </w:pPr>
      <w:r w:rsidRPr="00D026DD">
        <w:rPr>
          <w:rStyle w:val="FootnoteReference"/>
          <w:rFonts w:ascii="Times New Roman" w:hAnsi="Times New Roman" w:cs="Times New Roman"/>
        </w:rPr>
        <w:footnoteRef/>
      </w:r>
      <w:r w:rsidRPr="00D026DD">
        <w:rPr>
          <w:rFonts w:ascii="Times New Roman" w:hAnsi="Times New Roman" w:cs="Times New Roman"/>
        </w:rPr>
        <w:t xml:space="preserve"> [</w:t>
      </w:r>
      <w:r w:rsidRPr="00D026DD">
        <w:rPr>
          <w:rFonts w:ascii="Times New Roman" w:hAnsi="Times New Roman" w:cs="Times New Roman"/>
          <w:i/>
        </w:rPr>
        <w:t>Chapter 6:01</w:t>
      </w:r>
      <w:r w:rsidRPr="00D026DD">
        <w:rPr>
          <w:rFonts w:ascii="Times New Roman" w:hAnsi="Times New Roman" w:cs="Times New Roman"/>
        </w:rPr>
        <w:t>]</w:t>
      </w:r>
    </w:p>
  </w:footnote>
  <w:footnote w:id="2">
    <w:p w14:paraId="029F26F8" w14:textId="3B8E52B1" w:rsidR="006F1EC4" w:rsidRPr="00AF10E9" w:rsidRDefault="006F1EC4" w:rsidP="006F1EC4">
      <w:pPr>
        <w:pStyle w:val="FootnoteText"/>
        <w:rPr>
          <w:rFonts w:ascii="Times New Roman" w:hAnsi="Times New Roman" w:cs="Times New Roman"/>
        </w:rPr>
      </w:pPr>
      <w:r w:rsidRPr="00AF10E9">
        <w:rPr>
          <w:rStyle w:val="FootnoteReference"/>
          <w:rFonts w:ascii="Times New Roman" w:hAnsi="Times New Roman" w:cs="Times New Roman"/>
        </w:rPr>
        <w:footnoteRef/>
      </w:r>
      <w:r w:rsidRPr="00AF10E9">
        <w:rPr>
          <w:rFonts w:ascii="Times New Roman" w:hAnsi="Times New Roman" w:cs="Times New Roman"/>
        </w:rPr>
        <w:t xml:space="preserve"> Juta &amp; Co, Ltd 1998</w:t>
      </w:r>
      <w:r>
        <w:rPr>
          <w:rFonts w:ascii="Times New Roman" w:hAnsi="Times New Roman" w:cs="Times New Roman"/>
        </w:rPr>
        <w:t xml:space="preserve"> at page 33</w:t>
      </w:r>
    </w:p>
  </w:footnote>
  <w:footnote w:id="3">
    <w:p w14:paraId="0CA31336" w14:textId="58E9EC20" w:rsidR="005D007F" w:rsidRPr="005D007F" w:rsidRDefault="005D007F">
      <w:pPr>
        <w:pStyle w:val="FootnoteText"/>
        <w:rPr>
          <w:rFonts w:ascii="Times New Roman" w:hAnsi="Times New Roman" w:cs="Times New Roman"/>
        </w:rPr>
      </w:pPr>
      <w:r w:rsidRPr="005D007F">
        <w:rPr>
          <w:rStyle w:val="FootnoteReference"/>
          <w:rFonts w:ascii="Times New Roman" w:hAnsi="Times New Roman" w:cs="Times New Roman"/>
        </w:rPr>
        <w:footnoteRef/>
      </w:r>
      <w:r w:rsidRPr="005D007F">
        <w:rPr>
          <w:rFonts w:ascii="Times New Roman" w:hAnsi="Times New Roman" w:cs="Times New Roman"/>
        </w:rPr>
        <w:t xml:space="preserve"> </w:t>
      </w:r>
      <w:r>
        <w:rPr>
          <w:rFonts w:ascii="Times New Roman" w:hAnsi="Times New Roman" w:cs="Times New Roman"/>
        </w:rPr>
        <w:t>A</w:t>
      </w:r>
      <w:r w:rsidRPr="005D007F">
        <w:rPr>
          <w:rFonts w:ascii="Times New Roman" w:hAnsi="Times New Roman" w:cs="Times New Roman"/>
        </w:rPr>
        <w:t>t p 39</w:t>
      </w:r>
    </w:p>
  </w:footnote>
  <w:footnote w:id="4">
    <w:p w14:paraId="39263F59" w14:textId="1A17EC41" w:rsidR="00B64932" w:rsidRPr="00B64932" w:rsidRDefault="00B64932">
      <w:pPr>
        <w:pStyle w:val="FootnoteText"/>
        <w:rPr>
          <w:rFonts w:ascii="Times New Roman" w:hAnsi="Times New Roman" w:cs="Times New Roman"/>
        </w:rPr>
      </w:pPr>
      <w:r w:rsidRPr="00B64932">
        <w:rPr>
          <w:rStyle w:val="FootnoteReference"/>
          <w:rFonts w:ascii="Times New Roman" w:hAnsi="Times New Roman" w:cs="Times New Roman"/>
        </w:rPr>
        <w:footnoteRef/>
      </w:r>
      <w:r w:rsidRPr="00B64932">
        <w:rPr>
          <w:rFonts w:ascii="Times New Roman" w:hAnsi="Times New Roman" w:cs="Times New Roman"/>
        </w:rPr>
        <w:t xml:space="preserve"> HH 448/18</w:t>
      </w:r>
      <w:r>
        <w:rPr>
          <w:rFonts w:ascii="Times New Roman" w:hAnsi="Times New Roman" w:cs="Times New Roman"/>
        </w:rPr>
        <w:t xml:space="preserve"> at p10 </w:t>
      </w:r>
    </w:p>
  </w:footnote>
  <w:footnote w:id="5">
    <w:p w14:paraId="229A7032" w14:textId="1AE7EABD" w:rsidR="00D3156C" w:rsidRPr="00D3156C" w:rsidRDefault="00D3156C">
      <w:pPr>
        <w:pStyle w:val="FootnoteText"/>
        <w:rPr>
          <w:rFonts w:ascii="Times New Roman" w:hAnsi="Times New Roman" w:cs="Times New Roman"/>
        </w:rPr>
      </w:pPr>
      <w:r w:rsidRPr="00D3156C">
        <w:rPr>
          <w:rStyle w:val="FootnoteReference"/>
          <w:rFonts w:ascii="Times New Roman" w:hAnsi="Times New Roman" w:cs="Times New Roman"/>
        </w:rPr>
        <w:footnoteRef/>
      </w:r>
      <w:r w:rsidRPr="00D3156C">
        <w:rPr>
          <w:rFonts w:ascii="Times New Roman" w:hAnsi="Times New Roman" w:cs="Times New Roman"/>
        </w:rPr>
        <w:t xml:space="preserve"> At p 11 of the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397205"/>
      <w:docPartObj>
        <w:docPartGallery w:val="Page Numbers (Top of Page)"/>
        <w:docPartUnique/>
      </w:docPartObj>
    </w:sdtPr>
    <w:sdtEndPr>
      <w:rPr>
        <w:rFonts w:ascii="Times New Roman" w:hAnsi="Times New Roman" w:cs="Times New Roman"/>
        <w:noProof/>
      </w:rPr>
    </w:sdtEndPr>
    <w:sdtContent>
      <w:p w14:paraId="605A6F7C" w14:textId="1D93ECF3" w:rsidR="003C516F" w:rsidRDefault="003C516F">
        <w:pPr>
          <w:pStyle w:val="Header"/>
          <w:jc w:val="right"/>
          <w:rPr>
            <w:rFonts w:ascii="Times New Roman" w:hAnsi="Times New Roman" w:cs="Times New Roman"/>
            <w:noProof/>
          </w:rPr>
        </w:pPr>
        <w:r w:rsidRPr="00F927ED">
          <w:rPr>
            <w:rFonts w:ascii="Times New Roman" w:hAnsi="Times New Roman" w:cs="Times New Roman"/>
          </w:rPr>
          <w:fldChar w:fldCharType="begin"/>
        </w:r>
        <w:r w:rsidRPr="00F927ED">
          <w:rPr>
            <w:rFonts w:ascii="Times New Roman" w:hAnsi="Times New Roman" w:cs="Times New Roman"/>
          </w:rPr>
          <w:instrText xml:space="preserve"> PAGE   \* MERGEFORMAT </w:instrText>
        </w:r>
        <w:r w:rsidRPr="00F927ED">
          <w:rPr>
            <w:rFonts w:ascii="Times New Roman" w:hAnsi="Times New Roman" w:cs="Times New Roman"/>
          </w:rPr>
          <w:fldChar w:fldCharType="separate"/>
        </w:r>
        <w:r w:rsidR="00315983">
          <w:rPr>
            <w:rFonts w:ascii="Times New Roman" w:hAnsi="Times New Roman" w:cs="Times New Roman"/>
            <w:noProof/>
          </w:rPr>
          <w:t>1</w:t>
        </w:r>
        <w:r w:rsidRPr="00F927ED">
          <w:rPr>
            <w:rFonts w:ascii="Times New Roman" w:hAnsi="Times New Roman" w:cs="Times New Roman"/>
            <w:noProof/>
          </w:rPr>
          <w:fldChar w:fldCharType="end"/>
        </w:r>
      </w:p>
      <w:p w14:paraId="0873D7FE" w14:textId="28D3471B" w:rsidR="004F4192" w:rsidRDefault="004F4192">
        <w:pPr>
          <w:pStyle w:val="Header"/>
          <w:jc w:val="right"/>
          <w:rPr>
            <w:rFonts w:ascii="Times New Roman" w:hAnsi="Times New Roman" w:cs="Times New Roman"/>
            <w:noProof/>
          </w:rPr>
        </w:pPr>
        <w:r>
          <w:rPr>
            <w:rFonts w:ascii="Times New Roman" w:hAnsi="Times New Roman" w:cs="Times New Roman"/>
            <w:noProof/>
          </w:rPr>
          <w:t>HH</w:t>
        </w:r>
        <w:r w:rsidR="00E7655E">
          <w:rPr>
            <w:rFonts w:ascii="Times New Roman" w:hAnsi="Times New Roman" w:cs="Times New Roman"/>
            <w:noProof/>
          </w:rPr>
          <w:t xml:space="preserve"> 593-23</w:t>
        </w:r>
      </w:p>
      <w:p w14:paraId="5F31ECFC" w14:textId="77777777" w:rsidR="003C516F" w:rsidRPr="00F927ED" w:rsidRDefault="003C516F">
        <w:pPr>
          <w:pStyle w:val="Header"/>
          <w:jc w:val="right"/>
          <w:rPr>
            <w:rFonts w:ascii="Times New Roman" w:hAnsi="Times New Roman" w:cs="Times New Roman"/>
          </w:rPr>
        </w:pPr>
        <w:r w:rsidRPr="00F927ED">
          <w:rPr>
            <w:rFonts w:ascii="Times New Roman" w:hAnsi="Times New Roman" w:cs="Times New Roman"/>
            <w:noProof/>
          </w:rPr>
          <w:t xml:space="preserve">HC </w:t>
        </w:r>
        <w:r w:rsidR="004F4192">
          <w:rPr>
            <w:rFonts w:ascii="Times New Roman" w:hAnsi="Times New Roman" w:cs="Times New Roman"/>
            <w:noProof/>
          </w:rPr>
          <w:t>4815/21</w:t>
        </w:r>
      </w:p>
    </w:sdtContent>
  </w:sdt>
  <w:p w14:paraId="195D64DA" w14:textId="77777777" w:rsidR="003C516F" w:rsidRDefault="003C516F" w:rsidP="0000054D">
    <w:pPr>
      <w:pStyle w:val="Header"/>
      <w:jc w:val="both"/>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3787"/>
    <w:multiLevelType w:val="hybridMultilevel"/>
    <w:tmpl w:val="F9ACFB5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2F732A5"/>
    <w:multiLevelType w:val="hybridMultilevel"/>
    <w:tmpl w:val="0B923034"/>
    <w:lvl w:ilvl="0" w:tplc="AA9A8A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0237"/>
    <w:multiLevelType w:val="hybridMultilevel"/>
    <w:tmpl w:val="D61A3364"/>
    <w:lvl w:ilvl="0" w:tplc="F1784C7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26E2926"/>
    <w:multiLevelType w:val="hybridMultilevel"/>
    <w:tmpl w:val="A2F874D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4B096269"/>
    <w:multiLevelType w:val="hybridMultilevel"/>
    <w:tmpl w:val="75EC7A8A"/>
    <w:lvl w:ilvl="0" w:tplc="28BC161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58B7BCA"/>
    <w:multiLevelType w:val="hybridMultilevel"/>
    <w:tmpl w:val="B83077EA"/>
    <w:lvl w:ilvl="0" w:tplc="3604852E">
      <w:start w:val="1"/>
      <w:numFmt w:val="lowerRoman"/>
      <w:lvlText w:val="(%1)"/>
      <w:lvlJc w:val="left"/>
      <w:pPr>
        <w:ind w:left="1440" w:hanging="72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3267710"/>
    <w:multiLevelType w:val="hybridMultilevel"/>
    <w:tmpl w:val="F1447E5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7" w15:restartNumberingAfterBreak="0">
    <w:nsid w:val="6D714669"/>
    <w:multiLevelType w:val="hybridMultilevel"/>
    <w:tmpl w:val="075EE0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3F37A7D"/>
    <w:multiLevelType w:val="hybridMultilevel"/>
    <w:tmpl w:val="F35A7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223728"/>
    <w:multiLevelType w:val="hybridMultilevel"/>
    <w:tmpl w:val="682E1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9"/>
  </w:num>
  <w:num w:numId="4">
    <w:abstractNumId w:val="1"/>
  </w:num>
  <w:num w:numId="5">
    <w:abstractNumId w:val="2"/>
  </w:num>
  <w:num w:numId="6">
    <w:abstractNumId w:val="3"/>
  </w:num>
  <w:num w:numId="7">
    <w:abstractNumId w:val="0"/>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4D"/>
    <w:rsid w:val="000004FE"/>
    <w:rsid w:val="0000054D"/>
    <w:rsid w:val="00001B00"/>
    <w:rsid w:val="0001570C"/>
    <w:rsid w:val="00025AE8"/>
    <w:rsid w:val="00027BFD"/>
    <w:rsid w:val="0003549B"/>
    <w:rsid w:val="0003558C"/>
    <w:rsid w:val="00055F45"/>
    <w:rsid w:val="000640E1"/>
    <w:rsid w:val="000652A4"/>
    <w:rsid w:val="00065491"/>
    <w:rsid w:val="00067837"/>
    <w:rsid w:val="00073D80"/>
    <w:rsid w:val="000821B9"/>
    <w:rsid w:val="00090D46"/>
    <w:rsid w:val="00091A3F"/>
    <w:rsid w:val="00092922"/>
    <w:rsid w:val="00094AC3"/>
    <w:rsid w:val="00094B58"/>
    <w:rsid w:val="000957F3"/>
    <w:rsid w:val="00096DEB"/>
    <w:rsid w:val="000A0D81"/>
    <w:rsid w:val="000A289D"/>
    <w:rsid w:val="000A3B63"/>
    <w:rsid w:val="000A6D75"/>
    <w:rsid w:val="000A74E3"/>
    <w:rsid w:val="000B3FE5"/>
    <w:rsid w:val="000C297E"/>
    <w:rsid w:val="000C3843"/>
    <w:rsid w:val="000C50D1"/>
    <w:rsid w:val="000D0383"/>
    <w:rsid w:val="000D2EF5"/>
    <w:rsid w:val="000D30E7"/>
    <w:rsid w:val="000D43B2"/>
    <w:rsid w:val="000F3599"/>
    <w:rsid w:val="000F4340"/>
    <w:rsid w:val="000F4E18"/>
    <w:rsid w:val="000F5FDE"/>
    <w:rsid w:val="00105483"/>
    <w:rsid w:val="0012316C"/>
    <w:rsid w:val="00127892"/>
    <w:rsid w:val="0013367D"/>
    <w:rsid w:val="001420E9"/>
    <w:rsid w:val="00145764"/>
    <w:rsid w:val="00145886"/>
    <w:rsid w:val="00161D49"/>
    <w:rsid w:val="00164780"/>
    <w:rsid w:val="001A4C49"/>
    <w:rsid w:val="001A7F0D"/>
    <w:rsid w:val="001B0692"/>
    <w:rsid w:val="001B53E2"/>
    <w:rsid w:val="001D4AA5"/>
    <w:rsid w:val="001E4B97"/>
    <w:rsid w:val="001F4B18"/>
    <w:rsid w:val="001F50F0"/>
    <w:rsid w:val="001F5E52"/>
    <w:rsid w:val="0021663E"/>
    <w:rsid w:val="00221159"/>
    <w:rsid w:val="002225DD"/>
    <w:rsid w:val="00234150"/>
    <w:rsid w:val="00237662"/>
    <w:rsid w:val="00237E9C"/>
    <w:rsid w:val="00246B33"/>
    <w:rsid w:val="0024729C"/>
    <w:rsid w:val="00257C62"/>
    <w:rsid w:val="002712C6"/>
    <w:rsid w:val="0027560A"/>
    <w:rsid w:val="00281CD5"/>
    <w:rsid w:val="002824F6"/>
    <w:rsid w:val="00283F31"/>
    <w:rsid w:val="00283F43"/>
    <w:rsid w:val="00285D35"/>
    <w:rsid w:val="0028687B"/>
    <w:rsid w:val="0028688B"/>
    <w:rsid w:val="002965FE"/>
    <w:rsid w:val="002A0156"/>
    <w:rsid w:val="002A38AD"/>
    <w:rsid w:val="002A4723"/>
    <w:rsid w:val="002A605C"/>
    <w:rsid w:val="002B6160"/>
    <w:rsid w:val="002D3139"/>
    <w:rsid w:val="002D350C"/>
    <w:rsid w:val="002D6688"/>
    <w:rsid w:val="002E36A0"/>
    <w:rsid w:val="002E3CE7"/>
    <w:rsid w:val="003002AE"/>
    <w:rsid w:val="0030438A"/>
    <w:rsid w:val="00315983"/>
    <w:rsid w:val="00322949"/>
    <w:rsid w:val="00323441"/>
    <w:rsid w:val="00325BC4"/>
    <w:rsid w:val="003323F5"/>
    <w:rsid w:val="00333687"/>
    <w:rsid w:val="0033379E"/>
    <w:rsid w:val="00334F23"/>
    <w:rsid w:val="00342E9B"/>
    <w:rsid w:val="003435A7"/>
    <w:rsid w:val="003576F3"/>
    <w:rsid w:val="00360A4C"/>
    <w:rsid w:val="0036317F"/>
    <w:rsid w:val="00363772"/>
    <w:rsid w:val="003665DD"/>
    <w:rsid w:val="00375251"/>
    <w:rsid w:val="003807C7"/>
    <w:rsid w:val="00380FBE"/>
    <w:rsid w:val="003923DE"/>
    <w:rsid w:val="003A3241"/>
    <w:rsid w:val="003B5E28"/>
    <w:rsid w:val="003C2586"/>
    <w:rsid w:val="003C3C04"/>
    <w:rsid w:val="003C4CF6"/>
    <w:rsid w:val="003C516F"/>
    <w:rsid w:val="003C7305"/>
    <w:rsid w:val="003D1002"/>
    <w:rsid w:val="003E52BD"/>
    <w:rsid w:val="003F1998"/>
    <w:rsid w:val="003F584D"/>
    <w:rsid w:val="003F738A"/>
    <w:rsid w:val="00402393"/>
    <w:rsid w:val="00402B2E"/>
    <w:rsid w:val="00402FA6"/>
    <w:rsid w:val="004039C2"/>
    <w:rsid w:val="004050D4"/>
    <w:rsid w:val="00406B52"/>
    <w:rsid w:val="00412CD3"/>
    <w:rsid w:val="00415265"/>
    <w:rsid w:val="00420285"/>
    <w:rsid w:val="004213D8"/>
    <w:rsid w:val="0042184F"/>
    <w:rsid w:val="0042300D"/>
    <w:rsid w:val="00424BF0"/>
    <w:rsid w:val="00427D93"/>
    <w:rsid w:val="0043205B"/>
    <w:rsid w:val="00434061"/>
    <w:rsid w:val="00441C59"/>
    <w:rsid w:val="00454E3E"/>
    <w:rsid w:val="00456F82"/>
    <w:rsid w:val="0045758B"/>
    <w:rsid w:val="00463259"/>
    <w:rsid w:val="00473957"/>
    <w:rsid w:val="00476FF3"/>
    <w:rsid w:val="00480946"/>
    <w:rsid w:val="00482F47"/>
    <w:rsid w:val="00491656"/>
    <w:rsid w:val="00497287"/>
    <w:rsid w:val="00497B15"/>
    <w:rsid w:val="004A07FA"/>
    <w:rsid w:val="004A15EC"/>
    <w:rsid w:val="004A7D9D"/>
    <w:rsid w:val="004B0384"/>
    <w:rsid w:val="004B7A0C"/>
    <w:rsid w:val="004B7CCC"/>
    <w:rsid w:val="004C1275"/>
    <w:rsid w:val="004C5DA4"/>
    <w:rsid w:val="004C69AF"/>
    <w:rsid w:val="004D169D"/>
    <w:rsid w:val="004F2D61"/>
    <w:rsid w:val="004F4192"/>
    <w:rsid w:val="004F5CBA"/>
    <w:rsid w:val="00500890"/>
    <w:rsid w:val="005025C9"/>
    <w:rsid w:val="005242CE"/>
    <w:rsid w:val="00525616"/>
    <w:rsid w:val="0053487A"/>
    <w:rsid w:val="00534D2E"/>
    <w:rsid w:val="005439C0"/>
    <w:rsid w:val="0055552E"/>
    <w:rsid w:val="0055630C"/>
    <w:rsid w:val="00560B87"/>
    <w:rsid w:val="005805AC"/>
    <w:rsid w:val="00595C10"/>
    <w:rsid w:val="005A0198"/>
    <w:rsid w:val="005A5450"/>
    <w:rsid w:val="005B1516"/>
    <w:rsid w:val="005B1604"/>
    <w:rsid w:val="005B4EA7"/>
    <w:rsid w:val="005B58E8"/>
    <w:rsid w:val="005C52AD"/>
    <w:rsid w:val="005D007F"/>
    <w:rsid w:val="005D03FE"/>
    <w:rsid w:val="005D046D"/>
    <w:rsid w:val="005D7A59"/>
    <w:rsid w:val="005E09DD"/>
    <w:rsid w:val="005E2609"/>
    <w:rsid w:val="005E7137"/>
    <w:rsid w:val="005F06C3"/>
    <w:rsid w:val="005F27DE"/>
    <w:rsid w:val="006040CA"/>
    <w:rsid w:val="0060607A"/>
    <w:rsid w:val="00607B83"/>
    <w:rsid w:val="0061331F"/>
    <w:rsid w:val="00621FE7"/>
    <w:rsid w:val="006252A9"/>
    <w:rsid w:val="00631D1A"/>
    <w:rsid w:val="00632F35"/>
    <w:rsid w:val="00637E4D"/>
    <w:rsid w:val="00654C92"/>
    <w:rsid w:val="006640C4"/>
    <w:rsid w:val="00665D1B"/>
    <w:rsid w:val="006673CE"/>
    <w:rsid w:val="006740FA"/>
    <w:rsid w:val="00682FC0"/>
    <w:rsid w:val="006911DA"/>
    <w:rsid w:val="006A698B"/>
    <w:rsid w:val="006B09DB"/>
    <w:rsid w:val="006B31BC"/>
    <w:rsid w:val="006B3917"/>
    <w:rsid w:val="006C05BB"/>
    <w:rsid w:val="006C3A66"/>
    <w:rsid w:val="006D1A02"/>
    <w:rsid w:val="006D3865"/>
    <w:rsid w:val="006E3AFB"/>
    <w:rsid w:val="006E4263"/>
    <w:rsid w:val="006F1E5E"/>
    <w:rsid w:val="006F1EC4"/>
    <w:rsid w:val="006F55B6"/>
    <w:rsid w:val="006F6928"/>
    <w:rsid w:val="00704B5F"/>
    <w:rsid w:val="007056C8"/>
    <w:rsid w:val="00714DA1"/>
    <w:rsid w:val="00715A64"/>
    <w:rsid w:val="00716B59"/>
    <w:rsid w:val="00723499"/>
    <w:rsid w:val="007237FD"/>
    <w:rsid w:val="007251E6"/>
    <w:rsid w:val="00737508"/>
    <w:rsid w:val="0074061E"/>
    <w:rsid w:val="00744CF1"/>
    <w:rsid w:val="00745120"/>
    <w:rsid w:val="00753029"/>
    <w:rsid w:val="00754BD2"/>
    <w:rsid w:val="00755F07"/>
    <w:rsid w:val="00763674"/>
    <w:rsid w:val="007640C9"/>
    <w:rsid w:val="007704E4"/>
    <w:rsid w:val="007711BE"/>
    <w:rsid w:val="00772ADF"/>
    <w:rsid w:val="0077616D"/>
    <w:rsid w:val="007826FD"/>
    <w:rsid w:val="00786F3E"/>
    <w:rsid w:val="00793C03"/>
    <w:rsid w:val="00793E2D"/>
    <w:rsid w:val="00794526"/>
    <w:rsid w:val="007A0D14"/>
    <w:rsid w:val="007B290A"/>
    <w:rsid w:val="007C302B"/>
    <w:rsid w:val="007C45C3"/>
    <w:rsid w:val="007C47BF"/>
    <w:rsid w:val="007C654E"/>
    <w:rsid w:val="007C7E30"/>
    <w:rsid w:val="007D02D3"/>
    <w:rsid w:val="007E08E5"/>
    <w:rsid w:val="007E5891"/>
    <w:rsid w:val="007F03C7"/>
    <w:rsid w:val="007F5C6C"/>
    <w:rsid w:val="007F7EE9"/>
    <w:rsid w:val="008051A5"/>
    <w:rsid w:val="00812AEB"/>
    <w:rsid w:val="0081305E"/>
    <w:rsid w:val="0081708A"/>
    <w:rsid w:val="00820ABD"/>
    <w:rsid w:val="00822139"/>
    <w:rsid w:val="00823504"/>
    <w:rsid w:val="0082391F"/>
    <w:rsid w:val="0082508C"/>
    <w:rsid w:val="00827587"/>
    <w:rsid w:val="008303E3"/>
    <w:rsid w:val="008308B0"/>
    <w:rsid w:val="008446E8"/>
    <w:rsid w:val="00846BD7"/>
    <w:rsid w:val="00847AE2"/>
    <w:rsid w:val="00850812"/>
    <w:rsid w:val="00865B82"/>
    <w:rsid w:val="008759B4"/>
    <w:rsid w:val="0087689E"/>
    <w:rsid w:val="00876CBD"/>
    <w:rsid w:val="00876FAA"/>
    <w:rsid w:val="0088087D"/>
    <w:rsid w:val="00885FC0"/>
    <w:rsid w:val="00886449"/>
    <w:rsid w:val="008A5A58"/>
    <w:rsid w:val="008B1744"/>
    <w:rsid w:val="008B1D8E"/>
    <w:rsid w:val="008B4815"/>
    <w:rsid w:val="008C21C5"/>
    <w:rsid w:val="008C7FED"/>
    <w:rsid w:val="008D1306"/>
    <w:rsid w:val="008D5E25"/>
    <w:rsid w:val="008D6105"/>
    <w:rsid w:val="008E15EB"/>
    <w:rsid w:val="008E542A"/>
    <w:rsid w:val="008E7948"/>
    <w:rsid w:val="008F27E5"/>
    <w:rsid w:val="008F323D"/>
    <w:rsid w:val="008F3572"/>
    <w:rsid w:val="008F365C"/>
    <w:rsid w:val="00911DA2"/>
    <w:rsid w:val="009143BE"/>
    <w:rsid w:val="00932E6F"/>
    <w:rsid w:val="009361AD"/>
    <w:rsid w:val="00943905"/>
    <w:rsid w:val="0094401C"/>
    <w:rsid w:val="00955BB1"/>
    <w:rsid w:val="009614F3"/>
    <w:rsid w:val="00967850"/>
    <w:rsid w:val="00970438"/>
    <w:rsid w:val="00974E4B"/>
    <w:rsid w:val="009803AC"/>
    <w:rsid w:val="00992FA7"/>
    <w:rsid w:val="009A0216"/>
    <w:rsid w:val="009A0AA1"/>
    <w:rsid w:val="009A46AA"/>
    <w:rsid w:val="009A47F2"/>
    <w:rsid w:val="009B43C8"/>
    <w:rsid w:val="009B6437"/>
    <w:rsid w:val="009B6ABE"/>
    <w:rsid w:val="009C0A5E"/>
    <w:rsid w:val="009C3A95"/>
    <w:rsid w:val="009C480E"/>
    <w:rsid w:val="009D166E"/>
    <w:rsid w:val="009E0397"/>
    <w:rsid w:val="009E1418"/>
    <w:rsid w:val="009E1C83"/>
    <w:rsid w:val="009E3A23"/>
    <w:rsid w:val="009E42EB"/>
    <w:rsid w:val="009E6D88"/>
    <w:rsid w:val="009F57AD"/>
    <w:rsid w:val="009F7337"/>
    <w:rsid w:val="009F7436"/>
    <w:rsid w:val="00A01289"/>
    <w:rsid w:val="00A06542"/>
    <w:rsid w:val="00A0657D"/>
    <w:rsid w:val="00A15094"/>
    <w:rsid w:val="00A22CBA"/>
    <w:rsid w:val="00A31025"/>
    <w:rsid w:val="00A31347"/>
    <w:rsid w:val="00A31A16"/>
    <w:rsid w:val="00A34908"/>
    <w:rsid w:val="00A34A12"/>
    <w:rsid w:val="00A41366"/>
    <w:rsid w:val="00A44730"/>
    <w:rsid w:val="00A44962"/>
    <w:rsid w:val="00A565F5"/>
    <w:rsid w:val="00A80A06"/>
    <w:rsid w:val="00A82EF8"/>
    <w:rsid w:val="00A840F8"/>
    <w:rsid w:val="00A941C0"/>
    <w:rsid w:val="00AA22CF"/>
    <w:rsid w:val="00AA32B1"/>
    <w:rsid w:val="00AB3ABB"/>
    <w:rsid w:val="00AB5509"/>
    <w:rsid w:val="00AC7B38"/>
    <w:rsid w:val="00AD033C"/>
    <w:rsid w:val="00AD2549"/>
    <w:rsid w:val="00AE28B4"/>
    <w:rsid w:val="00AE5E9F"/>
    <w:rsid w:val="00AE620C"/>
    <w:rsid w:val="00AE6DFD"/>
    <w:rsid w:val="00AF1B2D"/>
    <w:rsid w:val="00AF44A1"/>
    <w:rsid w:val="00AF7640"/>
    <w:rsid w:val="00AF7BEF"/>
    <w:rsid w:val="00B01181"/>
    <w:rsid w:val="00B02FAC"/>
    <w:rsid w:val="00B038C5"/>
    <w:rsid w:val="00B04E76"/>
    <w:rsid w:val="00B07359"/>
    <w:rsid w:val="00B10942"/>
    <w:rsid w:val="00B205FA"/>
    <w:rsid w:val="00B24D2D"/>
    <w:rsid w:val="00B251BE"/>
    <w:rsid w:val="00B33FB5"/>
    <w:rsid w:val="00B45B46"/>
    <w:rsid w:val="00B47E03"/>
    <w:rsid w:val="00B5385D"/>
    <w:rsid w:val="00B612FE"/>
    <w:rsid w:val="00B6167D"/>
    <w:rsid w:val="00B63625"/>
    <w:rsid w:val="00B64932"/>
    <w:rsid w:val="00B650F6"/>
    <w:rsid w:val="00B6579E"/>
    <w:rsid w:val="00B65978"/>
    <w:rsid w:val="00B70F25"/>
    <w:rsid w:val="00B92601"/>
    <w:rsid w:val="00B9784A"/>
    <w:rsid w:val="00BA2EEB"/>
    <w:rsid w:val="00BB0C4E"/>
    <w:rsid w:val="00BB6082"/>
    <w:rsid w:val="00BC67FB"/>
    <w:rsid w:val="00BD3010"/>
    <w:rsid w:val="00BE5F48"/>
    <w:rsid w:val="00BE70BF"/>
    <w:rsid w:val="00BF14F8"/>
    <w:rsid w:val="00BF6D5B"/>
    <w:rsid w:val="00C0489F"/>
    <w:rsid w:val="00C151F8"/>
    <w:rsid w:val="00C21FA2"/>
    <w:rsid w:val="00C2273B"/>
    <w:rsid w:val="00C252EC"/>
    <w:rsid w:val="00C357F6"/>
    <w:rsid w:val="00C35BA0"/>
    <w:rsid w:val="00C363C0"/>
    <w:rsid w:val="00C615F3"/>
    <w:rsid w:val="00C66769"/>
    <w:rsid w:val="00C74EF1"/>
    <w:rsid w:val="00C77C77"/>
    <w:rsid w:val="00C87BF2"/>
    <w:rsid w:val="00C92A9F"/>
    <w:rsid w:val="00C979B3"/>
    <w:rsid w:val="00CA0595"/>
    <w:rsid w:val="00CA10D0"/>
    <w:rsid w:val="00CB5E47"/>
    <w:rsid w:val="00CC6961"/>
    <w:rsid w:val="00CD2521"/>
    <w:rsid w:val="00CD392A"/>
    <w:rsid w:val="00CD3DD2"/>
    <w:rsid w:val="00CD6B9E"/>
    <w:rsid w:val="00CE3971"/>
    <w:rsid w:val="00CE3C74"/>
    <w:rsid w:val="00CE60E5"/>
    <w:rsid w:val="00CE65EF"/>
    <w:rsid w:val="00CF2CEB"/>
    <w:rsid w:val="00CF2FC7"/>
    <w:rsid w:val="00CF7A6C"/>
    <w:rsid w:val="00D026DD"/>
    <w:rsid w:val="00D039ED"/>
    <w:rsid w:val="00D05A9F"/>
    <w:rsid w:val="00D10233"/>
    <w:rsid w:val="00D245AD"/>
    <w:rsid w:val="00D24F72"/>
    <w:rsid w:val="00D26A4D"/>
    <w:rsid w:val="00D310AD"/>
    <w:rsid w:val="00D3156C"/>
    <w:rsid w:val="00D34DEF"/>
    <w:rsid w:val="00D52794"/>
    <w:rsid w:val="00D60E6A"/>
    <w:rsid w:val="00D60F56"/>
    <w:rsid w:val="00D61260"/>
    <w:rsid w:val="00D658A6"/>
    <w:rsid w:val="00D70375"/>
    <w:rsid w:val="00D7212F"/>
    <w:rsid w:val="00D7589A"/>
    <w:rsid w:val="00D8001E"/>
    <w:rsid w:val="00D80706"/>
    <w:rsid w:val="00D8319C"/>
    <w:rsid w:val="00D831CA"/>
    <w:rsid w:val="00D911E3"/>
    <w:rsid w:val="00D925FC"/>
    <w:rsid w:val="00D93ADC"/>
    <w:rsid w:val="00D97F79"/>
    <w:rsid w:val="00DA3109"/>
    <w:rsid w:val="00DA36F6"/>
    <w:rsid w:val="00DA3F49"/>
    <w:rsid w:val="00DA498F"/>
    <w:rsid w:val="00DA6A0C"/>
    <w:rsid w:val="00DB205F"/>
    <w:rsid w:val="00DB3423"/>
    <w:rsid w:val="00DC365F"/>
    <w:rsid w:val="00DD0CAF"/>
    <w:rsid w:val="00DD395B"/>
    <w:rsid w:val="00DD42D3"/>
    <w:rsid w:val="00DD44E1"/>
    <w:rsid w:val="00DD6028"/>
    <w:rsid w:val="00DE410B"/>
    <w:rsid w:val="00DF17D3"/>
    <w:rsid w:val="00DF26D9"/>
    <w:rsid w:val="00E00842"/>
    <w:rsid w:val="00E1217A"/>
    <w:rsid w:val="00E15F9B"/>
    <w:rsid w:val="00E24460"/>
    <w:rsid w:val="00E2629A"/>
    <w:rsid w:val="00E26856"/>
    <w:rsid w:val="00E347DD"/>
    <w:rsid w:val="00E35334"/>
    <w:rsid w:val="00E37BB1"/>
    <w:rsid w:val="00E41370"/>
    <w:rsid w:val="00E458D3"/>
    <w:rsid w:val="00E53628"/>
    <w:rsid w:val="00E5413A"/>
    <w:rsid w:val="00E6012E"/>
    <w:rsid w:val="00E652F4"/>
    <w:rsid w:val="00E664C1"/>
    <w:rsid w:val="00E72E59"/>
    <w:rsid w:val="00E7655E"/>
    <w:rsid w:val="00EA47BE"/>
    <w:rsid w:val="00EB2009"/>
    <w:rsid w:val="00ED426D"/>
    <w:rsid w:val="00EF3337"/>
    <w:rsid w:val="00EF72E1"/>
    <w:rsid w:val="00F042B8"/>
    <w:rsid w:val="00F10775"/>
    <w:rsid w:val="00F151A1"/>
    <w:rsid w:val="00F156EA"/>
    <w:rsid w:val="00F15C7A"/>
    <w:rsid w:val="00F256B2"/>
    <w:rsid w:val="00F267AC"/>
    <w:rsid w:val="00F3619D"/>
    <w:rsid w:val="00F42753"/>
    <w:rsid w:val="00F51D0E"/>
    <w:rsid w:val="00F63C39"/>
    <w:rsid w:val="00F65F6D"/>
    <w:rsid w:val="00F6726C"/>
    <w:rsid w:val="00F75077"/>
    <w:rsid w:val="00F76EF1"/>
    <w:rsid w:val="00F77ABC"/>
    <w:rsid w:val="00F838A8"/>
    <w:rsid w:val="00F83D79"/>
    <w:rsid w:val="00F87F0D"/>
    <w:rsid w:val="00F927ED"/>
    <w:rsid w:val="00F92A51"/>
    <w:rsid w:val="00F93F31"/>
    <w:rsid w:val="00F961C0"/>
    <w:rsid w:val="00FA277E"/>
    <w:rsid w:val="00FA4EF9"/>
    <w:rsid w:val="00FA724D"/>
    <w:rsid w:val="00FB0ECC"/>
    <w:rsid w:val="00FB4672"/>
    <w:rsid w:val="00FB5179"/>
    <w:rsid w:val="00FB7BA4"/>
    <w:rsid w:val="00FC03DB"/>
    <w:rsid w:val="00FC403D"/>
    <w:rsid w:val="00FE4570"/>
    <w:rsid w:val="00FF0375"/>
    <w:rsid w:val="00FF5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7D1B"/>
  <w15:docId w15:val="{D01568E1-E7C6-4111-82A1-7E3052FA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54D"/>
  </w:style>
  <w:style w:type="paragraph" w:styleId="Footer">
    <w:name w:val="footer"/>
    <w:basedOn w:val="Normal"/>
    <w:link w:val="FooterChar"/>
    <w:uiPriority w:val="99"/>
    <w:unhideWhenUsed/>
    <w:rsid w:val="00000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54D"/>
  </w:style>
  <w:style w:type="paragraph" w:styleId="ListParagraph">
    <w:name w:val="List Paragraph"/>
    <w:basedOn w:val="Normal"/>
    <w:uiPriority w:val="34"/>
    <w:qFormat/>
    <w:rsid w:val="000B3FE5"/>
    <w:pPr>
      <w:ind w:left="720"/>
      <w:contextualSpacing/>
    </w:pPr>
  </w:style>
  <w:style w:type="paragraph" w:styleId="BalloonText">
    <w:name w:val="Balloon Text"/>
    <w:basedOn w:val="Normal"/>
    <w:link w:val="BalloonTextChar"/>
    <w:uiPriority w:val="99"/>
    <w:semiHidden/>
    <w:unhideWhenUsed/>
    <w:rsid w:val="0036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5DD"/>
    <w:rPr>
      <w:rFonts w:ascii="Tahoma" w:hAnsi="Tahoma" w:cs="Tahoma"/>
      <w:sz w:val="16"/>
      <w:szCs w:val="16"/>
    </w:rPr>
  </w:style>
  <w:style w:type="paragraph" w:styleId="FootnoteText">
    <w:name w:val="footnote text"/>
    <w:basedOn w:val="Normal"/>
    <w:link w:val="FootnoteTextChar"/>
    <w:uiPriority w:val="99"/>
    <w:unhideWhenUsed/>
    <w:rsid w:val="006F55B6"/>
    <w:pPr>
      <w:spacing w:after="0" w:line="240" w:lineRule="auto"/>
    </w:pPr>
    <w:rPr>
      <w:sz w:val="20"/>
      <w:szCs w:val="20"/>
    </w:rPr>
  </w:style>
  <w:style w:type="character" w:customStyle="1" w:styleId="FootnoteTextChar">
    <w:name w:val="Footnote Text Char"/>
    <w:basedOn w:val="DefaultParagraphFont"/>
    <w:link w:val="FootnoteText"/>
    <w:uiPriority w:val="99"/>
    <w:rsid w:val="006F55B6"/>
    <w:rPr>
      <w:sz w:val="20"/>
      <w:szCs w:val="20"/>
    </w:rPr>
  </w:style>
  <w:style w:type="character" w:styleId="FootnoteReference">
    <w:name w:val="footnote reference"/>
    <w:basedOn w:val="DefaultParagraphFont"/>
    <w:uiPriority w:val="99"/>
    <w:semiHidden/>
    <w:unhideWhenUsed/>
    <w:rsid w:val="006F55B6"/>
    <w:rPr>
      <w:vertAlign w:val="superscript"/>
    </w:rPr>
  </w:style>
  <w:style w:type="paragraph" w:styleId="EndnoteText">
    <w:name w:val="endnote text"/>
    <w:basedOn w:val="Normal"/>
    <w:link w:val="EndnoteTextChar"/>
    <w:uiPriority w:val="99"/>
    <w:semiHidden/>
    <w:unhideWhenUsed/>
    <w:rsid w:val="00334F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4F23"/>
    <w:rPr>
      <w:sz w:val="20"/>
      <w:szCs w:val="20"/>
    </w:rPr>
  </w:style>
  <w:style w:type="character" w:styleId="EndnoteReference">
    <w:name w:val="endnote reference"/>
    <w:basedOn w:val="DefaultParagraphFont"/>
    <w:uiPriority w:val="99"/>
    <w:semiHidden/>
    <w:unhideWhenUsed/>
    <w:rsid w:val="00334F23"/>
    <w:rPr>
      <w:vertAlign w:val="superscript"/>
    </w:rPr>
  </w:style>
  <w:style w:type="paragraph" w:customStyle="1" w:styleId="Default">
    <w:name w:val="Default"/>
    <w:rsid w:val="00F65F6D"/>
    <w:pPr>
      <w:autoSpaceDE w:val="0"/>
      <w:autoSpaceDN w:val="0"/>
      <w:adjustRightInd w:val="0"/>
      <w:spacing w:after="0" w:line="240" w:lineRule="auto"/>
    </w:pPr>
    <w:rPr>
      <w:rFonts w:ascii="DejaVu Sans" w:hAnsi="DejaVu Sans" w:cs="DejaVu Sans"/>
      <w:color w:val="000000"/>
      <w:sz w:val="24"/>
      <w:szCs w:val="24"/>
      <w:lang w:val="en-ZW"/>
    </w:rPr>
  </w:style>
  <w:style w:type="character" w:styleId="CommentReference">
    <w:name w:val="annotation reference"/>
    <w:basedOn w:val="DefaultParagraphFont"/>
    <w:uiPriority w:val="99"/>
    <w:semiHidden/>
    <w:unhideWhenUsed/>
    <w:rsid w:val="00F042B8"/>
    <w:rPr>
      <w:sz w:val="16"/>
      <w:szCs w:val="16"/>
    </w:rPr>
  </w:style>
  <w:style w:type="paragraph" w:styleId="CommentText">
    <w:name w:val="annotation text"/>
    <w:basedOn w:val="Normal"/>
    <w:link w:val="CommentTextChar"/>
    <w:uiPriority w:val="99"/>
    <w:semiHidden/>
    <w:unhideWhenUsed/>
    <w:rsid w:val="00F042B8"/>
    <w:pPr>
      <w:spacing w:line="240" w:lineRule="auto"/>
    </w:pPr>
    <w:rPr>
      <w:sz w:val="20"/>
      <w:szCs w:val="20"/>
    </w:rPr>
  </w:style>
  <w:style w:type="character" w:customStyle="1" w:styleId="CommentTextChar">
    <w:name w:val="Comment Text Char"/>
    <w:basedOn w:val="DefaultParagraphFont"/>
    <w:link w:val="CommentText"/>
    <w:uiPriority w:val="99"/>
    <w:semiHidden/>
    <w:rsid w:val="00F042B8"/>
    <w:rPr>
      <w:sz w:val="20"/>
      <w:szCs w:val="20"/>
    </w:rPr>
  </w:style>
  <w:style w:type="paragraph" w:styleId="CommentSubject">
    <w:name w:val="annotation subject"/>
    <w:basedOn w:val="CommentText"/>
    <w:next w:val="CommentText"/>
    <w:link w:val="CommentSubjectChar"/>
    <w:uiPriority w:val="99"/>
    <w:semiHidden/>
    <w:unhideWhenUsed/>
    <w:rsid w:val="00F042B8"/>
    <w:rPr>
      <w:b/>
      <w:bCs/>
    </w:rPr>
  </w:style>
  <w:style w:type="character" w:customStyle="1" w:styleId="CommentSubjectChar">
    <w:name w:val="Comment Subject Char"/>
    <w:basedOn w:val="CommentTextChar"/>
    <w:link w:val="CommentSubject"/>
    <w:uiPriority w:val="99"/>
    <w:semiHidden/>
    <w:rsid w:val="00F042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D121D-6932-4D4C-9D2A-03770CD7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3668</Words>
  <Characters>20908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jsc-Mujuru</dc:creator>
  <cp:lastModifiedBy>JSC</cp:lastModifiedBy>
  <cp:revision>2</cp:revision>
  <cp:lastPrinted>2023-10-31T09:24:00Z</cp:lastPrinted>
  <dcterms:created xsi:type="dcterms:W3CDTF">2023-11-03T11:29:00Z</dcterms:created>
  <dcterms:modified xsi:type="dcterms:W3CDTF">2023-11-03T11:29:00Z</dcterms:modified>
</cp:coreProperties>
</file>