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B94" w:rsidRDefault="001D6DC8" w:rsidP="001D6DC8">
      <w:pPr>
        <w:spacing w:line="360" w:lineRule="auto"/>
        <w:jc w:val="both"/>
        <w:rPr>
          <w:b/>
          <w:sz w:val="28"/>
          <w:szCs w:val="28"/>
        </w:rPr>
      </w:pPr>
      <w:bookmarkStart w:id="0" w:name="_GoBack"/>
      <w:bookmarkEnd w:id="0"/>
      <w:r>
        <w:rPr>
          <w:b/>
          <w:sz w:val="28"/>
          <w:szCs w:val="28"/>
        </w:rPr>
        <w:t>I</w:t>
      </w:r>
      <w:r w:rsidR="001A0C7B">
        <w:rPr>
          <w:b/>
          <w:sz w:val="28"/>
          <w:szCs w:val="28"/>
        </w:rPr>
        <w:t>N THE LABOUR COURT OF ZIMBABWE</w:t>
      </w:r>
      <w:r w:rsidR="001A0C7B">
        <w:rPr>
          <w:b/>
          <w:sz w:val="28"/>
          <w:szCs w:val="28"/>
        </w:rPr>
        <w:tab/>
      </w:r>
      <w:r>
        <w:rPr>
          <w:b/>
          <w:sz w:val="28"/>
          <w:szCs w:val="28"/>
        </w:rPr>
        <w:t>JUDGMENT NO LC/H/</w:t>
      </w:r>
      <w:r w:rsidR="001A0C7B">
        <w:rPr>
          <w:b/>
          <w:sz w:val="28"/>
          <w:szCs w:val="28"/>
        </w:rPr>
        <w:t>104</w:t>
      </w:r>
      <w:r>
        <w:rPr>
          <w:b/>
          <w:sz w:val="28"/>
          <w:szCs w:val="28"/>
        </w:rPr>
        <w:t>/14</w:t>
      </w:r>
    </w:p>
    <w:p w:rsidR="001D6DC8" w:rsidRDefault="001D6DC8" w:rsidP="001D6DC8">
      <w:pPr>
        <w:spacing w:line="360" w:lineRule="auto"/>
        <w:jc w:val="both"/>
        <w:rPr>
          <w:b/>
          <w:sz w:val="28"/>
          <w:szCs w:val="28"/>
        </w:rPr>
      </w:pPr>
      <w:r>
        <w:rPr>
          <w:b/>
          <w:sz w:val="28"/>
          <w:szCs w:val="28"/>
        </w:rPr>
        <w:t>HELD AT HARARE 13</w:t>
      </w:r>
      <w:r w:rsidRPr="001D6DC8">
        <w:rPr>
          <w:b/>
          <w:sz w:val="28"/>
          <w:szCs w:val="28"/>
          <w:vertAlign w:val="superscript"/>
        </w:rPr>
        <w:t>TH</w:t>
      </w:r>
      <w:r>
        <w:rPr>
          <w:b/>
          <w:sz w:val="28"/>
          <w:szCs w:val="28"/>
        </w:rPr>
        <w:t xml:space="preserve"> FEBRUARY 2014</w:t>
      </w:r>
      <w:r>
        <w:rPr>
          <w:b/>
          <w:sz w:val="28"/>
          <w:szCs w:val="28"/>
        </w:rPr>
        <w:tab/>
      </w:r>
      <w:r>
        <w:rPr>
          <w:b/>
          <w:sz w:val="28"/>
          <w:szCs w:val="28"/>
        </w:rPr>
        <w:tab/>
        <w:t>CASE NO LC/H/84/13</w:t>
      </w:r>
    </w:p>
    <w:p w:rsidR="001D6DC8" w:rsidRDefault="001D6DC8" w:rsidP="001D6DC8">
      <w:pPr>
        <w:spacing w:line="360" w:lineRule="auto"/>
        <w:jc w:val="both"/>
        <w:rPr>
          <w:b/>
          <w:sz w:val="28"/>
          <w:szCs w:val="28"/>
        </w:rPr>
      </w:pPr>
      <w:r>
        <w:rPr>
          <w:b/>
          <w:sz w:val="28"/>
          <w:szCs w:val="28"/>
        </w:rPr>
        <w:t>&amp; 28</w:t>
      </w:r>
      <w:r>
        <w:rPr>
          <w:b/>
          <w:sz w:val="28"/>
          <w:szCs w:val="28"/>
          <w:vertAlign w:val="superscript"/>
        </w:rPr>
        <w:t xml:space="preserve">TH </w:t>
      </w:r>
      <w:r>
        <w:rPr>
          <w:b/>
          <w:sz w:val="28"/>
          <w:szCs w:val="28"/>
        </w:rPr>
        <w:t>FEBRUARY 2014</w:t>
      </w:r>
    </w:p>
    <w:p w:rsidR="001D6DC8" w:rsidRDefault="001D6DC8" w:rsidP="001D6DC8">
      <w:pPr>
        <w:spacing w:line="360" w:lineRule="auto"/>
        <w:jc w:val="both"/>
        <w:rPr>
          <w:sz w:val="28"/>
          <w:szCs w:val="28"/>
        </w:rPr>
      </w:pPr>
      <w:r>
        <w:rPr>
          <w:sz w:val="28"/>
          <w:szCs w:val="28"/>
        </w:rPr>
        <w:t>In the matter between:-</w:t>
      </w:r>
    </w:p>
    <w:p w:rsidR="001D6DC8" w:rsidRDefault="001D6DC8" w:rsidP="001D6DC8">
      <w:pPr>
        <w:spacing w:line="360" w:lineRule="auto"/>
        <w:jc w:val="both"/>
        <w:rPr>
          <w:b/>
          <w:sz w:val="28"/>
          <w:szCs w:val="28"/>
        </w:rPr>
      </w:pPr>
      <w:r>
        <w:rPr>
          <w:b/>
          <w:sz w:val="28"/>
          <w:szCs w:val="28"/>
        </w:rPr>
        <w:t>TELONE (PVT) LTD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Applicant</w:t>
      </w:r>
    </w:p>
    <w:p w:rsidR="001D6DC8" w:rsidRDefault="001D6DC8" w:rsidP="001D6DC8">
      <w:pPr>
        <w:spacing w:line="360" w:lineRule="auto"/>
        <w:jc w:val="both"/>
        <w:rPr>
          <w:b/>
          <w:sz w:val="28"/>
          <w:szCs w:val="28"/>
        </w:rPr>
      </w:pPr>
      <w:r>
        <w:rPr>
          <w:b/>
          <w:sz w:val="28"/>
          <w:szCs w:val="28"/>
        </w:rPr>
        <w:t>And</w:t>
      </w:r>
    </w:p>
    <w:p w:rsidR="001D6DC8" w:rsidRDefault="001D6DC8" w:rsidP="001D6DC8">
      <w:pPr>
        <w:spacing w:line="360" w:lineRule="auto"/>
        <w:jc w:val="both"/>
        <w:rPr>
          <w:b/>
          <w:sz w:val="28"/>
          <w:szCs w:val="28"/>
        </w:rPr>
      </w:pPr>
      <w:r>
        <w:rPr>
          <w:b/>
          <w:sz w:val="28"/>
          <w:szCs w:val="28"/>
        </w:rPr>
        <w:t>GILBERT MATSANURA</w:t>
      </w:r>
      <w:r>
        <w:rPr>
          <w:b/>
          <w:sz w:val="28"/>
          <w:szCs w:val="28"/>
        </w:rPr>
        <w:tab/>
      </w:r>
      <w:r>
        <w:rPr>
          <w:b/>
          <w:sz w:val="28"/>
          <w:szCs w:val="28"/>
        </w:rPr>
        <w:tab/>
      </w:r>
      <w:r>
        <w:rPr>
          <w:b/>
          <w:sz w:val="28"/>
          <w:szCs w:val="28"/>
        </w:rPr>
        <w:tab/>
      </w:r>
      <w:r>
        <w:rPr>
          <w:b/>
          <w:sz w:val="28"/>
          <w:szCs w:val="28"/>
        </w:rPr>
        <w:tab/>
      </w:r>
      <w:r>
        <w:rPr>
          <w:b/>
          <w:sz w:val="28"/>
          <w:szCs w:val="28"/>
        </w:rPr>
        <w:tab/>
        <w:t>Respondent</w:t>
      </w:r>
    </w:p>
    <w:p w:rsidR="001D6DC8" w:rsidRDefault="001A0C7B" w:rsidP="001D6DC8">
      <w:pPr>
        <w:spacing w:line="360" w:lineRule="auto"/>
        <w:jc w:val="both"/>
        <w:rPr>
          <w:sz w:val="28"/>
          <w:szCs w:val="28"/>
        </w:rPr>
      </w:pPr>
      <w:r>
        <w:rPr>
          <w:sz w:val="28"/>
          <w:szCs w:val="28"/>
        </w:rPr>
        <w:t>Before The Honourable R</w:t>
      </w:r>
      <w:r w:rsidR="001D6DC8">
        <w:rPr>
          <w:sz w:val="28"/>
          <w:szCs w:val="28"/>
        </w:rPr>
        <w:t>.F. Manyangadze, Judge</w:t>
      </w:r>
    </w:p>
    <w:p w:rsidR="001D6DC8" w:rsidRDefault="001D6DC8" w:rsidP="001D6DC8">
      <w:pPr>
        <w:spacing w:line="360" w:lineRule="auto"/>
        <w:jc w:val="both"/>
        <w:rPr>
          <w:b/>
          <w:sz w:val="28"/>
          <w:szCs w:val="28"/>
        </w:rPr>
      </w:pPr>
      <w:r>
        <w:rPr>
          <w:b/>
          <w:sz w:val="28"/>
          <w:szCs w:val="28"/>
        </w:rPr>
        <w:t>For Applicant</w:t>
      </w:r>
      <w:r>
        <w:rPr>
          <w:b/>
          <w:sz w:val="28"/>
          <w:szCs w:val="28"/>
        </w:rPr>
        <w:tab/>
      </w:r>
      <w:r>
        <w:rPr>
          <w:b/>
          <w:sz w:val="28"/>
          <w:szCs w:val="28"/>
        </w:rPr>
        <w:tab/>
        <w:t>Mr S Kampira (Legal Practitioner)</w:t>
      </w:r>
    </w:p>
    <w:p w:rsidR="001D6DC8" w:rsidRDefault="001D6DC8" w:rsidP="001D6DC8">
      <w:pPr>
        <w:spacing w:line="360" w:lineRule="auto"/>
        <w:jc w:val="both"/>
        <w:rPr>
          <w:b/>
          <w:sz w:val="28"/>
          <w:szCs w:val="28"/>
        </w:rPr>
      </w:pPr>
      <w:r>
        <w:rPr>
          <w:b/>
          <w:sz w:val="28"/>
          <w:szCs w:val="28"/>
        </w:rPr>
        <w:t>Respondent</w:t>
      </w:r>
      <w:r>
        <w:rPr>
          <w:b/>
          <w:sz w:val="28"/>
          <w:szCs w:val="28"/>
        </w:rPr>
        <w:tab/>
      </w:r>
      <w:r>
        <w:rPr>
          <w:b/>
          <w:sz w:val="28"/>
          <w:szCs w:val="28"/>
        </w:rPr>
        <w:tab/>
      </w:r>
      <w:r>
        <w:rPr>
          <w:b/>
          <w:sz w:val="28"/>
          <w:szCs w:val="28"/>
        </w:rPr>
        <w:tab/>
        <w:t>In person</w:t>
      </w:r>
    </w:p>
    <w:p w:rsidR="001D6DC8" w:rsidRDefault="001D6DC8" w:rsidP="001D6DC8">
      <w:pPr>
        <w:spacing w:line="360" w:lineRule="auto"/>
        <w:jc w:val="both"/>
        <w:rPr>
          <w:b/>
          <w:sz w:val="28"/>
          <w:szCs w:val="28"/>
        </w:rPr>
      </w:pPr>
      <w:r>
        <w:rPr>
          <w:b/>
          <w:sz w:val="28"/>
          <w:szCs w:val="28"/>
        </w:rPr>
        <w:t>MANYANGAD</w:t>
      </w:r>
      <w:r w:rsidR="00D61F89">
        <w:rPr>
          <w:b/>
          <w:sz w:val="28"/>
          <w:szCs w:val="28"/>
        </w:rPr>
        <w:t>Z</w:t>
      </w:r>
      <w:r>
        <w:rPr>
          <w:b/>
          <w:sz w:val="28"/>
          <w:szCs w:val="28"/>
        </w:rPr>
        <w:t>E, J:</w:t>
      </w:r>
    </w:p>
    <w:p w:rsidR="001D6DC8" w:rsidRDefault="001D6DC8" w:rsidP="001D6DC8">
      <w:pPr>
        <w:spacing w:line="360" w:lineRule="auto"/>
        <w:jc w:val="both"/>
        <w:rPr>
          <w:sz w:val="28"/>
          <w:szCs w:val="28"/>
        </w:rPr>
      </w:pPr>
      <w:r>
        <w:rPr>
          <w:b/>
          <w:sz w:val="28"/>
          <w:szCs w:val="28"/>
        </w:rPr>
        <w:tab/>
      </w:r>
      <w:r>
        <w:rPr>
          <w:sz w:val="28"/>
          <w:szCs w:val="28"/>
        </w:rPr>
        <w:t>This is an application for rescission of a default judgment granted by this court on 1 November 2013.</w:t>
      </w:r>
    </w:p>
    <w:p w:rsidR="001D6DC8" w:rsidRDefault="001D6DC8" w:rsidP="001D6DC8">
      <w:pPr>
        <w:spacing w:line="360" w:lineRule="auto"/>
        <w:jc w:val="both"/>
        <w:rPr>
          <w:sz w:val="28"/>
          <w:szCs w:val="28"/>
        </w:rPr>
      </w:pPr>
      <w:r>
        <w:rPr>
          <w:sz w:val="28"/>
          <w:szCs w:val="28"/>
        </w:rPr>
        <w:tab/>
        <w:t>The applicant filed an appeal against the decision of the National Employment Council which had set aside the dismissal of the respondent from applicant’s employment.  On the set down date, 1 November 2013, there was no appearance for the applicant, resulting in the court granting a default judgment in favour of the respondent.</w:t>
      </w:r>
    </w:p>
    <w:p w:rsidR="00776141" w:rsidRDefault="001D6DC8" w:rsidP="00776141">
      <w:pPr>
        <w:spacing w:after="0" w:line="360" w:lineRule="auto"/>
        <w:jc w:val="both"/>
        <w:rPr>
          <w:sz w:val="28"/>
          <w:szCs w:val="28"/>
        </w:rPr>
      </w:pPr>
      <w:r>
        <w:rPr>
          <w:sz w:val="28"/>
          <w:szCs w:val="28"/>
        </w:rPr>
        <w:tab/>
        <w:t>The two b</w:t>
      </w:r>
      <w:r w:rsidR="00DB6BB7">
        <w:rPr>
          <w:sz w:val="28"/>
          <w:szCs w:val="28"/>
        </w:rPr>
        <w:t>roa</w:t>
      </w:r>
      <w:r>
        <w:rPr>
          <w:sz w:val="28"/>
          <w:szCs w:val="28"/>
        </w:rPr>
        <w:t xml:space="preserve">d considerations in an application of this nature, are whether or not applicant was in wilful default, and whether or not applicant has </w:t>
      </w:r>
      <w:r w:rsidR="00DB6BB7">
        <w:rPr>
          <w:sz w:val="28"/>
          <w:szCs w:val="28"/>
        </w:rPr>
        <w:t>good prospects of success on</w:t>
      </w:r>
      <w:r>
        <w:rPr>
          <w:sz w:val="28"/>
          <w:szCs w:val="28"/>
        </w:rPr>
        <w:t xml:space="preserve"> appeal.  These, infact, are the basic</w:t>
      </w:r>
      <w:r w:rsidR="00776141">
        <w:rPr>
          <w:sz w:val="28"/>
          <w:szCs w:val="28"/>
        </w:rPr>
        <w:t xml:space="preserve"> consideration</w:t>
      </w:r>
      <w:r w:rsidR="00DB6BB7">
        <w:rPr>
          <w:sz w:val="28"/>
          <w:szCs w:val="28"/>
        </w:rPr>
        <w:t>s</w:t>
      </w:r>
      <w:r w:rsidR="00776141">
        <w:rPr>
          <w:sz w:val="28"/>
          <w:szCs w:val="28"/>
        </w:rPr>
        <w:t xml:space="preserve"> in almost all inter</w:t>
      </w:r>
      <w:r w:rsidR="00DB6BB7">
        <w:rPr>
          <w:sz w:val="28"/>
          <w:szCs w:val="28"/>
        </w:rPr>
        <w:t>locutory</w:t>
      </w:r>
      <w:r w:rsidR="00776141">
        <w:rPr>
          <w:sz w:val="28"/>
          <w:szCs w:val="28"/>
        </w:rPr>
        <w:t xml:space="preserve"> applications seeking the court’s </w:t>
      </w:r>
      <w:r w:rsidR="00776141">
        <w:rPr>
          <w:sz w:val="28"/>
          <w:szCs w:val="28"/>
        </w:rPr>
        <w:lastRenderedPageBreak/>
        <w:t xml:space="preserve">indulgence for non-compliance  with its rules.  In </w:t>
      </w:r>
      <w:r w:rsidR="00776141">
        <w:rPr>
          <w:b/>
          <w:sz w:val="28"/>
          <w:szCs w:val="28"/>
        </w:rPr>
        <w:t>Mazvimbakupa v City of Harare</w:t>
      </w:r>
      <w:r w:rsidR="00776141">
        <w:rPr>
          <w:sz w:val="28"/>
          <w:szCs w:val="28"/>
        </w:rPr>
        <w:t xml:space="preserve"> HH-92-05 the court spelt out, </w:t>
      </w:r>
      <w:r w:rsidR="00776141">
        <w:rPr>
          <w:i/>
          <w:sz w:val="28"/>
          <w:szCs w:val="28"/>
        </w:rPr>
        <w:t xml:space="preserve">inter alia,  </w:t>
      </w:r>
    </w:p>
    <w:p w:rsidR="001D6DC8" w:rsidRDefault="00776141" w:rsidP="00776141">
      <w:pPr>
        <w:spacing w:after="0" w:line="360" w:lineRule="auto"/>
        <w:jc w:val="both"/>
        <w:rPr>
          <w:sz w:val="28"/>
          <w:szCs w:val="28"/>
        </w:rPr>
      </w:pPr>
      <w:r>
        <w:rPr>
          <w:sz w:val="28"/>
          <w:szCs w:val="28"/>
        </w:rPr>
        <w:t>the following factors:</w:t>
      </w:r>
    </w:p>
    <w:p w:rsidR="00776141" w:rsidRDefault="00776141" w:rsidP="00776141">
      <w:pPr>
        <w:pStyle w:val="ListParagraph"/>
        <w:numPr>
          <w:ilvl w:val="0"/>
          <w:numId w:val="1"/>
        </w:numPr>
        <w:spacing w:after="0" w:line="360" w:lineRule="auto"/>
        <w:jc w:val="both"/>
        <w:rPr>
          <w:sz w:val="28"/>
          <w:szCs w:val="28"/>
        </w:rPr>
      </w:pPr>
      <w:r>
        <w:rPr>
          <w:sz w:val="28"/>
          <w:szCs w:val="28"/>
        </w:rPr>
        <w:t>degree of non-compliance</w:t>
      </w:r>
    </w:p>
    <w:p w:rsidR="00776141" w:rsidRDefault="00776141" w:rsidP="00776141">
      <w:pPr>
        <w:pStyle w:val="ListParagraph"/>
        <w:numPr>
          <w:ilvl w:val="0"/>
          <w:numId w:val="1"/>
        </w:numPr>
        <w:spacing w:after="0" w:line="360" w:lineRule="auto"/>
        <w:jc w:val="both"/>
        <w:rPr>
          <w:sz w:val="28"/>
          <w:szCs w:val="28"/>
        </w:rPr>
      </w:pPr>
      <w:r>
        <w:rPr>
          <w:sz w:val="28"/>
          <w:szCs w:val="28"/>
        </w:rPr>
        <w:t>the explanation thereof</w:t>
      </w:r>
    </w:p>
    <w:p w:rsidR="00776141" w:rsidRDefault="00776141" w:rsidP="00776141">
      <w:pPr>
        <w:pStyle w:val="ListParagraph"/>
        <w:numPr>
          <w:ilvl w:val="0"/>
          <w:numId w:val="1"/>
        </w:numPr>
        <w:spacing w:after="0" w:line="360" w:lineRule="auto"/>
        <w:jc w:val="both"/>
        <w:rPr>
          <w:sz w:val="28"/>
          <w:szCs w:val="28"/>
        </w:rPr>
      </w:pPr>
      <w:r>
        <w:rPr>
          <w:sz w:val="28"/>
          <w:szCs w:val="28"/>
        </w:rPr>
        <w:t>the prospects of success  on the merits</w:t>
      </w:r>
    </w:p>
    <w:p w:rsidR="00776141" w:rsidRDefault="00776141" w:rsidP="00B01703">
      <w:pPr>
        <w:spacing w:after="0" w:line="360" w:lineRule="auto"/>
        <w:ind w:left="360" w:firstLine="360"/>
        <w:jc w:val="both"/>
        <w:rPr>
          <w:sz w:val="28"/>
          <w:szCs w:val="28"/>
        </w:rPr>
      </w:pPr>
      <w:r>
        <w:rPr>
          <w:sz w:val="28"/>
          <w:szCs w:val="28"/>
        </w:rPr>
        <w:t>The applican</w:t>
      </w:r>
      <w:r w:rsidR="00DB6BB7">
        <w:rPr>
          <w:sz w:val="28"/>
          <w:szCs w:val="28"/>
        </w:rPr>
        <w:t>t’s explanation for the default is</w:t>
      </w:r>
      <w:r>
        <w:rPr>
          <w:sz w:val="28"/>
          <w:szCs w:val="28"/>
        </w:rPr>
        <w:t xml:space="preserve"> that the set down of the </w:t>
      </w:r>
    </w:p>
    <w:p w:rsidR="00776141" w:rsidRDefault="00776141" w:rsidP="00776141">
      <w:pPr>
        <w:spacing w:after="0" w:line="360" w:lineRule="auto"/>
        <w:jc w:val="both"/>
        <w:rPr>
          <w:sz w:val="28"/>
          <w:szCs w:val="28"/>
        </w:rPr>
      </w:pPr>
      <w:r>
        <w:rPr>
          <w:sz w:val="28"/>
          <w:szCs w:val="28"/>
        </w:rPr>
        <w:t>matte</w:t>
      </w:r>
      <w:r w:rsidR="00DB6BB7">
        <w:rPr>
          <w:sz w:val="28"/>
          <w:szCs w:val="28"/>
        </w:rPr>
        <w:t>r was not brought to its legal p</w:t>
      </w:r>
      <w:r>
        <w:rPr>
          <w:sz w:val="28"/>
          <w:szCs w:val="28"/>
        </w:rPr>
        <w:t>ractitioner’s attention due to a diarising omission by his secretary.  Applicant submitted that it received service of the court order dismissing its appeal on 18 November 2013.  On e</w:t>
      </w:r>
      <w:r w:rsidR="00DB6BB7">
        <w:rPr>
          <w:sz w:val="28"/>
          <w:szCs w:val="28"/>
        </w:rPr>
        <w:t>nq</w:t>
      </w:r>
      <w:r w:rsidR="00B01703">
        <w:rPr>
          <w:sz w:val="28"/>
          <w:szCs w:val="28"/>
        </w:rPr>
        <w:t>u</w:t>
      </w:r>
      <w:r w:rsidR="00DB6BB7">
        <w:rPr>
          <w:sz w:val="28"/>
          <w:szCs w:val="28"/>
        </w:rPr>
        <w:t>i</w:t>
      </w:r>
      <w:r w:rsidR="00B01703">
        <w:rPr>
          <w:sz w:val="28"/>
          <w:szCs w:val="28"/>
        </w:rPr>
        <w:t>ring with its legal practitioner, that is when applicant was advised of the diarising mishap.</w:t>
      </w:r>
    </w:p>
    <w:p w:rsidR="00B01703" w:rsidRDefault="00B01703" w:rsidP="00776141">
      <w:pPr>
        <w:spacing w:after="0" w:line="360" w:lineRule="auto"/>
        <w:jc w:val="both"/>
        <w:rPr>
          <w:sz w:val="28"/>
          <w:szCs w:val="28"/>
        </w:rPr>
      </w:pPr>
      <w:r>
        <w:rPr>
          <w:sz w:val="28"/>
          <w:szCs w:val="28"/>
        </w:rPr>
        <w:tab/>
        <w:t xml:space="preserve">Applicant filed a supporting affidavit by Melody Chipuriro, the legal practitioner’s secretary.  In her affidavit, Chipuriro states that on 31 October 2013 she was called home to attend to an emergency.  Her 2 ½ year old son had received some serious burns.  She had to take the child to Dr Ndoro’s surgery, from where the child was referred to Parirenyatwa Hospital.  In the </w:t>
      </w:r>
      <w:r w:rsidR="00DB6BB7">
        <w:rPr>
          <w:sz w:val="28"/>
          <w:szCs w:val="28"/>
        </w:rPr>
        <w:t>w</w:t>
      </w:r>
      <w:r>
        <w:rPr>
          <w:sz w:val="28"/>
          <w:szCs w:val="28"/>
        </w:rPr>
        <w:t xml:space="preserve">ake of this emergency, she forgot to inform her boss, applicant’s legal practitioner, that this matter had been diarised for 1 November 2013.  She further stated that </w:t>
      </w:r>
      <w:r w:rsidR="00DB6BB7">
        <w:rPr>
          <w:sz w:val="28"/>
          <w:szCs w:val="28"/>
        </w:rPr>
        <w:t>her boss had spent the day,</w:t>
      </w:r>
      <w:r>
        <w:rPr>
          <w:sz w:val="28"/>
          <w:szCs w:val="28"/>
        </w:rPr>
        <w:t xml:space="preserve"> on 31 October 2013, out of office, </w:t>
      </w:r>
      <w:r w:rsidR="00DB6BB7">
        <w:rPr>
          <w:sz w:val="28"/>
          <w:szCs w:val="28"/>
        </w:rPr>
        <w:t>attending</w:t>
      </w:r>
      <w:r>
        <w:rPr>
          <w:sz w:val="28"/>
          <w:szCs w:val="28"/>
        </w:rPr>
        <w:t xml:space="preserve"> to a criminal matter.</w:t>
      </w:r>
    </w:p>
    <w:p w:rsidR="00B01703" w:rsidRDefault="00B01703" w:rsidP="00776141">
      <w:pPr>
        <w:spacing w:after="0" w:line="360" w:lineRule="auto"/>
        <w:jc w:val="both"/>
        <w:rPr>
          <w:sz w:val="28"/>
          <w:szCs w:val="28"/>
        </w:rPr>
      </w:pPr>
      <w:r>
        <w:rPr>
          <w:sz w:val="28"/>
          <w:szCs w:val="28"/>
        </w:rPr>
        <w:tab/>
        <w:t>What is not clear, as pointed out by respondent, is what the legal practitioner</w:t>
      </w:r>
      <w:r w:rsidR="00DB6BB7">
        <w:rPr>
          <w:sz w:val="28"/>
          <w:szCs w:val="28"/>
        </w:rPr>
        <w:t xml:space="preserve"> or his secretary did with the n</w:t>
      </w:r>
      <w:r>
        <w:rPr>
          <w:sz w:val="28"/>
          <w:szCs w:val="28"/>
        </w:rPr>
        <w:t>otice of set down soon after it was served.  31 October 2013 is obviously not the date</w:t>
      </w:r>
      <w:r w:rsidR="00DB6BB7">
        <w:rPr>
          <w:sz w:val="28"/>
          <w:szCs w:val="28"/>
        </w:rPr>
        <w:t xml:space="preserve"> the n</w:t>
      </w:r>
      <w:r>
        <w:rPr>
          <w:sz w:val="28"/>
          <w:szCs w:val="28"/>
        </w:rPr>
        <w:t xml:space="preserve">otice was served.  It was served well before this </w:t>
      </w:r>
      <w:r w:rsidR="00DB6BB7">
        <w:rPr>
          <w:sz w:val="28"/>
          <w:szCs w:val="28"/>
        </w:rPr>
        <w:t>date</w:t>
      </w:r>
      <w:r>
        <w:rPr>
          <w:sz w:val="28"/>
          <w:szCs w:val="28"/>
        </w:rPr>
        <w:t>.  Chipuriro says, in her affidavit, that she placed it in her boss’s diary, which diary she keeps. If the matter had been prompt</w:t>
      </w:r>
      <w:r w:rsidR="00DB6BB7">
        <w:rPr>
          <w:sz w:val="28"/>
          <w:szCs w:val="28"/>
        </w:rPr>
        <w:t xml:space="preserve">ly </w:t>
      </w:r>
      <w:r>
        <w:rPr>
          <w:sz w:val="28"/>
          <w:szCs w:val="28"/>
        </w:rPr>
        <w:t xml:space="preserve">and properly diarised, even the child’s emergency would not have </w:t>
      </w:r>
      <w:r>
        <w:rPr>
          <w:sz w:val="28"/>
          <w:szCs w:val="28"/>
        </w:rPr>
        <w:lastRenderedPageBreak/>
        <w:t>affected the legal practitioner’s schedule, as this occurred</w:t>
      </w:r>
      <w:r w:rsidR="001A560D">
        <w:rPr>
          <w:sz w:val="28"/>
          <w:szCs w:val="28"/>
        </w:rPr>
        <w:t xml:space="preserve"> well after the Notice of set down was received.  He should have been made aware of the set down date and scheduled his court commitments accordingly.</w:t>
      </w:r>
    </w:p>
    <w:p w:rsidR="001A560D" w:rsidRDefault="001A560D" w:rsidP="00776141">
      <w:pPr>
        <w:spacing w:after="0" w:line="360" w:lineRule="auto"/>
        <w:jc w:val="both"/>
        <w:rPr>
          <w:sz w:val="28"/>
          <w:szCs w:val="28"/>
        </w:rPr>
      </w:pPr>
      <w:r>
        <w:rPr>
          <w:sz w:val="28"/>
          <w:szCs w:val="28"/>
        </w:rPr>
        <w:tab/>
        <w:t>This is one of those cases where a client suffers prejudice due to a</w:t>
      </w:r>
      <w:r w:rsidR="00DB6BB7">
        <w:rPr>
          <w:sz w:val="28"/>
          <w:szCs w:val="28"/>
        </w:rPr>
        <w:t>dministrative mishaps occurring</w:t>
      </w:r>
      <w:r>
        <w:rPr>
          <w:sz w:val="28"/>
          <w:szCs w:val="28"/>
        </w:rPr>
        <w:t xml:space="preserve"> in a legal practitioner’s office.  There was some negligence in the manner the diarising was ha</w:t>
      </w:r>
      <w:r w:rsidR="00DB6BB7">
        <w:rPr>
          <w:sz w:val="28"/>
          <w:szCs w:val="28"/>
        </w:rPr>
        <w:t>nd</w:t>
      </w:r>
      <w:r>
        <w:rPr>
          <w:sz w:val="28"/>
          <w:szCs w:val="28"/>
        </w:rPr>
        <w:t>led by the legal practitioner’s secretary, her emerg</w:t>
      </w:r>
      <w:r w:rsidR="00DB6BB7">
        <w:rPr>
          <w:sz w:val="28"/>
          <w:szCs w:val="28"/>
        </w:rPr>
        <w:t>ency</w:t>
      </w:r>
      <w:r>
        <w:rPr>
          <w:sz w:val="28"/>
          <w:szCs w:val="28"/>
        </w:rPr>
        <w:t xml:space="preserve"> notwithstanding.</w:t>
      </w:r>
    </w:p>
    <w:p w:rsidR="001A560D" w:rsidRDefault="001A560D" w:rsidP="00776141">
      <w:pPr>
        <w:spacing w:after="0" w:line="360" w:lineRule="auto"/>
        <w:jc w:val="both"/>
        <w:rPr>
          <w:sz w:val="28"/>
          <w:szCs w:val="28"/>
        </w:rPr>
      </w:pPr>
      <w:r>
        <w:rPr>
          <w:sz w:val="28"/>
          <w:szCs w:val="28"/>
        </w:rPr>
        <w:tab/>
        <w:t>However, in the interests of bringing matters to a pro</w:t>
      </w:r>
      <w:r w:rsidR="00DB6BB7">
        <w:rPr>
          <w:sz w:val="28"/>
          <w:szCs w:val="28"/>
        </w:rPr>
        <w:t>per</w:t>
      </w:r>
      <w:r>
        <w:rPr>
          <w:sz w:val="28"/>
          <w:szCs w:val="28"/>
        </w:rPr>
        <w:t xml:space="preserve"> conclusion, the courts have </w:t>
      </w:r>
      <w:r w:rsidR="00DB6BB7">
        <w:rPr>
          <w:sz w:val="28"/>
          <w:szCs w:val="28"/>
        </w:rPr>
        <w:t>at times excused</w:t>
      </w:r>
      <w:r>
        <w:rPr>
          <w:sz w:val="28"/>
          <w:szCs w:val="28"/>
        </w:rPr>
        <w:t xml:space="preserve"> such negligence.  Each case, of course de</w:t>
      </w:r>
      <w:r w:rsidR="00DB6BB7">
        <w:rPr>
          <w:sz w:val="28"/>
          <w:szCs w:val="28"/>
        </w:rPr>
        <w:t>pends</w:t>
      </w:r>
      <w:r>
        <w:rPr>
          <w:sz w:val="28"/>
          <w:szCs w:val="28"/>
        </w:rPr>
        <w:t xml:space="preserve"> on its merits.  In a case were a legal practitioner co</w:t>
      </w:r>
      <w:r w:rsidR="00C123AA">
        <w:rPr>
          <w:sz w:val="28"/>
          <w:szCs w:val="28"/>
        </w:rPr>
        <w:t>uld not file Heads of Argument i</w:t>
      </w:r>
      <w:r>
        <w:rPr>
          <w:sz w:val="28"/>
          <w:szCs w:val="28"/>
        </w:rPr>
        <w:t>n time because</w:t>
      </w:r>
      <w:r w:rsidR="00C123AA">
        <w:rPr>
          <w:sz w:val="28"/>
          <w:szCs w:val="28"/>
        </w:rPr>
        <w:t xml:space="preserve"> the file had been misplaced in the law firm</w:t>
      </w:r>
      <w:r w:rsidR="00DB6BB7">
        <w:rPr>
          <w:sz w:val="28"/>
          <w:szCs w:val="28"/>
        </w:rPr>
        <w:t>’</w:t>
      </w:r>
      <w:r w:rsidR="00C123AA">
        <w:rPr>
          <w:sz w:val="28"/>
          <w:szCs w:val="28"/>
        </w:rPr>
        <w:t xml:space="preserve">s offices, the court granted condonation because of the need for the parties to have final judgment on the matter.  This was the case of </w:t>
      </w:r>
      <w:r w:rsidR="00C123AA">
        <w:rPr>
          <w:b/>
          <w:sz w:val="28"/>
          <w:szCs w:val="28"/>
        </w:rPr>
        <w:t xml:space="preserve">Chimpondah&amp;Anor v Muvami, </w:t>
      </w:r>
      <w:r w:rsidR="00C123AA">
        <w:rPr>
          <w:sz w:val="28"/>
          <w:szCs w:val="28"/>
        </w:rPr>
        <w:t xml:space="preserve">2007 (2) ZLR 326, where MAKARAU JA, </w:t>
      </w:r>
      <w:r w:rsidR="00DB6BB7">
        <w:rPr>
          <w:sz w:val="28"/>
          <w:szCs w:val="28"/>
        </w:rPr>
        <w:t>(</w:t>
      </w:r>
      <w:r w:rsidR="00C123AA">
        <w:rPr>
          <w:sz w:val="28"/>
          <w:szCs w:val="28"/>
        </w:rPr>
        <w:t>as she then was</w:t>
      </w:r>
      <w:r w:rsidR="00DB6BB7">
        <w:rPr>
          <w:sz w:val="28"/>
          <w:szCs w:val="28"/>
        </w:rPr>
        <w:t>)</w:t>
      </w:r>
      <w:r w:rsidR="00C123AA">
        <w:rPr>
          <w:sz w:val="28"/>
          <w:szCs w:val="28"/>
        </w:rPr>
        <w:t xml:space="preserve">, </w:t>
      </w:r>
      <w:r w:rsidR="00C123AA">
        <w:rPr>
          <w:i/>
          <w:sz w:val="28"/>
          <w:szCs w:val="28"/>
        </w:rPr>
        <w:t xml:space="preserve">inter alia, </w:t>
      </w:r>
      <w:r w:rsidR="00C123AA">
        <w:rPr>
          <w:sz w:val="28"/>
          <w:szCs w:val="28"/>
        </w:rPr>
        <w:t>stated, at p 327.</w:t>
      </w:r>
    </w:p>
    <w:p w:rsidR="00C123AA" w:rsidRDefault="00C123AA" w:rsidP="00C123AA">
      <w:pPr>
        <w:spacing w:after="0" w:line="240" w:lineRule="auto"/>
        <w:ind w:left="1440"/>
        <w:jc w:val="both"/>
        <w:rPr>
          <w:i/>
          <w:sz w:val="24"/>
          <w:szCs w:val="24"/>
        </w:rPr>
      </w:pPr>
      <w:r>
        <w:rPr>
          <w:i/>
          <w:sz w:val="24"/>
          <w:szCs w:val="24"/>
        </w:rPr>
        <w:t xml:space="preserve">“It is trite there </w:t>
      </w:r>
      <w:r w:rsidR="00DB6BB7">
        <w:rPr>
          <w:i/>
          <w:sz w:val="24"/>
          <w:szCs w:val="24"/>
        </w:rPr>
        <w:t>is a certain degree of negligence</w:t>
      </w:r>
      <w:r>
        <w:rPr>
          <w:i/>
          <w:sz w:val="24"/>
          <w:szCs w:val="24"/>
        </w:rPr>
        <w:t xml:space="preserve"> in failing to observe the rules of court.  An application for condonation such as the one before me is, therefore, an application for excusing the negligence of the offending party and the degree of such negligence then becomes a f</w:t>
      </w:r>
      <w:r w:rsidR="00494046">
        <w:rPr>
          <w:i/>
          <w:sz w:val="24"/>
          <w:szCs w:val="24"/>
        </w:rPr>
        <w:t>actor, together with other factors that will ensure that at the end of the day justice as between the parties prevails.”</w:t>
      </w:r>
    </w:p>
    <w:p w:rsidR="00494046" w:rsidRDefault="00494046" w:rsidP="00494046">
      <w:pPr>
        <w:spacing w:after="0" w:line="240" w:lineRule="auto"/>
        <w:jc w:val="both"/>
        <w:rPr>
          <w:i/>
          <w:sz w:val="24"/>
          <w:szCs w:val="24"/>
        </w:rPr>
      </w:pPr>
    </w:p>
    <w:p w:rsidR="00DB6BB7" w:rsidRDefault="00494046" w:rsidP="00494046">
      <w:pPr>
        <w:spacing w:after="0" w:line="360" w:lineRule="auto"/>
        <w:jc w:val="both"/>
        <w:rPr>
          <w:sz w:val="28"/>
          <w:szCs w:val="28"/>
        </w:rPr>
      </w:pPr>
      <w:r>
        <w:rPr>
          <w:sz w:val="28"/>
          <w:szCs w:val="28"/>
        </w:rPr>
        <w:tab/>
      </w:r>
      <w:r>
        <w:rPr>
          <w:i/>
          <w:sz w:val="28"/>
          <w:szCs w:val="28"/>
        </w:rPr>
        <w:t>In casu,</w:t>
      </w:r>
      <w:r>
        <w:rPr>
          <w:sz w:val="28"/>
          <w:szCs w:val="28"/>
        </w:rPr>
        <w:t xml:space="preserve"> the circumstances show that there was some degree of neglige</w:t>
      </w:r>
      <w:r w:rsidR="00DB6BB7">
        <w:rPr>
          <w:sz w:val="28"/>
          <w:szCs w:val="28"/>
        </w:rPr>
        <w:t>nce in the manner in which the n</w:t>
      </w:r>
      <w:r>
        <w:rPr>
          <w:sz w:val="28"/>
          <w:szCs w:val="28"/>
        </w:rPr>
        <w:t xml:space="preserve">otice of set down was handled in the applicant’s legal practitioners’ office, resulting in the legal practitioner missing the court date.  </w:t>
      </w:r>
    </w:p>
    <w:p w:rsidR="00494046" w:rsidRDefault="00494046" w:rsidP="00494046">
      <w:pPr>
        <w:spacing w:after="0" w:line="360" w:lineRule="auto"/>
        <w:jc w:val="both"/>
        <w:rPr>
          <w:sz w:val="28"/>
          <w:szCs w:val="28"/>
        </w:rPr>
      </w:pPr>
      <w:r>
        <w:rPr>
          <w:sz w:val="28"/>
          <w:szCs w:val="28"/>
        </w:rPr>
        <w:tab/>
        <w:t xml:space="preserve">On the prospects of success, I am of the view that an appeal court should be given a chance to determine whether or not it was proper for the NEC to substitute its own </w:t>
      </w:r>
      <w:r w:rsidR="00DB6BB7">
        <w:rPr>
          <w:sz w:val="28"/>
          <w:szCs w:val="28"/>
        </w:rPr>
        <w:t xml:space="preserve">sentencing </w:t>
      </w:r>
      <w:r>
        <w:rPr>
          <w:sz w:val="28"/>
          <w:szCs w:val="28"/>
        </w:rPr>
        <w:t xml:space="preserve">discretion for that of the applicant’s Disciplinary Committee.  It is also necessary to determine whether or not the </w:t>
      </w:r>
      <w:r>
        <w:rPr>
          <w:sz w:val="28"/>
          <w:szCs w:val="28"/>
        </w:rPr>
        <w:lastRenderedPageBreak/>
        <w:t xml:space="preserve">NEC properly interfered with the findings of the Disciplinary Committee, </w:t>
      </w:r>
      <w:r w:rsidR="00DB6BB7">
        <w:rPr>
          <w:sz w:val="28"/>
          <w:szCs w:val="28"/>
        </w:rPr>
        <w:t>in</w:t>
      </w:r>
      <w:r>
        <w:rPr>
          <w:sz w:val="28"/>
          <w:szCs w:val="28"/>
        </w:rPr>
        <w:t xml:space="preserve"> respect of the charges where it reversed the verdict of guilty.</w:t>
      </w:r>
    </w:p>
    <w:p w:rsidR="00494046" w:rsidRDefault="00494046" w:rsidP="00494046">
      <w:pPr>
        <w:spacing w:after="0" w:line="360" w:lineRule="auto"/>
        <w:jc w:val="both"/>
        <w:rPr>
          <w:sz w:val="28"/>
          <w:szCs w:val="28"/>
        </w:rPr>
      </w:pPr>
      <w:r>
        <w:rPr>
          <w:sz w:val="28"/>
          <w:szCs w:val="28"/>
        </w:rPr>
        <w:tab/>
        <w:t xml:space="preserve">I am, in the circumstances, inclined to adopt the approach in the </w:t>
      </w:r>
      <w:r>
        <w:rPr>
          <w:b/>
          <w:sz w:val="28"/>
          <w:szCs w:val="28"/>
        </w:rPr>
        <w:t>Chimpondah</w:t>
      </w:r>
      <w:r>
        <w:rPr>
          <w:sz w:val="28"/>
          <w:szCs w:val="28"/>
        </w:rPr>
        <w:t xml:space="preserve"> case, </w:t>
      </w:r>
      <w:r>
        <w:rPr>
          <w:i/>
          <w:sz w:val="28"/>
          <w:szCs w:val="28"/>
        </w:rPr>
        <w:t>supra,</w:t>
      </w:r>
      <w:r>
        <w:rPr>
          <w:sz w:val="28"/>
          <w:szCs w:val="28"/>
        </w:rPr>
        <w:t xml:space="preserve"> where the court’s overriding concern was </w:t>
      </w:r>
    </w:p>
    <w:p w:rsidR="00494046" w:rsidRDefault="00494046" w:rsidP="00494046">
      <w:pPr>
        <w:spacing w:after="0" w:line="240" w:lineRule="auto"/>
        <w:jc w:val="both"/>
        <w:rPr>
          <w:i/>
          <w:sz w:val="24"/>
          <w:szCs w:val="24"/>
        </w:rPr>
      </w:pPr>
      <w:r>
        <w:rPr>
          <w:sz w:val="28"/>
          <w:szCs w:val="28"/>
        </w:rPr>
        <w:tab/>
      </w:r>
      <w:r>
        <w:rPr>
          <w:sz w:val="28"/>
          <w:szCs w:val="28"/>
        </w:rPr>
        <w:tab/>
      </w:r>
      <w:r>
        <w:rPr>
          <w:i/>
          <w:sz w:val="24"/>
          <w:szCs w:val="24"/>
        </w:rPr>
        <w:t>“the ne</w:t>
      </w:r>
      <w:r w:rsidR="00DB6BB7">
        <w:rPr>
          <w:i/>
          <w:sz w:val="24"/>
          <w:szCs w:val="24"/>
        </w:rPr>
        <w:t>ed</w:t>
      </w:r>
      <w:r>
        <w:rPr>
          <w:i/>
          <w:sz w:val="24"/>
          <w:szCs w:val="24"/>
        </w:rPr>
        <w:t>for the parties to have a final judgment on the matter…”</w:t>
      </w:r>
    </w:p>
    <w:p w:rsidR="00494046" w:rsidRDefault="00494046" w:rsidP="00494046">
      <w:pPr>
        <w:spacing w:after="0" w:line="240" w:lineRule="auto"/>
        <w:jc w:val="both"/>
        <w:rPr>
          <w:i/>
          <w:sz w:val="24"/>
          <w:szCs w:val="24"/>
        </w:rPr>
      </w:pPr>
    </w:p>
    <w:p w:rsidR="00494046" w:rsidRDefault="00494046" w:rsidP="00494046">
      <w:pPr>
        <w:spacing w:after="0" w:line="360" w:lineRule="auto"/>
        <w:jc w:val="both"/>
        <w:rPr>
          <w:sz w:val="28"/>
          <w:szCs w:val="28"/>
        </w:rPr>
      </w:pPr>
      <w:r>
        <w:rPr>
          <w:sz w:val="24"/>
          <w:szCs w:val="24"/>
        </w:rPr>
        <w:tab/>
      </w:r>
      <w:r>
        <w:rPr>
          <w:sz w:val="28"/>
          <w:szCs w:val="28"/>
        </w:rPr>
        <w:t xml:space="preserve">It must however, be noted that this approach does </w:t>
      </w:r>
      <w:r w:rsidR="00DB6BB7">
        <w:rPr>
          <w:sz w:val="28"/>
          <w:szCs w:val="28"/>
        </w:rPr>
        <w:t xml:space="preserve">not invariably excuse </w:t>
      </w:r>
      <w:r>
        <w:rPr>
          <w:sz w:val="28"/>
          <w:szCs w:val="28"/>
        </w:rPr>
        <w:t xml:space="preserve"> negligence on the part of legal practitioners and those they depend on in running their</w:t>
      </w:r>
      <w:r w:rsidR="00F7746E">
        <w:rPr>
          <w:sz w:val="28"/>
          <w:szCs w:val="28"/>
        </w:rPr>
        <w:t xml:space="preserve"> offices.  They need to be vigilant at all times to avoid possible prejudice to their clients as, in some cases, condonation may be denied.</w:t>
      </w:r>
    </w:p>
    <w:p w:rsidR="00F7746E" w:rsidRDefault="00F7746E" w:rsidP="00494046">
      <w:pPr>
        <w:spacing w:after="0" w:line="360" w:lineRule="auto"/>
        <w:jc w:val="both"/>
        <w:rPr>
          <w:sz w:val="28"/>
          <w:szCs w:val="28"/>
        </w:rPr>
      </w:pPr>
      <w:r>
        <w:rPr>
          <w:sz w:val="28"/>
          <w:szCs w:val="28"/>
        </w:rPr>
        <w:tab/>
        <w:t>In the circumstances, it is ordered that;</w:t>
      </w:r>
    </w:p>
    <w:p w:rsidR="00F7746E" w:rsidRDefault="00DB6BB7" w:rsidP="00F7746E">
      <w:pPr>
        <w:pStyle w:val="ListParagraph"/>
        <w:numPr>
          <w:ilvl w:val="0"/>
          <w:numId w:val="2"/>
        </w:numPr>
        <w:spacing w:after="0" w:line="360" w:lineRule="auto"/>
        <w:jc w:val="both"/>
        <w:rPr>
          <w:sz w:val="28"/>
          <w:szCs w:val="28"/>
        </w:rPr>
      </w:pPr>
      <w:r>
        <w:rPr>
          <w:sz w:val="28"/>
          <w:szCs w:val="28"/>
        </w:rPr>
        <w:t xml:space="preserve"> T</w:t>
      </w:r>
      <w:r w:rsidR="00F7746E">
        <w:rPr>
          <w:sz w:val="28"/>
          <w:szCs w:val="28"/>
        </w:rPr>
        <w:t>he application for rescission of the default judgment granted by this court on 1 November 2013 be and is hereby granted.</w:t>
      </w:r>
    </w:p>
    <w:p w:rsidR="00F7746E" w:rsidRDefault="00F7746E" w:rsidP="00F7746E">
      <w:pPr>
        <w:pStyle w:val="ListParagraph"/>
        <w:numPr>
          <w:ilvl w:val="0"/>
          <w:numId w:val="2"/>
        </w:numPr>
        <w:spacing w:after="0" w:line="360" w:lineRule="auto"/>
        <w:jc w:val="both"/>
        <w:rPr>
          <w:sz w:val="28"/>
          <w:szCs w:val="28"/>
        </w:rPr>
      </w:pPr>
      <w:r>
        <w:rPr>
          <w:sz w:val="28"/>
          <w:szCs w:val="28"/>
        </w:rPr>
        <w:t>The Registrar shall set th</w:t>
      </w:r>
      <w:r w:rsidR="00DB6BB7">
        <w:rPr>
          <w:sz w:val="28"/>
          <w:szCs w:val="28"/>
        </w:rPr>
        <w:t>e application for interim relie</w:t>
      </w:r>
      <w:r w:rsidR="006B619B">
        <w:rPr>
          <w:sz w:val="28"/>
          <w:szCs w:val="28"/>
        </w:rPr>
        <w:t>f</w:t>
      </w:r>
      <w:r>
        <w:rPr>
          <w:sz w:val="28"/>
          <w:szCs w:val="28"/>
        </w:rPr>
        <w:t xml:space="preserve"> in case No LC/H/84/13 on the next available date.</w:t>
      </w:r>
    </w:p>
    <w:p w:rsidR="00F7746E" w:rsidRDefault="00F7746E" w:rsidP="00F7746E">
      <w:pPr>
        <w:pStyle w:val="ListParagraph"/>
        <w:numPr>
          <w:ilvl w:val="0"/>
          <w:numId w:val="2"/>
        </w:numPr>
        <w:spacing w:after="0" w:line="360" w:lineRule="auto"/>
        <w:jc w:val="both"/>
        <w:rPr>
          <w:sz w:val="28"/>
          <w:szCs w:val="28"/>
        </w:rPr>
      </w:pPr>
      <w:r>
        <w:rPr>
          <w:sz w:val="28"/>
          <w:szCs w:val="28"/>
        </w:rPr>
        <w:t>Cost</w:t>
      </w:r>
      <w:r w:rsidR="006B619B">
        <w:rPr>
          <w:sz w:val="28"/>
          <w:szCs w:val="28"/>
        </w:rPr>
        <w:t>s</w:t>
      </w:r>
      <w:r>
        <w:rPr>
          <w:sz w:val="28"/>
          <w:szCs w:val="28"/>
        </w:rPr>
        <w:t xml:space="preserve"> shall be in the cause.</w:t>
      </w:r>
    </w:p>
    <w:p w:rsidR="00F7746E" w:rsidRDefault="00F7746E" w:rsidP="00F7746E">
      <w:pPr>
        <w:spacing w:after="0" w:line="360" w:lineRule="auto"/>
        <w:jc w:val="both"/>
        <w:rPr>
          <w:sz w:val="28"/>
          <w:szCs w:val="28"/>
        </w:rPr>
      </w:pPr>
    </w:p>
    <w:p w:rsidR="00F7746E" w:rsidRDefault="00F7746E" w:rsidP="00F7746E">
      <w:pPr>
        <w:spacing w:after="0" w:line="360" w:lineRule="auto"/>
        <w:jc w:val="both"/>
        <w:rPr>
          <w:sz w:val="28"/>
          <w:szCs w:val="28"/>
        </w:rPr>
      </w:pPr>
    </w:p>
    <w:p w:rsidR="00F7746E" w:rsidRPr="00F7746E" w:rsidRDefault="00F7746E" w:rsidP="00F7746E">
      <w:pPr>
        <w:spacing w:after="0" w:line="360" w:lineRule="auto"/>
        <w:jc w:val="both"/>
        <w:rPr>
          <w:b/>
          <w:i/>
          <w:sz w:val="24"/>
          <w:szCs w:val="24"/>
        </w:rPr>
      </w:pPr>
      <w:r>
        <w:rPr>
          <w:b/>
          <w:i/>
          <w:sz w:val="24"/>
          <w:szCs w:val="24"/>
        </w:rPr>
        <w:t>Dondo&amp; Partners, applicant’s legal practitioners</w:t>
      </w:r>
    </w:p>
    <w:p w:rsidR="00F7746E" w:rsidRDefault="00F7746E" w:rsidP="00F7746E">
      <w:pPr>
        <w:spacing w:after="0" w:line="360" w:lineRule="auto"/>
        <w:jc w:val="both"/>
        <w:rPr>
          <w:sz w:val="28"/>
          <w:szCs w:val="28"/>
        </w:rPr>
      </w:pPr>
    </w:p>
    <w:p w:rsidR="00F7746E" w:rsidRDefault="00F7746E" w:rsidP="00F7746E">
      <w:pPr>
        <w:spacing w:after="0" w:line="360" w:lineRule="auto"/>
        <w:jc w:val="both"/>
        <w:rPr>
          <w:sz w:val="28"/>
          <w:szCs w:val="28"/>
        </w:rPr>
      </w:pPr>
    </w:p>
    <w:p w:rsidR="00F7746E" w:rsidRPr="00F7746E" w:rsidRDefault="00F7746E" w:rsidP="00F7746E">
      <w:pPr>
        <w:spacing w:after="0" w:line="360" w:lineRule="auto"/>
        <w:jc w:val="both"/>
        <w:rPr>
          <w:sz w:val="28"/>
          <w:szCs w:val="28"/>
        </w:rPr>
      </w:pPr>
    </w:p>
    <w:p w:rsidR="00494046" w:rsidRPr="00C123AA" w:rsidRDefault="00494046" w:rsidP="00494046">
      <w:pPr>
        <w:spacing w:after="0" w:line="360" w:lineRule="auto"/>
        <w:ind w:left="1440"/>
        <w:jc w:val="both"/>
        <w:rPr>
          <w:i/>
          <w:sz w:val="24"/>
          <w:szCs w:val="24"/>
        </w:rPr>
      </w:pPr>
    </w:p>
    <w:p w:rsidR="00776141" w:rsidRPr="00776141" w:rsidRDefault="00776141" w:rsidP="00494046">
      <w:pPr>
        <w:spacing w:after="0" w:line="360" w:lineRule="auto"/>
        <w:jc w:val="both"/>
        <w:rPr>
          <w:sz w:val="28"/>
          <w:szCs w:val="28"/>
        </w:rPr>
      </w:pPr>
    </w:p>
    <w:sectPr w:rsidR="00776141" w:rsidRPr="00776141" w:rsidSect="0077614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545" w:rsidRDefault="003F7545" w:rsidP="00776141">
      <w:pPr>
        <w:spacing w:after="0" w:line="240" w:lineRule="auto"/>
      </w:pPr>
      <w:r>
        <w:separator/>
      </w:r>
    </w:p>
  </w:endnote>
  <w:endnote w:type="continuationSeparator" w:id="1">
    <w:p w:rsidR="003F7545" w:rsidRDefault="003F7545" w:rsidP="007761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52192"/>
      <w:docPartObj>
        <w:docPartGallery w:val="Page Numbers (Bottom of Page)"/>
        <w:docPartUnique/>
      </w:docPartObj>
    </w:sdtPr>
    <w:sdtEndPr>
      <w:rPr>
        <w:noProof/>
      </w:rPr>
    </w:sdtEndPr>
    <w:sdtContent>
      <w:p w:rsidR="00494046" w:rsidRDefault="007E12F6">
        <w:pPr>
          <w:pStyle w:val="Footer"/>
          <w:jc w:val="right"/>
        </w:pPr>
        <w:r>
          <w:fldChar w:fldCharType="begin"/>
        </w:r>
        <w:r w:rsidR="00494046">
          <w:instrText xml:space="preserve"> PAGE   \* MERGEFORMAT </w:instrText>
        </w:r>
        <w:r>
          <w:fldChar w:fldCharType="separate"/>
        </w:r>
        <w:r w:rsidR="00D61F89">
          <w:rPr>
            <w:noProof/>
          </w:rPr>
          <w:t>4</w:t>
        </w:r>
        <w:r>
          <w:rPr>
            <w:noProof/>
          </w:rPr>
          <w:fldChar w:fldCharType="end"/>
        </w:r>
      </w:p>
    </w:sdtContent>
  </w:sdt>
  <w:p w:rsidR="00494046" w:rsidRDefault="004940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545" w:rsidRDefault="003F7545" w:rsidP="00776141">
      <w:pPr>
        <w:spacing w:after="0" w:line="240" w:lineRule="auto"/>
      </w:pPr>
      <w:r>
        <w:separator/>
      </w:r>
    </w:p>
  </w:footnote>
  <w:footnote w:type="continuationSeparator" w:id="1">
    <w:p w:rsidR="003F7545" w:rsidRDefault="003F7545" w:rsidP="007761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46" w:rsidRDefault="00494046" w:rsidP="001A0C7B">
    <w:pPr>
      <w:spacing w:line="360" w:lineRule="auto"/>
      <w:ind w:left="5040"/>
      <w:jc w:val="both"/>
      <w:rPr>
        <w:b/>
        <w:sz w:val="28"/>
        <w:szCs w:val="28"/>
      </w:rPr>
    </w:pPr>
    <w:r>
      <w:rPr>
        <w:b/>
        <w:sz w:val="28"/>
        <w:szCs w:val="28"/>
      </w:rPr>
      <w:t>JUDGMENT NO LC/H/</w:t>
    </w:r>
    <w:r w:rsidR="001A0C7B">
      <w:rPr>
        <w:b/>
        <w:sz w:val="28"/>
        <w:szCs w:val="28"/>
      </w:rPr>
      <w:t>104</w:t>
    </w:r>
    <w:r>
      <w:rPr>
        <w:b/>
        <w:sz w:val="28"/>
        <w:szCs w:val="28"/>
      </w:rPr>
      <w:t>/14</w:t>
    </w:r>
  </w:p>
  <w:p w:rsidR="00494046" w:rsidRDefault="004940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B3A8E"/>
    <w:multiLevelType w:val="hybridMultilevel"/>
    <w:tmpl w:val="420C2E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BCD1830"/>
    <w:multiLevelType w:val="hybridMultilevel"/>
    <w:tmpl w:val="BA84E38C"/>
    <w:lvl w:ilvl="0" w:tplc="794E19E4">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6DC8"/>
    <w:rsid w:val="001A0C7B"/>
    <w:rsid w:val="001A560D"/>
    <w:rsid w:val="001D6DC8"/>
    <w:rsid w:val="00343164"/>
    <w:rsid w:val="003F7545"/>
    <w:rsid w:val="004569D3"/>
    <w:rsid w:val="00494046"/>
    <w:rsid w:val="00554F5C"/>
    <w:rsid w:val="00677B94"/>
    <w:rsid w:val="006851D9"/>
    <w:rsid w:val="006B619B"/>
    <w:rsid w:val="00776141"/>
    <w:rsid w:val="007E12F6"/>
    <w:rsid w:val="009E44B5"/>
    <w:rsid w:val="00B01703"/>
    <w:rsid w:val="00C123AA"/>
    <w:rsid w:val="00CF12F1"/>
    <w:rsid w:val="00D61F89"/>
    <w:rsid w:val="00DB6BB7"/>
    <w:rsid w:val="00F7746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141"/>
  </w:style>
  <w:style w:type="paragraph" w:styleId="Footer">
    <w:name w:val="footer"/>
    <w:basedOn w:val="Normal"/>
    <w:link w:val="FooterChar"/>
    <w:uiPriority w:val="99"/>
    <w:unhideWhenUsed/>
    <w:rsid w:val="00776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141"/>
  </w:style>
  <w:style w:type="paragraph" w:styleId="ListParagraph">
    <w:name w:val="List Paragraph"/>
    <w:basedOn w:val="Normal"/>
    <w:uiPriority w:val="34"/>
    <w:qFormat/>
    <w:rsid w:val="00776141"/>
    <w:pPr>
      <w:ind w:left="720"/>
      <w:contextualSpacing/>
    </w:pPr>
  </w:style>
  <w:style w:type="paragraph" w:styleId="BalloonText">
    <w:name w:val="Balloon Text"/>
    <w:basedOn w:val="Normal"/>
    <w:link w:val="BalloonTextChar"/>
    <w:uiPriority w:val="99"/>
    <w:semiHidden/>
    <w:unhideWhenUsed/>
    <w:rsid w:val="001A0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C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141"/>
  </w:style>
  <w:style w:type="paragraph" w:styleId="Footer">
    <w:name w:val="footer"/>
    <w:basedOn w:val="Normal"/>
    <w:link w:val="FooterChar"/>
    <w:uiPriority w:val="99"/>
    <w:unhideWhenUsed/>
    <w:rsid w:val="00776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141"/>
  </w:style>
  <w:style w:type="paragraph" w:styleId="ListParagraph">
    <w:name w:val="List Paragraph"/>
    <w:basedOn w:val="Normal"/>
    <w:uiPriority w:val="34"/>
    <w:qFormat/>
    <w:rsid w:val="00776141"/>
    <w:pPr>
      <w:ind w:left="720"/>
      <w:contextualSpacing/>
    </w:pPr>
  </w:style>
  <w:style w:type="paragraph" w:styleId="BalloonText">
    <w:name w:val="Balloon Text"/>
    <w:basedOn w:val="Normal"/>
    <w:link w:val="BalloonTextChar"/>
    <w:uiPriority w:val="99"/>
    <w:semiHidden/>
    <w:unhideWhenUsed/>
    <w:rsid w:val="001A0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C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2014-02-21T12:36:00Z</cp:lastPrinted>
  <dcterms:created xsi:type="dcterms:W3CDTF">2014-04-30T12:14:00Z</dcterms:created>
  <dcterms:modified xsi:type="dcterms:W3CDTF">2014-04-30T12:14:00Z</dcterms:modified>
</cp:coreProperties>
</file>