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60" w:lineRule="auto" w:before="82"/>
        <w:ind w:right="30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LABOUR</w:t>
      </w:r>
      <w:r>
        <w:rPr>
          <w:spacing w:val="-2"/>
        </w:rPr>
        <w:t> </w:t>
      </w:r>
      <w:r>
        <w:rPr/>
        <w:t>COURT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ZIMBABWE</w:t>
      </w:r>
      <w:r>
        <w:rPr>
          <w:spacing w:val="-67"/>
        </w:rPr>
        <w:t> </w:t>
      </w:r>
      <w:r>
        <w:rPr/>
        <w:t>HARARE,</w:t>
      </w:r>
      <w:r>
        <w:rPr>
          <w:spacing w:val="-3"/>
        </w:rPr>
        <w:t> </w:t>
      </w:r>
      <w:r>
        <w:rPr/>
        <w:t>29</w:t>
      </w:r>
      <w:r>
        <w:rPr>
          <w:spacing w:val="-1"/>
        </w:rPr>
        <w:t> </w:t>
      </w:r>
      <w:r>
        <w:rPr/>
        <w:t>JUNE,</w:t>
      </w:r>
      <w:r>
        <w:rPr>
          <w:spacing w:val="-2"/>
        </w:rPr>
        <w:t> </w:t>
      </w:r>
      <w:r>
        <w:rPr/>
        <w:t>2023</w:t>
      </w:r>
    </w:p>
    <w:p>
      <w:pPr>
        <w:spacing w:line="289" w:lineRule="exact" w:before="0"/>
        <w:ind w:left="100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2"/>
          <w:sz w:val="24"/>
        </w:rPr>
        <w:t> </w:t>
      </w:r>
      <w:r>
        <w:rPr>
          <w:rFonts w:ascii="Tahoma"/>
          <w:b/>
          <w:sz w:val="24"/>
        </w:rPr>
        <w:t>29</w:t>
      </w:r>
      <w:r>
        <w:rPr>
          <w:rFonts w:ascii="Tahoma"/>
          <w:b/>
          <w:spacing w:val="-2"/>
          <w:sz w:val="24"/>
        </w:rPr>
        <w:t> </w:t>
      </w:r>
      <w:r>
        <w:rPr>
          <w:rFonts w:ascii="Tahoma"/>
          <w:b/>
          <w:sz w:val="24"/>
        </w:rPr>
        <w:t>SEPTEMBER,</w:t>
      </w:r>
      <w:r>
        <w:rPr>
          <w:rFonts w:ascii="Tahoma"/>
          <w:b/>
          <w:spacing w:val="-4"/>
          <w:sz w:val="24"/>
        </w:rPr>
        <w:t> </w:t>
      </w:r>
      <w:r>
        <w:rPr>
          <w:rFonts w:ascii="Tahoma"/>
          <w:b/>
          <w:sz w:val="24"/>
        </w:rPr>
        <w:t>2023</w:t>
      </w:r>
    </w:p>
    <w:p>
      <w:pPr>
        <w:pStyle w:val="BodyText"/>
        <w:ind w:left="0"/>
        <w:rPr>
          <w:rFonts w:ascii="Tahoma"/>
          <w:b/>
          <w:sz w:val="28"/>
        </w:rPr>
      </w:pPr>
    </w:p>
    <w:p>
      <w:pPr>
        <w:spacing w:before="241"/>
        <w:ind w:left="100" w:right="0" w:firstLine="0"/>
        <w:jc w:val="left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4"/>
          <w:sz w:val="24"/>
        </w:rPr>
        <w:t> </w:t>
      </w:r>
      <w:r>
        <w:rPr>
          <w:rFonts w:ascii="Tahoma"/>
          <w:sz w:val="24"/>
        </w:rPr>
        <w:t>the</w:t>
      </w:r>
      <w:r>
        <w:rPr>
          <w:rFonts w:ascii="Tahoma"/>
          <w:spacing w:val="-1"/>
          <w:sz w:val="24"/>
        </w:rPr>
        <w:t> </w:t>
      </w:r>
      <w:r>
        <w:rPr>
          <w:rFonts w:ascii="Tahoma"/>
          <w:sz w:val="24"/>
        </w:rPr>
        <w:t>matter</w:t>
      </w:r>
      <w:r>
        <w:rPr>
          <w:rFonts w:ascii="Tahoma"/>
          <w:spacing w:val="-3"/>
          <w:sz w:val="24"/>
        </w:rPr>
        <w:t> </w:t>
      </w:r>
      <w:r>
        <w:rPr>
          <w:rFonts w:ascii="Tahoma"/>
          <w:sz w:val="24"/>
        </w:rPr>
        <w:t>between:-</w:t>
      </w:r>
    </w:p>
    <w:p>
      <w:pPr>
        <w:pStyle w:val="Heading1"/>
        <w:spacing w:line="360" w:lineRule="auto" w:before="80"/>
        <w:ind w:right="345"/>
      </w:pPr>
      <w:r>
        <w:rPr>
          <w:b w:val="0"/>
        </w:rPr>
        <w:br w:type="column"/>
      </w:r>
      <w:r>
        <w:rPr/>
        <w:t>JUDGMENT NO. LC/H/289/23</w:t>
      </w:r>
      <w:r>
        <w:rPr>
          <w:spacing w:val="-68"/>
        </w:rPr>
        <w:t> </w:t>
      </w:r>
      <w:r>
        <w:rPr/>
        <w:t>CASE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LC/H/216/23</w:t>
      </w:r>
    </w:p>
    <w:p>
      <w:pPr>
        <w:spacing w:after="0" w:line="360" w:lineRule="auto"/>
        <w:sectPr>
          <w:footerReference w:type="default" r:id="rId5"/>
          <w:type w:val="continuous"/>
          <w:pgSz w:w="11910" w:h="16840"/>
          <w:pgMar w:footer="1000" w:top="1340" w:bottom="1200" w:left="1340" w:right="1340"/>
          <w:pgNumType w:start="1"/>
          <w:cols w:num="2" w:equalWidth="0">
            <w:col w:w="4805" w:space="362"/>
            <w:col w:w="4063"/>
          </w:cols>
        </w:sectPr>
      </w:pPr>
    </w:p>
    <w:p>
      <w:pPr>
        <w:pStyle w:val="BodyText"/>
        <w:ind w:left="0"/>
        <w:rPr>
          <w:rFonts w:ascii="Tahoma"/>
          <w:b/>
          <w:sz w:val="20"/>
        </w:rPr>
      </w:pPr>
    </w:p>
    <w:p>
      <w:pPr>
        <w:pStyle w:val="BodyText"/>
        <w:spacing w:before="8"/>
        <w:ind w:left="0"/>
        <w:rPr>
          <w:rFonts w:ascii="Tahoma"/>
          <w:b/>
          <w:sz w:val="19"/>
        </w:rPr>
      </w:pPr>
    </w:p>
    <w:p>
      <w:pPr>
        <w:tabs>
          <w:tab w:pos="6617" w:val="left" w:leader="none"/>
        </w:tabs>
        <w:spacing w:before="100"/>
        <w:ind w:left="100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TELONE</w:t>
      </w:r>
      <w:r>
        <w:rPr>
          <w:rFonts w:ascii="Tahoma"/>
          <w:b/>
          <w:spacing w:val="-3"/>
          <w:sz w:val="24"/>
        </w:rPr>
        <w:t> </w:t>
      </w:r>
      <w:r>
        <w:rPr>
          <w:rFonts w:ascii="Tahoma"/>
          <w:b/>
          <w:sz w:val="24"/>
        </w:rPr>
        <w:t>[PVT]</w:t>
      </w:r>
      <w:r>
        <w:rPr>
          <w:rFonts w:ascii="Tahoma"/>
          <w:b/>
          <w:spacing w:val="-2"/>
          <w:sz w:val="24"/>
        </w:rPr>
        <w:t> </w:t>
      </w:r>
      <w:r>
        <w:rPr>
          <w:rFonts w:ascii="Tahoma"/>
          <w:b/>
          <w:sz w:val="24"/>
        </w:rPr>
        <w:t>LTD</w:t>
        <w:tab/>
        <w:t>Appellant</w:t>
      </w:r>
    </w:p>
    <w:p>
      <w:pPr>
        <w:pStyle w:val="BodyText"/>
        <w:spacing w:before="1"/>
        <w:ind w:left="0"/>
        <w:rPr>
          <w:rFonts w:ascii="Tahoma"/>
          <w:b/>
          <w:sz w:val="24"/>
        </w:rPr>
      </w:pPr>
    </w:p>
    <w:p>
      <w:pPr>
        <w:spacing w:before="1"/>
        <w:ind w:left="100" w:right="0" w:firstLine="0"/>
        <w:jc w:val="left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>
      <w:pPr>
        <w:pStyle w:val="BodyText"/>
        <w:spacing w:before="11"/>
        <w:ind w:left="0"/>
        <w:rPr>
          <w:rFonts w:ascii="Tahoma"/>
          <w:sz w:val="23"/>
        </w:rPr>
      </w:pPr>
    </w:p>
    <w:p>
      <w:pPr>
        <w:tabs>
          <w:tab w:pos="6634" w:val="left" w:leader="none"/>
        </w:tabs>
        <w:spacing w:before="0"/>
        <w:ind w:left="100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z w:val="20"/>
        </w:rPr>
        <w:t>SERVIAS</w:t>
      </w:r>
      <w:r>
        <w:rPr>
          <w:rFonts w:ascii="Tahoma"/>
          <w:b/>
          <w:spacing w:val="-2"/>
          <w:sz w:val="20"/>
        </w:rPr>
        <w:t> </w:t>
      </w:r>
      <w:r>
        <w:rPr>
          <w:rFonts w:ascii="Tahoma"/>
          <w:b/>
          <w:sz w:val="20"/>
        </w:rPr>
        <w:t>MICHAELS</w:t>
        <w:tab/>
      </w:r>
      <w:r>
        <w:rPr>
          <w:rFonts w:ascii="Tahoma"/>
          <w:b/>
          <w:sz w:val="24"/>
        </w:rPr>
        <w:t>Respondent</w:t>
      </w:r>
    </w:p>
    <w:p>
      <w:pPr>
        <w:pStyle w:val="BodyText"/>
        <w:ind w:left="0"/>
        <w:rPr>
          <w:rFonts w:ascii="Tahoma"/>
          <w:b/>
          <w:sz w:val="28"/>
        </w:rPr>
      </w:pPr>
    </w:p>
    <w:p>
      <w:pPr>
        <w:pStyle w:val="BodyText"/>
        <w:ind w:left="0"/>
        <w:rPr>
          <w:rFonts w:ascii="Tahoma"/>
          <w:b/>
          <w:sz w:val="28"/>
        </w:rPr>
      </w:pPr>
    </w:p>
    <w:p>
      <w:pPr>
        <w:pStyle w:val="BodyText"/>
        <w:spacing w:before="4"/>
        <w:ind w:left="0"/>
        <w:rPr>
          <w:rFonts w:ascii="Tahoma"/>
          <w:b/>
          <w:sz w:val="30"/>
        </w:rPr>
      </w:pPr>
    </w:p>
    <w:p>
      <w:pPr>
        <w:pStyle w:val="Heading1"/>
      </w:pPr>
      <w:r>
        <w:rPr/>
        <w:t>Before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Honourable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/>
        <w:t>Hove,</w:t>
      </w:r>
      <w:r>
        <w:rPr>
          <w:spacing w:val="-2"/>
        </w:rPr>
        <w:t> </w:t>
      </w:r>
      <w:r>
        <w:rPr/>
        <w:t>Judge:</w:t>
      </w:r>
    </w:p>
    <w:p>
      <w:pPr>
        <w:pStyle w:val="BodyText"/>
        <w:spacing w:before="8"/>
        <w:ind w:left="0"/>
        <w:rPr>
          <w:rFonts w:ascii="Tahoma"/>
          <w:b/>
          <w:sz w:val="39"/>
        </w:rPr>
      </w:pPr>
    </w:p>
    <w:p>
      <w:pPr>
        <w:tabs>
          <w:tab w:pos="2025" w:val="left" w:leader="none"/>
        </w:tabs>
        <w:spacing w:before="0"/>
        <w:ind w:left="100" w:right="0" w:firstLine="0"/>
        <w:jc w:val="left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> </w:t>
      </w:r>
      <w:r>
        <w:rPr>
          <w:rFonts w:ascii="Tahoma"/>
          <w:sz w:val="24"/>
        </w:rPr>
        <w:t>Appellant</w:t>
        <w:tab/>
        <w:t>:</w:t>
      </w:r>
      <w:r>
        <w:rPr>
          <w:rFonts w:ascii="Tahoma"/>
          <w:spacing w:val="2"/>
          <w:sz w:val="24"/>
        </w:rPr>
        <w:t> </w:t>
      </w:r>
      <w:r>
        <w:rPr>
          <w:rFonts w:ascii="Tahoma"/>
          <w:sz w:val="24"/>
        </w:rPr>
        <w:t>Mr.J.Dondo</w:t>
      </w:r>
    </w:p>
    <w:p>
      <w:pPr>
        <w:tabs>
          <w:tab w:pos="1993" w:val="left" w:leader="none"/>
        </w:tabs>
        <w:spacing w:before="145"/>
        <w:ind w:left="100" w:right="0" w:firstLine="0"/>
        <w:jc w:val="left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> </w:t>
      </w:r>
      <w:r>
        <w:rPr>
          <w:rFonts w:ascii="Tahoma"/>
          <w:sz w:val="24"/>
        </w:rPr>
        <w:t>Respondent</w:t>
        <w:tab/>
        <w:t>:</w:t>
      </w:r>
      <w:r>
        <w:rPr>
          <w:rFonts w:ascii="Tahoma"/>
          <w:spacing w:val="72"/>
          <w:sz w:val="24"/>
        </w:rPr>
        <w:t> </w:t>
      </w:r>
      <w:r>
        <w:rPr>
          <w:rFonts w:ascii="Tahoma"/>
          <w:sz w:val="24"/>
        </w:rPr>
        <w:t>Mr.</w:t>
      </w:r>
      <w:r>
        <w:rPr>
          <w:rFonts w:ascii="Tahoma"/>
          <w:spacing w:val="-2"/>
          <w:sz w:val="24"/>
        </w:rPr>
        <w:t> </w:t>
      </w:r>
      <w:r>
        <w:rPr>
          <w:rFonts w:ascii="Tahoma"/>
          <w:sz w:val="24"/>
        </w:rPr>
        <w:t>Chinyanganya</w:t>
      </w:r>
    </w:p>
    <w:p>
      <w:pPr>
        <w:pStyle w:val="BodyText"/>
        <w:ind w:left="0"/>
        <w:rPr>
          <w:rFonts w:ascii="Tahoma"/>
          <w:sz w:val="28"/>
        </w:rPr>
      </w:pPr>
    </w:p>
    <w:p>
      <w:pPr>
        <w:pStyle w:val="Heading1"/>
        <w:spacing w:before="241"/>
      </w:pPr>
      <w:r>
        <w:rPr/>
        <w:t>HOVE</w:t>
      </w:r>
      <w:r>
        <w:rPr>
          <w:spacing w:val="-3"/>
        </w:rPr>
        <w:t> </w:t>
      </w:r>
      <w:r>
        <w:rPr/>
        <w:t>J:</w:t>
      </w:r>
    </w:p>
    <w:p>
      <w:pPr>
        <w:pStyle w:val="BodyText"/>
        <w:ind w:left="0"/>
        <w:rPr>
          <w:rFonts w:ascii="Tahoma"/>
          <w:b/>
          <w:sz w:val="28"/>
        </w:rPr>
      </w:pPr>
    </w:p>
    <w:p>
      <w:pPr>
        <w:pStyle w:val="BodyText"/>
        <w:spacing w:before="4"/>
        <w:ind w:left="0"/>
        <w:rPr>
          <w:rFonts w:ascii="Tahoma"/>
          <w:b/>
          <w:sz w:val="21"/>
        </w:rPr>
      </w:pPr>
    </w:p>
    <w:p>
      <w:pPr>
        <w:pStyle w:val="BodyText"/>
        <w:spacing w:line="259" w:lineRule="auto"/>
      </w:pPr>
      <w:r>
        <w:rPr/>
        <w:t>The appellant, in casu, appeals against the decision of the National hearing committee which found</w:t>
      </w:r>
      <w:r>
        <w:rPr>
          <w:spacing w:val="-47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disciplinary</w:t>
      </w:r>
      <w:r>
        <w:rPr>
          <w:spacing w:val="-1"/>
        </w:rPr>
        <w:t> </w:t>
      </w:r>
      <w:r>
        <w:rPr/>
        <w:t>proceedings</w:t>
      </w:r>
      <w:r>
        <w:rPr>
          <w:spacing w:val="-1"/>
        </w:rPr>
        <w:t> </w:t>
      </w:r>
      <w:r>
        <w:rPr/>
        <w:t>against the</w:t>
      </w:r>
      <w:r>
        <w:rPr>
          <w:spacing w:val="-1"/>
        </w:rPr>
        <w:t> </w:t>
      </w:r>
      <w:r>
        <w:rPr/>
        <w:t>respondent</w:t>
      </w:r>
      <w:r>
        <w:rPr>
          <w:spacing w:val="1"/>
        </w:rPr>
        <w:t> </w:t>
      </w:r>
      <w:r>
        <w:rPr/>
        <w:t>were irregular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therefore null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void.</w:t>
      </w:r>
    </w:p>
    <w:p>
      <w:pPr>
        <w:pStyle w:val="BodyText"/>
        <w:spacing w:line="259" w:lineRule="auto" w:before="159"/>
        <w:ind w:right="283"/>
      </w:pPr>
      <w:r>
        <w:rPr/>
        <w:t>The facts of the matter are that the respondent was facing allegations of sexual harassment arising</w:t>
      </w:r>
      <w:r>
        <w:rPr>
          <w:spacing w:val="-47"/>
        </w:rPr>
        <w:t> </w:t>
      </w:r>
      <w:r>
        <w:rPr/>
        <w:t>from unwelcome sexually determined behaviors that he had exhibited towards some female</w:t>
      </w:r>
      <w:r>
        <w:rPr>
          <w:spacing w:val="1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appellant.</w:t>
      </w:r>
    </w:p>
    <w:p>
      <w:pPr>
        <w:pStyle w:val="BodyText"/>
        <w:spacing w:line="259" w:lineRule="auto" w:before="160"/>
        <w:ind w:right="147"/>
      </w:pPr>
      <w:r>
        <w:rPr/>
        <w:t>The appellant alleges that the respondent was advised that he could appear either in person or with</w:t>
      </w:r>
      <w:r>
        <w:rPr>
          <w:spacing w:val="-47"/>
        </w:rPr>
        <w:t> </w:t>
      </w:r>
      <w:r>
        <w:rPr/>
        <w:t>a legal practitioner if he wanted to be represented at the disciplinary proceedings which were</w:t>
      </w:r>
      <w:r>
        <w:rPr>
          <w:spacing w:val="1"/>
        </w:rPr>
        <w:t> </w:t>
      </w:r>
      <w:r>
        <w:rPr/>
        <w:t>commenced against him. The respondent attended the disciplinary proceedings alone and</w:t>
      </w:r>
      <w:r>
        <w:rPr>
          <w:spacing w:val="1"/>
        </w:rPr>
        <w:t> </w:t>
      </w:r>
      <w:r>
        <w:rPr/>
        <w:t>represented himself throughout the first day of the proceedings, the 17</w:t>
      </w:r>
      <w:r>
        <w:rPr>
          <w:vertAlign w:val="superscript"/>
        </w:rPr>
        <w:t>th</w:t>
      </w:r>
      <w:r>
        <w:rPr>
          <w:vertAlign w:val="baseline"/>
        </w:rPr>
        <w:t> of February 2022. He</w:t>
      </w:r>
      <w:r>
        <w:rPr>
          <w:spacing w:val="1"/>
          <w:vertAlign w:val="baseline"/>
        </w:rPr>
        <w:t> </w:t>
      </w:r>
      <w:r>
        <w:rPr>
          <w:vertAlign w:val="baseline"/>
        </w:rPr>
        <w:t>continued to represent himself the following day, but just before the hearing came to an end on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18</w:t>
      </w:r>
      <w:r>
        <w:rPr>
          <w:vertAlign w:val="superscript"/>
        </w:rPr>
        <w:t>th</w:t>
      </w:r>
      <w:r>
        <w:rPr>
          <w:vertAlign w:val="baseline"/>
        </w:rPr>
        <w:t>, he indicated that he wanted to engage a legal practitioner. His request to have the proceedings</w:t>
      </w:r>
      <w:r>
        <w:rPr>
          <w:spacing w:val="-47"/>
          <w:vertAlign w:val="baseline"/>
        </w:rPr>
        <w:t> </w:t>
      </w:r>
      <w:r>
        <w:rPr>
          <w:vertAlign w:val="baseline"/>
        </w:rPr>
        <w:t>postponed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enable</w:t>
      </w:r>
      <w:r>
        <w:rPr>
          <w:spacing w:val="-3"/>
          <w:vertAlign w:val="baseline"/>
        </w:rPr>
        <w:t> </w:t>
      </w:r>
      <w:r>
        <w:rPr>
          <w:vertAlign w:val="baseline"/>
        </w:rPr>
        <w:t>him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engage</w:t>
      </w:r>
      <w:r>
        <w:rPr>
          <w:spacing w:val="-3"/>
          <w:vertAlign w:val="baseline"/>
        </w:rPr>
        <w:t> </w:t>
      </w:r>
      <w:r>
        <w:rPr>
          <w:vertAlign w:val="baseline"/>
        </w:rPr>
        <w:t>a legal practitioner was turned</w:t>
      </w:r>
      <w:r>
        <w:rPr>
          <w:spacing w:val="-1"/>
          <w:vertAlign w:val="baseline"/>
        </w:rPr>
        <w:t> </w:t>
      </w:r>
      <w:r>
        <w:rPr>
          <w:vertAlign w:val="baseline"/>
        </w:rPr>
        <w:t>down.</w:t>
      </w:r>
    </w:p>
    <w:p>
      <w:pPr>
        <w:pStyle w:val="BodyText"/>
        <w:spacing w:line="259" w:lineRule="auto" w:before="159"/>
        <w:ind w:right="205"/>
      </w:pPr>
      <w:r>
        <w:rPr/>
        <w:t>The respondent was then taken ill and the hearing could not proceed on that day, the 18</w:t>
      </w:r>
      <w:r>
        <w:rPr>
          <w:vertAlign w:val="superscript"/>
        </w:rPr>
        <w:t>th.</w:t>
      </w:r>
      <w:r>
        <w:rPr>
          <w:vertAlign w:val="baseline"/>
        </w:rPr>
        <w:t>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proceedings were postponed to the 11</w:t>
      </w:r>
      <w:r>
        <w:rPr>
          <w:vertAlign w:val="superscript"/>
        </w:rPr>
        <w:t>th</w:t>
      </w:r>
      <w:r>
        <w:rPr>
          <w:vertAlign w:val="baseline"/>
        </w:rPr>
        <w:t> of March 2022. On the 11</w:t>
      </w:r>
      <w:r>
        <w:rPr>
          <w:vertAlign w:val="superscript"/>
        </w:rPr>
        <w:t>th</w:t>
      </w:r>
      <w:r>
        <w:rPr>
          <w:vertAlign w:val="baseline"/>
        </w:rPr>
        <w:t> the respondent did not attend</w:t>
      </w:r>
      <w:r>
        <w:rPr>
          <w:spacing w:val="1"/>
          <w:vertAlign w:val="baseline"/>
        </w:rPr>
        <w:t> </w:t>
      </w:r>
      <w:r>
        <w:rPr>
          <w:vertAlign w:val="baseline"/>
        </w:rPr>
        <w:t>the hearing. About 20 minutes after the scheduled time of the hearing, the appellant managed to</w:t>
      </w:r>
      <w:r>
        <w:rPr>
          <w:spacing w:val="1"/>
          <w:vertAlign w:val="baseline"/>
        </w:rPr>
        <w:t> </w:t>
      </w:r>
      <w:r>
        <w:rPr>
          <w:vertAlign w:val="baseline"/>
        </w:rPr>
        <w:t>raise the respondent to try and get him to attend the proceedings. The respondent advised that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meeting</w:t>
      </w:r>
      <w:r>
        <w:rPr>
          <w:spacing w:val="-2"/>
          <w:vertAlign w:val="baseline"/>
        </w:rPr>
        <w:t> </w:t>
      </w:r>
      <w:r>
        <w:rPr>
          <w:vertAlign w:val="baseline"/>
        </w:rPr>
        <w:t>could</w:t>
      </w:r>
      <w:r>
        <w:rPr>
          <w:spacing w:val="-2"/>
          <w:vertAlign w:val="baseline"/>
        </w:rPr>
        <w:t> </w:t>
      </w:r>
      <w:r>
        <w:rPr>
          <w:vertAlign w:val="baseline"/>
        </w:rPr>
        <w:t>proceed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his</w:t>
      </w:r>
      <w:r>
        <w:rPr>
          <w:spacing w:val="-1"/>
          <w:vertAlign w:val="baseline"/>
        </w:rPr>
        <w:t> </w:t>
      </w:r>
      <w:r>
        <w:rPr>
          <w:vertAlign w:val="baseline"/>
        </w:rPr>
        <w:t>absence. He asked</w:t>
      </w:r>
      <w:r>
        <w:rPr>
          <w:spacing w:val="-2"/>
          <w:vertAlign w:val="baseline"/>
        </w:rPr>
        <w:t> </w:t>
      </w:r>
      <w:r>
        <w:rPr>
          <w:vertAlign w:val="baseline"/>
        </w:rPr>
        <w:t>that he should</w:t>
      </w:r>
      <w:r>
        <w:rPr>
          <w:spacing w:val="-3"/>
          <w:vertAlign w:val="baseline"/>
        </w:rPr>
        <w:t> </w:t>
      </w:r>
      <w:r>
        <w:rPr>
          <w:vertAlign w:val="baseline"/>
        </w:rPr>
        <w:t>be</w:t>
      </w:r>
      <w:r>
        <w:rPr>
          <w:spacing w:val="-3"/>
          <w:vertAlign w:val="baseline"/>
        </w:rPr>
        <w:t> </w:t>
      </w:r>
      <w:r>
        <w:rPr>
          <w:vertAlign w:val="baseline"/>
        </w:rPr>
        <w:t>advised</w:t>
      </w:r>
      <w:r>
        <w:rPr>
          <w:spacing w:val="-1"/>
          <w:vertAlign w:val="baseline"/>
        </w:rPr>
        <w:t> </w:t>
      </w:r>
      <w:r>
        <w:rPr>
          <w:vertAlign w:val="baseline"/>
        </w:rPr>
        <w:t>of the</w:t>
      </w:r>
      <w:r>
        <w:rPr>
          <w:spacing w:val="-5"/>
          <w:vertAlign w:val="baseline"/>
        </w:rPr>
        <w:t> </w:t>
      </w:r>
      <w:r>
        <w:rPr>
          <w:vertAlign w:val="baseline"/>
        </w:rPr>
        <w:t>outcome.</w:t>
      </w:r>
    </w:p>
    <w:p>
      <w:pPr>
        <w:spacing w:after="0" w:line="259" w:lineRule="auto"/>
        <w:sectPr>
          <w:type w:val="continuous"/>
          <w:pgSz w:w="11910" w:h="16840"/>
          <w:pgMar w:top="1340" w:bottom="1200" w:left="1340" w:right="1340"/>
        </w:sectPr>
      </w:pPr>
    </w:p>
    <w:p>
      <w:pPr>
        <w:pStyle w:val="BodyText"/>
        <w:spacing w:line="259" w:lineRule="auto" w:before="41"/>
        <w:ind w:right="124"/>
      </w:pPr>
      <w:r>
        <w:rPr/>
        <w:t>In the meantime, the respondent had been given a sick leave note from his family doctor. He was off</w:t>
      </w:r>
      <w:r>
        <w:rPr>
          <w:spacing w:val="-47"/>
        </w:rPr>
        <w:t> </w:t>
      </w:r>
      <w:r>
        <w:rPr/>
        <w:t>sick from 18 February 2022 to 19 February 2022. He submitted another sick note for period 22</w:t>
      </w:r>
      <w:r>
        <w:rPr>
          <w:spacing w:val="1"/>
        </w:rPr>
        <w:t> </w:t>
      </w:r>
      <w:r>
        <w:rPr/>
        <w:t>February, 2022 to 4 March 2022 .On 4 March2022, he submitted another sick note for period 5</w:t>
      </w:r>
      <w:r>
        <w:rPr>
          <w:spacing w:val="1"/>
        </w:rPr>
        <w:t> </w:t>
      </w:r>
      <w:r>
        <w:rPr/>
        <w:t>March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March, 2022.</w:t>
      </w:r>
    </w:p>
    <w:p>
      <w:pPr>
        <w:pStyle w:val="BodyText"/>
        <w:spacing w:line="259" w:lineRule="auto" w:before="160"/>
        <w:ind w:right="191"/>
      </w:pPr>
      <w:r>
        <w:rPr/>
        <w:t>The chairman of the disciplinary committee then requested a comprehensive medical report or that</w:t>
      </w:r>
      <w:r>
        <w:rPr>
          <w:spacing w:val="-47"/>
        </w:rPr>
        <w:t> </w:t>
      </w:r>
      <w:r>
        <w:rPr/>
        <w:t>he be assessed by appellant’s doctor. Respondent opted to submit a report and submitted it. The</w:t>
      </w:r>
      <w:r>
        <w:rPr>
          <w:spacing w:val="1"/>
        </w:rPr>
        <w:t> </w:t>
      </w:r>
      <w:r>
        <w:rPr/>
        <w:t>report</w:t>
      </w:r>
      <w:r>
        <w:rPr>
          <w:spacing w:val="-4"/>
        </w:rPr>
        <w:t> </w:t>
      </w:r>
      <w:r>
        <w:rPr/>
        <w:t>indicated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his</w:t>
      </w:r>
      <w:r>
        <w:rPr>
          <w:spacing w:val="-1"/>
        </w:rPr>
        <w:t> </w:t>
      </w:r>
      <w:r>
        <w:rPr/>
        <w:t>blood</w:t>
      </w:r>
      <w:r>
        <w:rPr>
          <w:spacing w:val="-3"/>
        </w:rPr>
        <w:t> </w:t>
      </w:r>
      <w:r>
        <w:rPr/>
        <w:t>pressure</w:t>
      </w:r>
      <w:r>
        <w:rPr>
          <w:spacing w:val="-4"/>
        </w:rPr>
        <w:t> </w:t>
      </w:r>
      <w:r>
        <w:rPr/>
        <w:t>had</w:t>
      </w:r>
      <w:r>
        <w:rPr>
          <w:spacing w:val="-4"/>
        </w:rPr>
        <w:t> </w:t>
      </w:r>
      <w:r>
        <w:rPr/>
        <w:t>normalized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he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now</w:t>
      </w:r>
      <w:r>
        <w:rPr>
          <w:spacing w:val="-4"/>
        </w:rPr>
        <w:t> </w:t>
      </w:r>
      <w:r>
        <w:rPr/>
        <w:t>suffering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depression.</w:t>
      </w:r>
    </w:p>
    <w:p>
      <w:pPr>
        <w:pStyle w:val="BodyText"/>
        <w:spacing w:before="159"/>
      </w:pPr>
      <w:r>
        <w:rPr/>
        <w:t>The</w:t>
      </w:r>
      <w:r>
        <w:rPr>
          <w:spacing w:val="-2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decide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proceed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hearing</w:t>
      </w:r>
      <w:r>
        <w:rPr>
          <w:spacing w:val="-1"/>
        </w:rPr>
        <w:t> </w:t>
      </w:r>
      <w:r>
        <w:rPr/>
        <w:t>scheduled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11</w:t>
      </w:r>
      <w:r>
        <w:rPr>
          <w:spacing w:val="-2"/>
        </w:rPr>
        <w:t> </w:t>
      </w:r>
      <w:r>
        <w:rPr/>
        <w:t>March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spacing w:line="259" w:lineRule="auto" w:before="181"/>
        <w:ind w:right="123"/>
      </w:pPr>
      <w:r>
        <w:rPr/>
        <w:t>On 3 March 2022, a firm of legal practitioners had written to the appellant indicating that they had</w:t>
      </w:r>
      <w:r>
        <w:rPr>
          <w:spacing w:val="1"/>
        </w:rPr>
        <w:t> </w:t>
      </w:r>
      <w:r>
        <w:rPr/>
        <w:t>been instructed by the respondent to represent him in the disciplinary proceedings. The appellant</w:t>
      </w:r>
      <w:r>
        <w:rPr>
          <w:spacing w:val="1"/>
        </w:rPr>
        <w:t> </w:t>
      </w:r>
      <w:r>
        <w:rPr/>
        <w:t>stated that the legal representatives did not attend the hearing on the 11</w:t>
      </w:r>
      <w:r>
        <w:rPr>
          <w:vertAlign w:val="superscript"/>
        </w:rPr>
        <w:t>th</w:t>
      </w:r>
      <w:r>
        <w:rPr>
          <w:vertAlign w:val="baseline"/>
        </w:rPr>
        <w:t> of March 2022, this was</w:t>
      </w:r>
      <w:r>
        <w:rPr>
          <w:spacing w:val="1"/>
          <w:vertAlign w:val="baseline"/>
        </w:rPr>
        <w:t> </w:t>
      </w:r>
      <w:r>
        <w:rPr>
          <w:vertAlign w:val="baseline"/>
        </w:rPr>
        <w:t>in spite of the fact that the respondent had been advised of the hearing dates. They advised that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comprehensive</w:t>
      </w:r>
      <w:r>
        <w:rPr>
          <w:spacing w:val="-1"/>
          <w:vertAlign w:val="baseline"/>
        </w:rPr>
        <w:t> </w:t>
      </w:r>
      <w:r>
        <w:rPr>
          <w:vertAlign w:val="baseline"/>
        </w:rPr>
        <w:t>report</w:t>
      </w:r>
      <w:r>
        <w:rPr>
          <w:spacing w:val="-1"/>
          <w:vertAlign w:val="baseline"/>
        </w:rPr>
        <w:t> </w:t>
      </w:r>
      <w:r>
        <w:rPr>
          <w:vertAlign w:val="baseline"/>
        </w:rPr>
        <w:t>did</w:t>
      </w:r>
      <w:r>
        <w:rPr>
          <w:spacing w:val="-4"/>
          <w:vertAlign w:val="baseline"/>
        </w:rPr>
        <w:t> </w:t>
      </w:r>
      <w:r>
        <w:rPr>
          <w:vertAlign w:val="baseline"/>
        </w:rPr>
        <w:t>not</w:t>
      </w:r>
      <w:r>
        <w:rPr>
          <w:spacing w:val="-2"/>
          <w:vertAlign w:val="baseline"/>
        </w:rPr>
        <w:t> </w:t>
      </w:r>
      <w:r>
        <w:rPr>
          <w:vertAlign w:val="baseline"/>
        </w:rPr>
        <w:t>warrant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postponement of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hearing</w:t>
      </w:r>
      <w:r>
        <w:rPr>
          <w:spacing w:val="-3"/>
          <w:vertAlign w:val="baseline"/>
        </w:rPr>
        <w:t> </w:t>
      </w:r>
      <w:r>
        <w:rPr>
          <w:vertAlign w:val="baseline"/>
        </w:rPr>
        <w:t>scheduled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11</w:t>
      </w:r>
      <w:r>
        <w:rPr>
          <w:spacing w:val="-3"/>
          <w:vertAlign w:val="baseline"/>
        </w:rPr>
        <w:t> </w:t>
      </w:r>
      <w:r>
        <w:rPr>
          <w:vertAlign w:val="baseline"/>
        </w:rPr>
        <w:t>March</w:t>
      </w:r>
      <w:r>
        <w:rPr>
          <w:spacing w:val="-5"/>
          <w:vertAlign w:val="baseline"/>
        </w:rPr>
        <w:t> </w:t>
      </w:r>
      <w:r>
        <w:rPr>
          <w:vertAlign w:val="baseline"/>
        </w:rPr>
        <w:t>2022.</w:t>
      </w:r>
    </w:p>
    <w:p>
      <w:pPr>
        <w:pStyle w:val="BodyText"/>
        <w:spacing w:line="259" w:lineRule="auto" w:before="158"/>
        <w:ind w:right="328"/>
      </w:pPr>
      <w:r>
        <w:rPr/>
        <w:t>The National hearing committee found that the respondent had been denied his right to be legally</w:t>
      </w:r>
      <w:r>
        <w:rPr>
          <w:spacing w:val="-47"/>
        </w:rPr>
        <w:t> </w:t>
      </w:r>
      <w:r>
        <w:rPr/>
        <w:t>represented and found that the proceedings were irregular. The national hearing committee held</w:t>
      </w:r>
      <w:r>
        <w:rPr>
          <w:spacing w:val="1"/>
        </w:rPr>
        <w:t> </w:t>
      </w:r>
      <w:r>
        <w:rPr/>
        <w:t>that the respondent should be reinstated to his former position without loss of salary or benefits.</w:t>
      </w:r>
      <w:r>
        <w:rPr>
          <w:spacing w:val="1"/>
        </w:rPr>
        <w:t> </w:t>
      </w:r>
      <w:r>
        <w:rPr/>
        <w:t>The appellant appeal against the order to reinstate and the finding that he was denied legal</w:t>
      </w:r>
      <w:r>
        <w:rPr>
          <w:spacing w:val="1"/>
        </w:rPr>
        <w:t> </w:t>
      </w:r>
      <w:r>
        <w:rPr/>
        <w:t>representation.</w:t>
      </w:r>
    </w:p>
    <w:p>
      <w:pPr>
        <w:pStyle w:val="BodyText"/>
        <w:spacing w:line="259" w:lineRule="auto" w:before="160"/>
        <w:ind w:right="118"/>
      </w:pPr>
      <w:r>
        <w:rPr/>
        <w:t>The respondent, on the other hand, stated that when the proceedings were adjourned on 18</w:t>
      </w:r>
      <w:r>
        <w:rPr>
          <w:spacing w:val="1"/>
        </w:rPr>
        <w:t> </w:t>
      </w:r>
      <w:r>
        <w:rPr/>
        <w:t>February 2022, he was given a sick note. When he went again for review the doctor extended the</w:t>
      </w:r>
      <w:r>
        <w:rPr>
          <w:spacing w:val="1"/>
        </w:rPr>
        <w:t> </w:t>
      </w:r>
      <w:r>
        <w:rPr/>
        <w:t>sick leave. The last extension of the sick notes was up to 18 March 2022. At the submission of this</w:t>
      </w:r>
      <w:r>
        <w:rPr>
          <w:spacing w:val="1"/>
        </w:rPr>
        <w:t> </w:t>
      </w:r>
      <w:r>
        <w:rPr/>
        <w:t>last sick note, that is when the employer requested that he either gets a comprehensive report or he</w:t>
      </w:r>
      <w:r>
        <w:rPr>
          <w:spacing w:val="-47"/>
        </w:rPr>
        <w:t> </w:t>
      </w:r>
      <w:r>
        <w:rPr/>
        <w:t>submits to the appellant’s doctor for a report. As earlier indicated, he opted for the comprehensive</w:t>
      </w:r>
      <w:r>
        <w:rPr>
          <w:spacing w:val="1"/>
        </w:rPr>
        <w:t> </w:t>
      </w:r>
      <w:r>
        <w:rPr/>
        <w:t>report by his doctor. He submitted same and the appellant wrote him a letter on 11 March 2022</w:t>
      </w:r>
      <w:r>
        <w:rPr>
          <w:spacing w:val="1"/>
        </w:rPr>
        <w:t> </w:t>
      </w:r>
      <w:r>
        <w:rPr/>
        <w:t>advising</w:t>
      </w:r>
      <w:r>
        <w:rPr>
          <w:spacing w:val="-2"/>
        </w:rPr>
        <w:t> </w:t>
      </w:r>
      <w:r>
        <w:rPr/>
        <w:t>that;</w:t>
      </w:r>
    </w:p>
    <w:p>
      <w:pPr>
        <w:pStyle w:val="BodyText"/>
        <w:spacing w:line="259" w:lineRule="auto" w:before="159"/>
        <w:ind w:left="820" w:right="227"/>
        <w:jc w:val="both"/>
      </w:pPr>
      <w:r>
        <w:rPr/>
        <w:t>“this letter serves to notify you that we are in receipt of your doctor’s report. However, we</w:t>
      </w:r>
      <w:r>
        <w:rPr>
          <w:spacing w:val="1"/>
        </w:rPr>
        <w:t> </w:t>
      </w:r>
      <w:r>
        <w:rPr/>
        <w:t>deem it not comprehensive enough to halt the disciplinary hearing scheduled for today at 9</w:t>
      </w:r>
      <w:r>
        <w:rPr>
          <w:spacing w:val="-47"/>
        </w:rPr>
        <w:t> </w:t>
      </w:r>
      <w:r>
        <w:rPr/>
        <w:t>am”</w:t>
      </w:r>
    </w:p>
    <w:p>
      <w:pPr>
        <w:pStyle w:val="BodyText"/>
        <w:spacing w:line="259" w:lineRule="auto" w:before="160"/>
        <w:ind w:right="156"/>
      </w:pPr>
      <w:r>
        <w:rPr/>
        <w:t>The respondent’s lawyer had advised the appellant that he was instructed to represent the</w:t>
      </w:r>
      <w:r>
        <w:rPr>
          <w:spacing w:val="1"/>
        </w:rPr>
        <w:t> </w:t>
      </w:r>
      <w:r>
        <w:rPr/>
        <w:t>respondent on 3 March 2022. On 11 March the employer advised the respondent that the hearing</w:t>
      </w:r>
      <w:r>
        <w:rPr>
          <w:spacing w:val="1"/>
        </w:rPr>
        <w:t> </w:t>
      </w:r>
      <w:r>
        <w:rPr/>
        <w:t>would proceed in the morning of 11 March 2022 but did not advice his legal practitioner. The notice</w:t>
      </w:r>
      <w:r>
        <w:rPr>
          <w:spacing w:val="-47"/>
        </w:rPr>
        <w:t> </w:t>
      </w:r>
      <w:r>
        <w:rPr/>
        <w:t>was a few hours, delivered first thing in the morning of 11 March 2022 and advising that the hearing</w:t>
      </w:r>
      <w:r>
        <w:rPr>
          <w:spacing w:val="-47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that same</w:t>
      </w:r>
      <w:r>
        <w:rPr>
          <w:spacing w:val="1"/>
        </w:rPr>
        <w:t> </w:t>
      </w:r>
      <w:r>
        <w:rPr/>
        <w:t>day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9am.</w:t>
      </w:r>
    </w:p>
    <w:p>
      <w:pPr>
        <w:pStyle w:val="BodyText"/>
        <w:spacing w:line="259" w:lineRule="auto" w:before="158"/>
        <w:ind w:right="247"/>
      </w:pPr>
      <w:r>
        <w:rPr/>
        <w:t>From the facts as stated by both the parties, it is clear that when the applicant decided to proceed</w:t>
      </w:r>
      <w:r>
        <w:rPr>
          <w:spacing w:val="1"/>
        </w:rPr>
        <w:t> </w:t>
      </w:r>
      <w:r>
        <w:rPr/>
        <w:t>on the 11</w:t>
      </w:r>
      <w:r>
        <w:rPr>
          <w:vertAlign w:val="superscript"/>
        </w:rPr>
        <w:t>th</w:t>
      </w:r>
      <w:r>
        <w:rPr>
          <w:vertAlign w:val="baseline"/>
        </w:rPr>
        <w:t> of March 2022, the applicant had submitted a sick note indicating that he had some</w:t>
      </w:r>
      <w:r>
        <w:rPr>
          <w:spacing w:val="1"/>
          <w:vertAlign w:val="baseline"/>
        </w:rPr>
        <w:t> </w:t>
      </w:r>
      <w:r>
        <w:rPr>
          <w:vertAlign w:val="baseline"/>
        </w:rPr>
        <w:t>mental health problems. This the appellant dismissed without seeking to find out the nature and</w:t>
      </w:r>
      <w:r>
        <w:rPr>
          <w:spacing w:val="1"/>
          <w:vertAlign w:val="baseline"/>
        </w:rPr>
        <w:t> </w:t>
      </w:r>
      <w:r>
        <w:rPr>
          <w:vertAlign w:val="baseline"/>
        </w:rPr>
        <w:t>extent of the depression. They then gave the respondent notice that the hearing would proceed on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same morning of the delivery of the notice. No notice was given to the respondent’s legal</w:t>
      </w:r>
      <w:r>
        <w:rPr>
          <w:spacing w:val="1"/>
          <w:vertAlign w:val="baseline"/>
        </w:rPr>
        <w:t> </w:t>
      </w:r>
      <w:r>
        <w:rPr>
          <w:vertAlign w:val="baseline"/>
        </w:rPr>
        <w:t>practitioner that the hearing would proceed on the 11</w:t>
      </w:r>
      <w:r>
        <w:rPr>
          <w:vertAlign w:val="superscript"/>
        </w:rPr>
        <w:t>th</w:t>
      </w:r>
      <w:r>
        <w:rPr>
          <w:vertAlign w:val="baseline"/>
        </w:rPr>
        <w:t> of march. The period of the hearing was</w:t>
      </w:r>
      <w:r>
        <w:rPr>
          <w:spacing w:val="1"/>
          <w:vertAlign w:val="baseline"/>
        </w:rPr>
        <w:t> </w:t>
      </w:r>
      <w:r>
        <w:rPr>
          <w:vertAlign w:val="baseline"/>
        </w:rPr>
        <w:t>covered</w:t>
      </w:r>
      <w:r>
        <w:rPr>
          <w:spacing w:val="-1"/>
          <w:vertAlign w:val="baseline"/>
        </w:rPr>
        <w:t> </w:t>
      </w:r>
      <w:r>
        <w:rPr>
          <w:vertAlign w:val="baseline"/>
        </w:rPr>
        <w:t>by the</w:t>
      </w:r>
      <w:r>
        <w:rPr>
          <w:spacing w:val="1"/>
          <w:vertAlign w:val="baseline"/>
        </w:rPr>
        <w:t> </w:t>
      </w:r>
      <w:r>
        <w:rPr>
          <w:vertAlign w:val="baseline"/>
        </w:rPr>
        <w:t>sick</w:t>
      </w:r>
      <w:r>
        <w:rPr>
          <w:spacing w:val="-3"/>
          <w:vertAlign w:val="baseline"/>
        </w:rPr>
        <w:t> </w:t>
      </w:r>
      <w:r>
        <w:rPr>
          <w:vertAlign w:val="baseline"/>
        </w:rPr>
        <w:t>note from</w:t>
      </w:r>
      <w:r>
        <w:rPr>
          <w:spacing w:val="-2"/>
          <w:vertAlign w:val="baseline"/>
        </w:rPr>
        <w:t> </w:t>
      </w:r>
      <w:r>
        <w:rPr>
          <w:vertAlign w:val="baseline"/>
        </w:rPr>
        <w:t>5</w:t>
      </w:r>
      <w:r>
        <w:rPr>
          <w:spacing w:val="-1"/>
          <w:vertAlign w:val="baseline"/>
        </w:rPr>
        <w:t> </w:t>
      </w:r>
      <w:r>
        <w:rPr>
          <w:vertAlign w:val="baseline"/>
        </w:rPr>
        <w:t>March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18</w:t>
      </w:r>
      <w:r>
        <w:rPr>
          <w:spacing w:val="-2"/>
          <w:vertAlign w:val="baseline"/>
        </w:rPr>
        <w:t> </w:t>
      </w:r>
      <w:r>
        <w:rPr>
          <w:vertAlign w:val="baseline"/>
        </w:rPr>
        <w:t>March</w:t>
      </w:r>
      <w:r>
        <w:rPr>
          <w:spacing w:val="-1"/>
          <w:vertAlign w:val="baseline"/>
        </w:rPr>
        <w:t> </w:t>
      </w:r>
      <w:r>
        <w:rPr>
          <w:vertAlign w:val="baseline"/>
        </w:rPr>
        <w:t>2022.</w:t>
      </w:r>
    </w:p>
    <w:p>
      <w:pPr>
        <w:pStyle w:val="BodyText"/>
        <w:spacing w:line="259" w:lineRule="auto" w:before="159"/>
        <w:ind w:right="202"/>
      </w:pPr>
      <w:r>
        <w:rPr/>
        <w:t>The result was that the appellant required an employee who had been certified by a medical doctor</w:t>
      </w:r>
      <w:r>
        <w:rPr>
          <w:spacing w:val="-47"/>
        </w:rPr>
        <w:t> </w:t>
      </w:r>
      <w:r>
        <w:rPr/>
        <w:t>to be</w:t>
      </w:r>
      <w:r>
        <w:rPr>
          <w:spacing w:val="-3"/>
        </w:rPr>
        <w:t> </w:t>
      </w:r>
      <w:r>
        <w:rPr/>
        <w:t>sick, to attend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hearing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very</w:t>
      </w:r>
      <w:r>
        <w:rPr>
          <w:spacing w:val="-2"/>
        </w:rPr>
        <w:t> </w:t>
      </w:r>
      <w:r>
        <w:rPr/>
        <w:t>short</w:t>
      </w:r>
      <w:r>
        <w:rPr>
          <w:spacing w:val="-3"/>
        </w:rPr>
        <w:t> </w:t>
      </w:r>
      <w:r>
        <w:rPr/>
        <w:t>notice.</w:t>
      </w:r>
      <w:r>
        <w:rPr>
          <w:spacing w:val="-1"/>
        </w:rPr>
        <w:t> </w:t>
      </w:r>
      <w:r>
        <w:rPr/>
        <w:t>It</w:t>
      </w:r>
      <w:r>
        <w:rPr>
          <w:spacing w:val="-6"/>
        </w:rPr>
        <w:t> </w:t>
      </w:r>
      <w:r>
        <w:rPr/>
        <w:t>was not</w:t>
      </w:r>
      <w:r>
        <w:rPr>
          <w:spacing w:val="-1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committee to</w:t>
      </w:r>
    </w:p>
    <w:p>
      <w:pPr>
        <w:pStyle w:val="BodyText"/>
      </w:pPr>
      <w:r>
        <w:rPr/>
        <w:t>disregard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medical practitioner’s</w:t>
      </w:r>
      <w:r>
        <w:rPr>
          <w:spacing w:val="-1"/>
        </w:rPr>
        <w:t> </w:t>
      </w:r>
      <w:r>
        <w:rPr/>
        <w:t>opinion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matter.</w:t>
      </w:r>
    </w:p>
    <w:p>
      <w:pPr>
        <w:spacing w:after="0"/>
        <w:sectPr>
          <w:pgSz w:w="11910" w:h="16840"/>
          <w:pgMar w:header="0" w:footer="1000" w:top="1380" w:bottom="1200" w:left="1340" w:right="1340"/>
        </w:sectPr>
      </w:pPr>
    </w:p>
    <w:p>
      <w:pPr>
        <w:pStyle w:val="BodyText"/>
        <w:spacing w:line="259" w:lineRule="auto" w:before="41"/>
        <w:ind w:right="419"/>
        <w:jc w:val="both"/>
      </w:pPr>
      <w:r>
        <w:rPr/>
        <w:t>The disciplinary committee did not properly exercise its discretion in deciding to proceed without</w:t>
      </w:r>
      <w:r>
        <w:rPr>
          <w:spacing w:val="-47"/>
        </w:rPr>
        <w:t> </w:t>
      </w:r>
      <w:r>
        <w:rPr/>
        <w:t>giving the notice of hearing to the legal practitioner who had indicated his interest and requested</w:t>
      </w:r>
      <w:r>
        <w:rPr>
          <w:spacing w:val="-47"/>
        </w:rPr>
        <w:t> </w:t>
      </w:r>
      <w:r>
        <w:rPr/>
        <w:t>that</w:t>
      </w:r>
      <w:r>
        <w:rPr>
          <w:spacing w:val="-1"/>
        </w:rPr>
        <w:t> </w:t>
      </w:r>
      <w:r>
        <w:rPr/>
        <w:t>he be</w:t>
      </w:r>
      <w:r>
        <w:rPr>
          <w:spacing w:val="1"/>
        </w:rPr>
        <w:t> </w:t>
      </w:r>
      <w:r>
        <w:rPr/>
        <w:t>notified</w:t>
      </w:r>
      <w:r>
        <w:rPr>
          <w:spacing w:val="-2"/>
        </w:rPr>
        <w:t> </w:t>
      </w:r>
      <w:r>
        <w:rPr/>
        <w:t>when the</w:t>
      </w:r>
      <w:r>
        <w:rPr>
          <w:spacing w:val="1"/>
        </w:rPr>
        <w:t> </w:t>
      </w:r>
      <w:r>
        <w:rPr/>
        <w:t>matter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de set down again</w:t>
      </w:r>
      <w:r>
        <w:rPr>
          <w:spacing w:val="-1"/>
        </w:rPr>
        <w:t> </w:t>
      </w:r>
      <w:r>
        <w:rPr/>
        <w:t>for hearing.</w:t>
      </w:r>
    </w:p>
    <w:p>
      <w:pPr>
        <w:pStyle w:val="BodyText"/>
        <w:spacing w:line="259" w:lineRule="auto" w:before="160"/>
        <w:ind w:right="164"/>
      </w:pPr>
      <w:r>
        <w:rPr/>
        <w:t>The appellant argued that in </w:t>
      </w:r>
      <w:r>
        <w:rPr>
          <w:b/>
        </w:rPr>
        <w:t>Nhari v Public Service Commission &amp; another 1998 (1) ZLR 574 </w:t>
      </w:r>
      <w:r>
        <w:rPr/>
        <w:t>the</w:t>
      </w:r>
      <w:r>
        <w:rPr>
          <w:spacing w:val="1"/>
        </w:rPr>
        <w:t> </w:t>
      </w:r>
      <w:r>
        <w:rPr/>
        <w:t>Court had found that although the right to legal representation before a tribunal was beyond</w:t>
      </w:r>
      <w:r>
        <w:rPr>
          <w:spacing w:val="1"/>
        </w:rPr>
        <w:t> </w:t>
      </w:r>
      <w:r>
        <w:rPr/>
        <w:t>question, the rejection of the application for a postponement had not prejudiced the respondent. In</w:t>
      </w:r>
      <w:r>
        <w:rPr>
          <w:spacing w:val="-47"/>
        </w:rPr>
        <w:t> </w:t>
      </w:r>
      <w:r>
        <w:rPr/>
        <w:t>casu however it was not an application for a postponement which was denied but the decision to</w:t>
      </w:r>
      <w:r>
        <w:rPr>
          <w:spacing w:val="1"/>
        </w:rPr>
        <w:t> </w:t>
      </w:r>
      <w:r>
        <w:rPr/>
        <w:t>proceed with the hearing when the respondent had mental health issues and without notifying his</w:t>
      </w:r>
      <w:r>
        <w:rPr>
          <w:spacing w:val="1"/>
        </w:rPr>
        <w:t> </w:t>
      </w:r>
      <w:r>
        <w:rPr/>
        <w:t>legal representative, which was an improper exercise of the committee’s decision. The </w:t>
      </w:r>
      <w:r>
        <w:rPr>
          <w:b/>
        </w:rPr>
        <w:t>Nhari case </w:t>
      </w:r>
      <w:r>
        <w:rPr/>
        <w:t>is</w:t>
      </w:r>
      <w:r>
        <w:rPr>
          <w:spacing w:val="-47"/>
        </w:rPr>
        <w:t> </w:t>
      </w:r>
      <w:r>
        <w:rPr/>
        <w:t>clearly</w:t>
      </w:r>
      <w:r>
        <w:rPr>
          <w:spacing w:val="-1"/>
        </w:rPr>
        <w:t> </w:t>
      </w:r>
      <w:r>
        <w:rPr/>
        <w:t>distinguishable. There is thus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merit 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 ground</w:t>
      </w:r>
      <w:r>
        <w:rPr>
          <w:spacing w:val="-3"/>
        </w:rPr>
        <w:t> </w:t>
      </w:r>
      <w:r>
        <w:rPr/>
        <w:t>of appeal.</w:t>
      </w:r>
    </w:p>
    <w:p>
      <w:pPr>
        <w:pStyle w:val="BodyText"/>
        <w:spacing w:line="259" w:lineRule="auto" w:before="158"/>
        <w:ind w:right="135"/>
      </w:pPr>
      <w:r>
        <w:rPr/>
        <w:t>The respondent referred to the case of </w:t>
      </w:r>
      <w:r>
        <w:rPr>
          <w:b/>
        </w:rPr>
        <w:t>Maynard v Osmond [1997] QB 240 </w:t>
      </w:r>
      <w:r>
        <w:rPr/>
        <w:t>in trying to impress upon</w:t>
      </w:r>
      <w:r>
        <w:rPr>
          <w:spacing w:val="-47"/>
        </w:rPr>
        <w:t> </w:t>
      </w:r>
      <w:r>
        <w:rPr/>
        <w:t>the court’s mind the importance of entitlement to legal representation if one is charged with a</w:t>
      </w:r>
      <w:r>
        <w:rPr>
          <w:spacing w:val="1"/>
        </w:rPr>
        <w:t> </w:t>
      </w:r>
      <w:r>
        <w:rPr/>
        <w:t>serious offence which many have grave consequences for him. I however think the issue is not</w:t>
      </w:r>
      <w:r>
        <w:rPr>
          <w:spacing w:val="1"/>
        </w:rPr>
        <w:t> </w:t>
      </w:r>
      <w:r>
        <w:rPr/>
        <w:t>whether or not the respondent was entitled to legal representation, in the first ground of appeal the</w:t>
      </w:r>
      <w:r>
        <w:rPr>
          <w:spacing w:val="-47"/>
        </w:rPr>
        <w:t> </w:t>
      </w:r>
      <w:r>
        <w:rPr/>
        <w:t>point raised was it was encumbered on the respondent himself ensure that he availed himself with</w:t>
      </w:r>
      <w:r>
        <w:rPr>
          <w:spacing w:val="1"/>
        </w:rPr>
        <w:t> </w:t>
      </w:r>
      <w:r>
        <w:rPr/>
        <w:t>legal representation.</w:t>
      </w:r>
    </w:p>
    <w:p>
      <w:pPr>
        <w:pStyle w:val="BodyText"/>
        <w:spacing w:line="259" w:lineRule="auto" w:before="159"/>
        <w:ind w:right="123"/>
      </w:pPr>
      <w:r>
        <w:rPr/>
        <w:t>During the postponement which was occasioned by his sickness, the</w:t>
      </w:r>
      <w:r>
        <w:rPr>
          <w:spacing w:val="1"/>
        </w:rPr>
        <w:t> </w:t>
      </w:r>
      <w:r>
        <w:rPr/>
        <w:t>respondent had availed himself</w:t>
      </w:r>
      <w:r>
        <w:rPr>
          <w:spacing w:val="-47"/>
        </w:rPr>
        <w:t> </w:t>
      </w:r>
      <w:r>
        <w:rPr/>
        <w:t>a legal representative who advised the appellant but was never advised of the date of hearing. The</w:t>
      </w:r>
      <w:r>
        <w:rPr>
          <w:spacing w:val="1"/>
        </w:rPr>
        <w:t> </w:t>
      </w:r>
      <w:r>
        <w:rPr/>
        <w:t>decision to proceed with the hearing was made just a few hours before the commencement of the</w:t>
      </w:r>
      <w:r>
        <w:rPr>
          <w:spacing w:val="1"/>
        </w:rPr>
        <w:t> </w:t>
      </w:r>
      <w:r>
        <w:rPr/>
        <w:t>hearing</w:t>
      </w:r>
      <w:r>
        <w:rPr>
          <w:spacing w:val="-2"/>
        </w:rPr>
        <w:t> </w:t>
      </w:r>
      <w:r>
        <w:rPr/>
        <w:t>at 9</w:t>
      </w:r>
      <w:r>
        <w:rPr>
          <w:spacing w:val="-1"/>
        </w:rPr>
        <w:t> </w:t>
      </w:r>
      <w:r>
        <w:rPr/>
        <w:t>am</w:t>
      </w:r>
      <w:r>
        <w:rPr>
          <w:spacing w:val="1"/>
        </w:rPr>
        <w:t> </w:t>
      </w:r>
      <w:r>
        <w:rPr/>
        <w:t>in the</w:t>
      </w:r>
      <w:r>
        <w:rPr>
          <w:spacing w:val="-3"/>
        </w:rPr>
        <w:t> </w:t>
      </w:r>
      <w:r>
        <w:rPr/>
        <w:t>morning.</w:t>
      </w:r>
    </w:p>
    <w:p>
      <w:pPr>
        <w:pStyle w:val="BodyText"/>
        <w:spacing w:line="259" w:lineRule="auto" w:before="160"/>
        <w:ind w:right="281"/>
        <w:jc w:val="both"/>
      </w:pPr>
      <w:r>
        <w:rPr/>
        <w:t>The prejudice suffered by the respondent is evident from the facts. The respondent would have to</w:t>
      </w:r>
      <w:r>
        <w:rPr>
          <w:spacing w:val="1"/>
        </w:rPr>
        <w:t> </w:t>
      </w:r>
      <w:r>
        <w:rPr/>
        <w:t>proceed on very short notice without the guiding hand of his legal practitioner. He would also have</w:t>
      </w:r>
      <w:r>
        <w:rPr>
          <w:spacing w:val="-47"/>
        </w:rPr>
        <w:t> </w:t>
      </w:r>
      <w:r>
        <w:rPr/>
        <w:t>had</w:t>
      </w:r>
      <w:r>
        <w:rPr>
          <w:spacing w:val="-2"/>
        </w:rPr>
        <w:t> </w:t>
      </w:r>
      <w:r>
        <w:rPr/>
        <w:t>very limited</w:t>
      </w:r>
      <w:r>
        <w:rPr>
          <w:spacing w:val="-2"/>
        </w:rPr>
        <w:t> </w:t>
      </w:r>
      <w:r>
        <w:rPr/>
        <w:t>time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advise his</w:t>
      </w:r>
      <w:r>
        <w:rPr>
          <w:spacing w:val="-3"/>
        </w:rPr>
        <w:t> </w:t>
      </w:r>
      <w:r>
        <w:rPr/>
        <w:t>legal representative.</w:t>
      </w:r>
    </w:p>
    <w:p>
      <w:pPr>
        <w:pStyle w:val="BodyText"/>
        <w:spacing w:line="259" w:lineRule="auto" w:before="160"/>
        <w:ind w:right="141"/>
      </w:pPr>
      <w:r>
        <w:rPr/>
        <w:t>The second ground of appeal alleges that the disciplinary committee acted reasonably under the</w:t>
      </w:r>
      <w:r>
        <w:rPr>
          <w:spacing w:val="1"/>
        </w:rPr>
        <w:t> </w:t>
      </w:r>
      <w:r>
        <w:rPr/>
        <w:t>circumstances. I am persuaded otherwise. When a legal practitioner advises his interest in a matter,</w:t>
      </w:r>
      <w:r>
        <w:rPr>
          <w:spacing w:val="1"/>
        </w:rPr>
        <w:t> </w:t>
      </w:r>
      <w:r>
        <w:rPr/>
        <w:t>he should be advised of the date of hearing and given reasonable notice to attend the proceedings.</w:t>
      </w:r>
      <w:r>
        <w:rPr>
          <w:spacing w:val="1"/>
        </w:rPr>
        <w:t> </w:t>
      </w:r>
      <w:r>
        <w:rPr/>
        <w:t>Alternatively, his client would have been given reasonable notice to enable him to prepare to attend</w:t>
      </w:r>
      <w:r>
        <w:rPr>
          <w:spacing w:val="-47"/>
        </w:rPr>
        <w:t> </w:t>
      </w:r>
      <w:r>
        <w:rPr/>
        <w:t>the proceedings with his legal representative. It was not reasonable to give his client notice early</w:t>
      </w:r>
      <w:r>
        <w:rPr>
          <w:spacing w:val="1"/>
        </w:rPr>
        <w:t> </w:t>
      </w:r>
      <w:r>
        <w:rPr/>
        <w:t>morning that the hearing would proceed the same morning at 9am and proceed to hear the matter</w:t>
      </w:r>
      <w:r>
        <w:rPr>
          <w:spacing w:val="1"/>
        </w:rPr>
        <w:t> </w:t>
      </w:r>
      <w:r>
        <w:rPr/>
        <w:t>within</w:t>
      </w:r>
      <w:r>
        <w:rPr>
          <w:spacing w:val="-2"/>
        </w:rPr>
        <w:t> </w:t>
      </w:r>
      <w:r>
        <w:rPr/>
        <w:t>a period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less than</w:t>
      </w:r>
      <w:r>
        <w:rPr>
          <w:spacing w:val="-5"/>
        </w:rPr>
        <w:t> </w:t>
      </w:r>
      <w:r>
        <w:rPr/>
        <w:t>3</w:t>
      </w:r>
      <w:r>
        <w:rPr>
          <w:spacing w:val="1"/>
        </w:rPr>
        <w:t> </w:t>
      </w:r>
      <w:r>
        <w:rPr/>
        <w:t>hours. It</w:t>
      </w:r>
      <w:r>
        <w:rPr>
          <w:spacing w:val="-3"/>
        </w:rPr>
        <w:t> </w:t>
      </w:r>
      <w:r>
        <w:rPr/>
        <w:t>was too</w:t>
      </w:r>
      <w:r>
        <w:rPr>
          <w:spacing w:val="1"/>
        </w:rPr>
        <w:t> </w:t>
      </w:r>
      <w:r>
        <w:rPr/>
        <w:t>short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notice</w:t>
      </w:r>
      <w:r>
        <w:rPr>
          <w:spacing w:val="-3"/>
        </w:rPr>
        <w:t> </w:t>
      </w:r>
      <w:r>
        <w:rPr/>
        <w:t>which shows an</w:t>
      </w:r>
      <w:r>
        <w:rPr>
          <w:spacing w:val="-2"/>
        </w:rPr>
        <w:t> </w:t>
      </w:r>
      <w:r>
        <w:rPr/>
        <w:t>improper</w:t>
      </w:r>
      <w:r>
        <w:rPr>
          <w:spacing w:val="-1"/>
        </w:rPr>
        <w:t> </w:t>
      </w:r>
      <w:r>
        <w:rPr/>
        <w:t>exercise</w:t>
      </w:r>
      <w:r>
        <w:rPr>
          <w:spacing w:val="-2"/>
        </w:rPr>
        <w:t> </w:t>
      </w:r>
      <w:r>
        <w:rPr/>
        <w:t>of</w:t>
      </w:r>
    </w:p>
    <w:p>
      <w:pPr>
        <w:pStyle w:val="BodyText"/>
        <w:spacing w:line="259" w:lineRule="auto"/>
        <w:ind w:right="373"/>
      </w:pPr>
      <w:r>
        <w:rPr/>
        <w:t>the committee’s discretion. To make matters worse, the respondent was sick and there was a sick</w:t>
      </w:r>
      <w:r>
        <w:rPr>
          <w:spacing w:val="-47"/>
        </w:rPr>
        <w:t> </w:t>
      </w:r>
      <w:r>
        <w:rPr/>
        <w:t>note by his doctor that he was unfit to resume at the workplace and there was nothing from an</w:t>
      </w:r>
      <w:r>
        <w:rPr>
          <w:spacing w:val="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authority to</w:t>
      </w:r>
      <w:r>
        <w:rPr>
          <w:spacing w:val="-1"/>
        </w:rPr>
        <w:t> </w:t>
      </w:r>
      <w:r>
        <w:rPr/>
        <w:t>counter the</w:t>
      </w:r>
      <w:r>
        <w:rPr>
          <w:spacing w:val="1"/>
        </w:rPr>
        <w:t> </w:t>
      </w:r>
      <w:r>
        <w:rPr/>
        <w:t>doctor’s</w:t>
      </w:r>
      <w:r>
        <w:rPr>
          <w:spacing w:val="-3"/>
        </w:rPr>
        <w:t> </w:t>
      </w:r>
      <w:r>
        <w:rPr/>
        <w:t>opinion.</w:t>
      </w:r>
    </w:p>
    <w:p>
      <w:pPr>
        <w:pStyle w:val="BodyText"/>
        <w:spacing w:before="157"/>
        <w:jc w:val="both"/>
      </w:pPr>
      <w:r>
        <w:rPr/>
        <w:t>Both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two</w:t>
      </w:r>
      <w:r>
        <w:rPr>
          <w:spacing w:val="-1"/>
        </w:rPr>
        <w:t> </w:t>
      </w:r>
      <w:r>
        <w:rPr/>
        <w:t>grounds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appeal lack</w:t>
      </w:r>
      <w:r>
        <w:rPr>
          <w:spacing w:val="-3"/>
        </w:rPr>
        <w:t> </w:t>
      </w:r>
      <w:r>
        <w:rPr/>
        <w:t>merit. The appeal</w:t>
      </w:r>
      <w:r>
        <w:rPr>
          <w:spacing w:val="-2"/>
        </w:rPr>
        <w:t> </w:t>
      </w:r>
      <w:r>
        <w:rPr/>
        <w:t>must fail.</w:t>
      </w:r>
    </w:p>
    <w:p>
      <w:pPr>
        <w:pStyle w:val="BodyText"/>
        <w:spacing w:line="259" w:lineRule="auto" w:before="181"/>
        <w:ind w:right="170"/>
      </w:pPr>
      <w:r>
        <w:rPr/>
        <w:t>The decision to reinstate the respondent with no loss of salary or benefits is however not justifiable.</w:t>
      </w:r>
      <w:r>
        <w:rPr>
          <w:spacing w:val="-47"/>
        </w:rPr>
        <w:t> </w:t>
      </w:r>
      <w:r>
        <w:rPr/>
        <w:t>An employee cannot escape the results of alleged misdeeds because of the failure of another</w:t>
      </w:r>
      <w:r>
        <w:rPr>
          <w:spacing w:val="1"/>
        </w:rPr>
        <w:t> </w:t>
      </w:r>
      <w:r>
        <w:rPr/>
        <w:t>employee to conduct the proceedings in a procedurally correct manner. see in this regard the cases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>
          <w:b/>
        </w:rPr>
        <w:t>Air</w:t>
      </w:r>
      <w:r>
        <w:rPr>
          <w:b/>
          <w:spacing w:val="-2"/>
        </w:rPr>
        <w:t> </w:t>
      </w:r>
      <w:r>
        <w:rPr>
          <w:b/>
        </w:rPr>
        <w:t>Zimbabwe</w:t>
      </w:r>
      <w:r>
        <w:rPr>
          <w:b/>
          <w:spacing w:val="-1"/>
        </w:rPr>
        <w:t> </w:t>
      </w:r>
      <w:r>
        <w:rPr>
          <w:b/>
        </w:rPr>
        <w:t>v</w:t>
      </w:r>
      <w:r>
        <w:rPr>
          <w:b/>
          <w:spacing w:val="1"/>
        </w:rPr>
        <w:t> </w:t>
      </w:r>
      <w:r>
        <w:rPr>
          <w:b/>
        </w:rPr>
        <w:t>Mnensa SC 89/04</w:t>
      </w:r>
      <w:r>
        <w:rPr>
          <w:b/>
          <w:spacing w:val="-1"/>
        </w:rPr>
        <w:t> </w:t>
      </w:r>
      <w:r>
        <w:rPr/>
        <w:t>the court</w:t>
      </w:r>
      <w:r>
        <w:rPr>
          <w:spacing w:val="-2"/>
        </w:rPr>
        <w:t> </w:t>
      </w:r>
      <w:r>
        <w:rPr/>
        <w:t>stated</w:t>
      </w:r>
      <w:r>
        <w:rPr>
          <w:spacing w:val="-3"/>
        </w:rPr>
        <w:t> </w:t>
      </w:r>
      <w:r>
        <w:rPr/>
        <w:t>that;</w:t>
      </w:r>
    </w:p>
    <w:p>
      <w:pPr>
        <w:pStyle w:val="BodyText"/>
        <w:spacing w:before="159"/>
        <w:ind w:left="820"/>
      </w:pPr>
      <w:r>
        <w:rPr/>
        <w:t>“a</w:t>
      </w:r>
      <w:r>
        <w:rPr>
          <w:spacing w:val="-1"/>
        </w:rPr>
        <w:t> </w:t>
      </w:r>
      <w:r>
        <w:rPr/>
        <w:t>person</w:t>
      </w:r>
      <w:r>
        <w:rPr>
          <w:spacing w:val="-2"/>
        </w:rPr>
        <w:t> </w:t>
      </w:r>
      <w:r>
        <w:rPr/>
        <w:t>guilty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misconduct should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escape</w:t>
      </w:r>
      <w:r>
        <w:rPr>
          <w:spacing w:val="-2"/>
        </w:rPr>
        <w:t> </w:t>
      </w:r>
      <w:r>
        <w:rPr/>
        <w:t>the,</w:t>
      </w:r>
      <w:r>
        <w:rPr>
          <w:spacing w:val="-5"/>
        </w:rPr>
        <w:t> </w:t>
      </w:r>
      <w:r>
        <w:rPr/>
        <w:t>consequences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his</w:t>
      </w:r>
      <w:r>
        <w:rPr>
          <w:spacing w:val="-2"/>
        </w:rPr>
        <w:t> </w:t>
      </w:r>
      <w:r>
        <w:rPr/>
        <w:t>misdeeds</w:t>
      </w:r>
      <w:r>
        <w:rPr>
          <w:spacing w:val="-1"/>
        </w:rPr>
        <w:t> </w:t>
      </w:r>
      <w:r>
        <w:rPr/>
        <w:t>simply</w:t>
      </w:r>
    </w:p>
    <w:p>
      <w:pPr>
        <w:pStyle w:val="BodyText"/>
        <w:spacing w:before="22"/>
        <w:ind w:left="820"/>
      </w:pPr>
      <w:r>
        <w:rPr/>
        <w:t>because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failure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conduct disciplinary</w:t>
      </w:r>
      <w:r>
        <w:rPr>
          <w:spacing w:val="-1"/>
        </w:rPr>
        <w:t> </w:t>
      </w:r>
      <w:r>
        <w:rPr/>
        <w:t>proceedings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another</w:t>
      </w:r>
      <w:r>
        <w:rPr>
          <w:spacing w:val="-3"/>
        </w:rPr>
        <w:t> </w:t>
      </w:r>
      <w:r>
        <w:rPr/>
        <w:t>employee.</w:t>
      </w:r>
      <w:r>
        <w:rPr>
          <w:spacing w:val="-3"/>
        </w:rPr>
        <w:t> </w:t>
      </w:r>
      <w:r>
        <w:rPr/>
        <w:t>He should</w:t>
      </w:r>
    </w:p>
    <w:p>
      <w:pPr>
        <w:pStyle w:val="BodyText"/>
        <w:spacing w:before="22"/>
        <w:ind w:left="820"/>
      </w:pPr>
      <w:r>
        <w:rPr/>
        <w:t>escape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consequences,</w:t>
      </w:r>
      <w:r>
        <w:rPr>
          <w:spacing w:val="-5"/>
        </w:rPr>
        <w:t> </w:t>
      </w:r>
      <w:r>
        <w:rPr/>
        <w:t>because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innocent…”</w:t>
      </w:r>
    </w:p>
    <w:p>
      <w:pPr>
        <w:pStyle w:val="BodyText"/>
        <w:spacing w:line="259" w:lineRule="auto" w:before="180"/>
        <w:ind w:right="283"/>
        <w:rPr>
          <w:b/>
        </w:rPr>
      </w:pPr>
      <w:r>
        <w:rPr/>
        <w:t>This of course is not said to pre judge the matter or to suggest in anyway that the respondent is</w:t>
      </w:r>
      <w:r>
        <w:rPr>
          <w:spacing w:val="1"/>
        </w:rPr>
        <w:t> </w:t>
      </w:r>
      <w:r>
        <w:rPr/>
        <w:t>guilty 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allegations</w:t>
      </w:r>
      <w:r>
        <w:rPr>
          <w:spacing w:val="-1"/>
        </w:rPr>
        <w:t> </w:t>
      </w:r>
      <w:r>
        <w:rPr/>
        <w:t>he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facing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to underscore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point</w:t>
      </w:r>
      <w:r>
        <w:rPr>
          <w:spacing w:val="-3"/>
        </w:rPr>
        <w:t> </w:t>
      </w:r>
      <w:r>
        <w:rPr/>
        <w:t>made</w:t>
      </w:r>
      <w:r>
        <w:rPr>
          <w:spacing w:val="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b/>
        </w:rPr>
        <w:t>Dalny</w:t>
      </w:r>
      <w:r>
        <w:rPr>
          <w:b/>
          <w:spacing w:val="1"/>
        </w:rPr>
        <w:t> </w:t>
      </w:r>
      <w:r>
        <w:rPr>
          <w:b/>
        </w:rPr>
        <w:t>mine</w:t>
      </w:r>
      <w:r>
        <w:rPr>
          <w:b/>
          <w:spacing w:val="46"/>
        </w:rPr>
        <w:t> </w:t>
      </w:r>
      <w:r>
        <w:rPr>
          <w:b/>
        </w:rPr>
        <w:t>v Banda</w:t>
      </w:r>
    </w:p>
    <w:p>
      <w:pPr>
        <w:spacing w:after="0" w:line="259" w:lineRule="auto"/>
        <w:sectPr>
          <w:pgSz w:w="11910" w:h="16840"/>
          <w:pgMar w:header="0" w:footer="1000" w:top="1380" w:bottom="1200" w:left="1340" w:right="1340"/>
        </w:sectPr>
      </w:pPr>
    </w:p>
    <w:p>
      <w:pPr>
        <w:pStyle w:val="BodyText"/>
        <w:spacing w:line="259" w:lineRule="auto" w:before="41"/>
        <w:ind w:right="189"/>
      </w:pPr>
      <w:r>
        <w:rPr>
          <w:b/>
        </w:rPr>
        <w:t>1999 (1) ZLR 220</w:t>
      </w:r>
      <w:r>
        <w:rPr>
          <w:b/>
          <w:spacing w:val="1"/>
        </w:rPr>
        <w:t> </w:t>
      </w:r>
      <w:r>
        <w:rPr/>
        <w:t>that procedural irregularities can not be the basis of decisions in Labour matters</w:t>
      </w:r>
      <w:r>
        <w:rPr>
          <w:spacing w:val="1"/>
        </w:rPr>
        <w:t> </w:t>
      </w:r>
      <w:r>
        <w:rPr/>
        <w:t>but procedural illegalities must be corrected by remitting the matter back for the matter to be dealt</w:t>
      </w:r>
      <w:r>
        <w:rPr>
          <w:spacing w:val="-47"/>
        </w:rPr>
        <w:t> </w:t>
      </w:r>
      <w:r>
        <w:rPr/>
        <w:t>with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 procedurally correct</w:t>
      </w:r>
      <w:r>
        <w:rPr>
          <w:spacing w:val="-1"/>
        </w:rPr>
        <w:t> </w:t>
      </w:r>
      <w:r>
        <w:rPr/>
        <w:t>manner.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Court</w:t>
      </w:r>
      <w:r>
        <w:rPr>
          <w:spacing w:val="-1"/>
          <w:sz w:val="22"/>
        </w:rPr>
        <w:t> </w:t>
      </w:r>
      <w:r>
        <w:rPr>
          <w:sz w:val="22"/>
        </w:rPr>
        <w:t>stated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 </w:t>
      </w:r>
      <w:r>
        <w:rPr>
          <w:b/>
          <w:sz w:val="22"/>
        </w:rPr>
        <w:t>Dalny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Mine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case</w:t>
      </w:r>
      <w:r>
        <w:rPr>
          <w:b/>
          <w:spacing w:val="-1"/>
          <w:sz w:val="22"/>
        </w:rPr>
        <w:t> </w:t>
      </w:r>
      <w:r>
        <w:rPr>
          <w:sz w:val="22"/>
        </w:rPr>
        <w:t>(supra)</w:t>
      </w:r>
      <w:r>
        <w:rPr>
          <w:spacing w:val="-3"/>
          <w:sz w:val="22"/>
        </w:rPr>
        <w:t> </w:t>
      </w:r>
      <w:r>
        <w:rPr>
          <w:sz w:val="22"/>
        </w:rPr>
        <w:t>that;</w:t>
      </w:r>
    </w:p>
    <w:p>
      <w:pPr>
        <w:pStyle w:val="BodyText"/>
        <w:spacing w:line="259" w:lineRule="auto" w:before="183"/>
        <w:ind w:left="820" w:right="723"/>
      </w:pPr>
      <w:r>
        <w:rPr/>
        <w:t>“as a general rule it seems to me undesirable that Labour Relations matters should be</w:t>
      </w:r>
      <w:r>
        <w:rPr>
          <w:spacing w:val="-47"/>
        </w:rPr>
        <w:t> </w:t>
      </w:r>
      <w:r>
        <w:rPr/>
        <w:t>decided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basis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procedural</w:t>
      </w:r>
      <w:r>
        <w:rPr>
          <w:spacing w:val="-1"/>
        </w:rPr>
        <w:t> </w:t>
      </w:r>
      <w:r>
        <w:rPr/>
        <w:t>irregularities.”</w:t>
      </w:r>
    </w:p>
    <w:p>
      <w:pPr>
        <w:pStyle w:val="BodyText"/>
        <w:spacing w:line="259" w:lineRule="auto" w:before="159"/>
        <w:ind w:right="301"/>
      </w:pPr>
      <w:r>
        <w:rPr/>
        <w:t>In the result, the decision to find that the proceedings were irregular and ought to be set aside can</w:t>
      </w:r>
      <w:r>
        <w:rPr>
          <w:spacing w:val="-47"/>
        </w:rPr>
        <w:t> </w:t>
      </w:r>
      <w:r>
        <w:rPr/>
        <w:t>not faulted.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therefore</w:t>
      </w:r>
      <w:r>
        <w:rPr>
          <w:spacing w:val="-2"/>
        </w:rPr>
        <w:t> </w:t>
      </w:r>
      <w:r>
        <w:rPr/>
        <w:t>make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order:</w:t>
      </w:r>
    </w:p>
    <w:p>
      <w:pPr>
        <w:spacing w:before="159"/>
        <w:ind w:left="1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Order:</w:t>
      </w:r>
    </w:p>
    <w:p>
      <w:pPr>
        <w:pStyle w:val="BodyText"/>
        <w:spacing w:before="5"/>
        <w:ind w:left="0"/>
        <w:rPr>
          <w:b/>
          <w:sz w:val="10"/>
        </w:rPr>
      </w:pPr>
    </w:p>
    <w:p>
      <w:pPr>
        <w:pStyle w:val="BodyText"/>
        <w:spacing w:line="256" w:lineRule="auto" w:before="56"/>
        <w:ind w:right="293"/>
      </w:pPr>
      <w:r>
        <w:rPr/>
        <w:t>The decision by the tribunal aquo that the proceedings were irregular and vitiated the proceedings</w:t>
      </w:r>
      <w:r>
        <w:rPr>
          <w:spacing w:val="-47"/>
        </w:rPr>
        <w:t> </w:t>
      </w:r>
      <w:r>
        <w:rPr/>
        <w:t>be and</w:t>
      </w:r>
      <w:r>
        <w:rPr>
          <w:spacing w:val="-1"/>
        </w:rPr>
        <w:t> </w:t>
      </w:r>
      <w:r>
        <w:rPr/>
        <w:t>is hereby</w:t>
      </w:r>
      <w:r>
        <w:rPr>
          <w:spacing w:val="1"/>
        </w:rPr>
        <w:t> </w:t>
      </w:r>
      <w:r>
        <w:rPr/>
        <w:t>upheld.</w:t>
      </w:r>
    </w:p>
    <w:p>
      <w:pPr>
        <w:pStyle w:val="BodyText"/>
        <w:spacing w:line="256" w:lineRule="auto" w:before="165"/>
        <w:ind w:right="391"/>
      </w:pPr>
      <w:r>
        <w:rPr/>
        <w:t>The decision to reinstate the appellant into his position with no loss of salary or benefits be and is</w:t>
      </w:r>
      <w:r>
        <w:rPr>
          <w:spacing w:val="-47"/>
        </w:rPr>
        <w:t> </w:t>
      </w:r>
      <w:r>
        <w:rPr/>
        <w:t>hereby</w:t>
      </w:r>
      <w:r>
        <w:rPr>
          <w:spacing w:val="-1"/>
        </w:rPr>
        <w:t> </w:t>
      </w:r>
      <w:r>
        <w:rPr/>
        <w:t>set aside.</w:t>
      </w:r>
    </w:p>
    <w:p>
      <w:pPr>
        <w:pStyle w:val="BodyText"/>
        <w:spacing w:line="259" w:lineRule="auto" w:before="164"/>
        <w:ind w:right="362"/>
      </w:pPr>
      <w:r>
        <w:rPr/>
        <w:t>The matter be and is hereby remitted to the appeal hearing authority for it to hear the appeal in a</w:t>
      </w:r>
      <w:r>
        <w:rPr>
          <w:spacing w:val="-47"/>
        </w:rPr>
        <w:t> </w:t>
      </w:r>
      <w:r>
        <w:rPr/>
        <w:t>procedurally</w:t>
      </w:r>
      <w:r>
        <w:rPr>
          <w:spacing w:val="-2"/>
        </w:rPr>
        <w:t> </w:t>
      </w:r>
      <w:r>
        <w:rPr/>
        <w:t>correct</w:t>
      </w:r>
      <w:r>
        <w:rPr>
          <w:spacing w:val="-3"/>
        </w:rPr>
        <w:t> </w:t>
      </w:r>
      <w:r>
        <w:rPr/>
        <w:t>manner.</w:t>
      </w:r>
    </w:p>
    <w:p>
      <w:pPr>
        <w:pStyle w:val="BodyText"/>
        <w:spacing w:before="15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1531492</wp:posOffset>
            </wp:positionH>
            <wp:positionV relativeFrom="paragraph">
              <wp:posOffset>57069</wp:posOffset>
            </wp:positionV>
            <wp:extent cx="3694176" cy="133502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176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Each</w:t>
      </w:r>
      <w:r>
        <w:rPr>
          <w:spacing w:val="-1"/>
        </w:rPr>
        <w:t> </w:t>
      </w:r>
      <w:r>
        <w:rPr/>
        <w:t>party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bear its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costs.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BodyText"/>
        <w:ind w:left="2273" w:right="3879"/>
        <w:jc w:val="center"/>
      </w:pPr>
      <w:r>
        <w:rPr/>
        <w:t>……………………………………………………</w:t>
      </w:r>
    </w:p>
    <w:p>
      <w:pPr>
        <w:spacing w:before="184"/>
        <w:ind w:left="2207" w:right="3879" w:firstLine="0"/>
        <w:jc w:val="center"/>
        <w:rPr>
          <w:sz w:val="40"/>
        </w:rPr>
      </w:pPr>
      <w:r>
        <w:rPr>
          <w:sz w:val="40"/>
        </w:rPr>
        <w:t>JUDGE</w:t>
      </w:r>
    </w:p>
    <w:sectPr>
      <w:pgSz w:w="11910" w:h="16840"/>
      <w:pgMar w:header="0" w:footer="1000" w:top="1380" w:bottom="120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80.895996pt;width:41.3pt;height:13.05pt;mso-position-horizontal-relative:page;mso-position-vertical-relative:page;z-index:-1578598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Page</w:t>
                </w:r>
                <w:r>
                  <w:rPr>
                    <w:spacing w:val="1"/>
                  </w:rPr>
                  <w:t> </w:t>
                </w:r>
                <w:r>
                  <w:rPr/>
                  <w:t>|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dcterms:created xsi:type="dcterms:W3CDTF">2023-10-06T10:02:05Z</dcterms:created>
  <dcterms:modified xsi:type="dcterms:W3CDTF">2023-10-06T10:02:05Z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