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EE0" w:rsidRPr="00CD2A03" w:rsidRDefault="00DA7074" w:rsidP="00E810A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TELECONTRACT (PVT) LTD</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versus</w:t>
      </w:r>
    </w:p>
    <w:p w:rsidR="00C820C6" w:rsidRDefault="00DA7074" w:rsidP="00E810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POSTAL AND TELECOMMUNICATIONS REGULATORY </w:t>
      </w:r>
    </w:p>
    <w:p w:rsidR="00DA7074" w:rsidRPr="00CD2A03" w:rsidRDefault="00DA7074" w:rsidP="00E810AD">
      <w:pPr>
        <w:spacing w:after="0" w:line="240" w:lineRule="auto"/>
        <w:rPr>
          <w:rFonts w:ascii="Times New Roman" w:hAnsi="Times New Roman" w:cs="Times New Roman"/>
          <w:sz w:val="24"/>
          <w:szCs w:val="24"/>
        </w:rPr>
      </w:pPr>
      <w:r>
        <w:rPr>
          <w:rFonts w:ascii="Times New Roman" w:hAnsi="Times New Roman" w:cs="Times New Roman"/>
          <w:sz w:val="24"/>
          <w:szCs w:val="24"/>
        </w:rPr>
        <w:t>AUTHORITY OF ZIMBABWE</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and</w:t>
      </w:r>
    </w:p>
    <w:p w:rsidR="00C820C6"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 xml:space="preserve">MINISTER OF </w:t>
      </w:r>
      <w:r w:rsidR="00DA7074">
        <w:rPr>
          <w:rFonts w:ascii="Times New Roman" w:hAnsi="Times New Roman" w:cs="Times New Roman"/>
          <w:sz w:val="24"/>
          <w:szCs w:val="24"/>
        </w:rPr>
        <w:t>INFORMATION, COMMUNICATION TECHNOLOGY</w:t>
      </w:r>
      <w:r w:rsidR="00B40A6F">
        <w:rPr>
          <w:rFonts w:ascii="Times New Roman" w:hAnsi="Times New Roman" w:cs="Times New Roman"/>
          <w:sz w:val="24"/>
          <w:szCs w:val="24"/>
        </w:rPr>
        <w:t>,</w:t>
      </w:r>
    </w:p>
    <w:p w:rsidR="00DA7074" w:rsidRPr="00CD2A03" w:rsidRDefault="00DA7074" w:rsidP="00E810AD">
      <w:pPr>
        <w:spacing w:after="0" w:line="240" w:lineRule="auto"/>
        <w:rPr>
          <w:rFonts w:ascii="Times New Roman" w:hAnsi="Times New Roman" w:cs="Times New Roman"/>
          <w:sz w:val="24"/>
          <w:szCs w:val="24"/>
        </w:rPr>
      </w:pPr>
      <w:r>
        <w:rPr>
          <w:rFonts w:ascii="Times New Roman" w:hAnsi="Times New Roman" w:cs="Times New Roman"/>
          <w:sz w:val="24"/>
          <w:szCs w:val="24"/>
        </w:rPr>
        <w:t>POSTAL AND COURIER SERVICES</w:t>
      </w:r>
    </w:p>
    <w:p w:rsidR="00C820C6" w:rsidRPr="00CD2A03" w:rsidRDefault="00C820C6" w:rsidP="00E810AD">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and</w:t>
      </w:r>
    </w:p>
    <w:p w:rsidR="00C820C6" w:rsidRDefault="00DA7074" w:rsidP="00E810AD">
      <w:pPr>
        <w:spacing w:after="0" w:line="240" w:lineRule="auto"/>
        <w:rPr>
          <w:rFonts w:ascii="Times New Roman" w:hAnsi="Times New Roman" w:cs="Times New Roman"/>
          <w:sz w:val="24"/>
          <w:szCs w:val="24"/>
        </w:rPr>
      </w:pPr>
      <w:r>
        <w:rPr>
          <w:rFonts w:ascii="Times New Roman" w:hAnsi="Times New Roman" w:cs="Times New Roman"/>
          <w:sz w:val="24"/>
          <w:szCs w:val="24"/>
        </w:rPr>
        <w:t>MINISTER OF TRANSPORT, COMMUNICATIONS AND</w:t>
      </w:r>
    </w:p>
    <w:p w:rsidR="00DA7074" w:rsidRPr="00CD2A03" w:rsidRDefault="00DA7074" w:rsidP="00E810AD">
      <w:pPr>
        <w:spacing w:after="0" w:line="240" w:lineRule="auto"/>
        <w:rPr>
          <w:rFonts w:ascii="Times New Roman" w:hAnsi="Times New Roman" w:cs="Times New Roman"/>
          <w:sz w:val="24"/>
          <w:szCs w:val="24"/>
        </w:rPr>
      </w:pPr>
      <w:r>
        <w:rPr>
          <w:rFonts w:ascii="Times New Roman" w:hAnsi="Times New Roman" w:cs="Times New Roman"/>
          <w:sz w:val="24"/>
          <w:szCs w:val="24"/>
        </w:rPr>
        <w:t>INFRASTRUCTURE DEVELOPMENT</w:t>
      </w:r>
    </w:p>
    <w:p w:rsidR="00C820C6" w:rsidRDefault="00C820C6" w:rsidP="00C4791B">
      <w:pPr>
        <w:spacing w:line="240" w:lineRule="auto"/>
        <w:rPr>
          <w:rFonts w:ascii="Times New Roman" w:hAnsi="Times New Roman" w:cs="Times New Roman"/>
          <w:sz w:val="24"/>
          <w:szCs w:val="24"/>
        </w:rPr>
      </w:pPr>
    </w:p>
    <w:p w:rsidR="00C4791B" w:rsidRPr="00CD2A03" w:rsidRDefault="00C4791B" w:rsidP="00C4791B">
      <w:pPr>
        <w:spacing w:line="240" w:lineRule="auto"/>
        <w:rPr>
          <w:rFonts w:ascii="Times New Roman" w:hAnsi="Times New Roman" w:cs="Times New Roman"/>
          <w:sz w:val="24"/>
          <w:szCs w:val="24"/>
        </w:rPr>
      </w:pPr>
    </w:p>
    <w:p w:rsidR="00C4791B" w:rsidRDefault="00C4791B" w:rsidP="00C4791B">
      <w:pPr>
        <w:spacing w:after="0" w:line="240" w:lineRule="auto"/>
        <w:rPr>
          <w:rFonts w:ascii="Times New Roman" w:hAnsi="Times New Roman" w:cs="Times New Roman"/>
          <w:sz w:val="24"/>
          <w:szCs w:val="24"/>
        </w:rPr>
      </w:pPr>
    </w:p>
    <w:p w:rsidR="00C820C6" w:rsidRPr="00CD2A03" w:rsidRDefault="00C820C6" w:rsidP="00C4791B">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HIGH COURT OF ZIMBABWE</w:t>
      </w:r>
    </w:p>
    <w:p w:rsidR="00E810AD" w:rsidRPr="00CD2A03" w:rsidRDefault="00DA7074" w:rsidP="00C4791B">
      <w:pPr>
        <w:spacing w:after="0" w:line="240" w:lineRule="auto"/>
        <w:rPr>
          <w:rFonts w:ascii="Times New Roman" w:hAnsi="Times New Roman" w:cs="Times New Roman"/>
          <w:sz w:val="24"/>
          <w:szCs w:val="24"/>
        </w:rPr>
      </w:pPr>
      <w:r>
        <w:rPr>
          <w:rFonts w:ascii="Times New Roman" w:hAnsi="Times New Roman" w:cs="Times New Roman"/>
          <w:sz w:val="24"/>
          <w:szCs w:val="24"/>
        </w:rPr>
        <w:t>CHIKOWERO</w:t>
      </w:r>
      <w:r w:rsidR="00E810AD" w:rsidRPr="00CD2A03">
        <w:rPr>
          <w:rFonts w:ascii="Times New Roman" w:hAnsi="Times New Roman" w:cs="Times New Roman"/>
          <w:sz w:val="24"/>
          <w:szCs w:val="24"/>
        </w:rPr>
        <w:t xml:space="preserve"> J</w:t>
      </w:r>
    </w:p>
    <w:p w:rsidR="00C820C6" w:rsidRPr="00CD2A03" w:rsidRDefault="00C820C6" w:rsidP="00C4791B">
      <w:pPr>
        <w:spacing w:after="0" w:line="240" w:lineRule="auto"/>
        <w:rPr>
          <w:rFonts w:ascii="Times New Roman" w:hAnsi="Times New Roman" w:cs="Times New Roman"/>
          <w:sz w:val="24"/>
          <w:szCs w:val="24"/>
        </w:rPr>
      </w:pPr>
      <w:r w:rsidRPr="00CD2A03">
        <w:rPr>
          <w:rFonts w:ascii="Times New Roman" w:hAnsi="Times New Roman" w:cs="Times New Roman"/>
          <w:sz w:val="24"/>
          <w:szCs w:val="24"/>
        </w:rPr>
        <w:t>HARARE</w:t>
      </w:r>
      <w:r w:rsidR="00C13838">
        <w:rPr>
          <w:rFonts w:ascii="Times New Roman" w:hAnsi="Times New Roman" w:cs="Times New Roman"/>
          <w:sz w:val="24"/>
          <w:szCs w:val="24"/>
        </w:rPr>
        <w:t xml:space="preserve">12 July 2018 and </w:t>
      </w:r>
      <w:r w:rsidR="00A805A4">
        <w:rPr>
          <w:rFonts w:ascii="Times New Roman" w:hAnsi="Times New Roman" w:cs="Times New Roman"/>
          <w:sz w:val="24"/>
          <w:szCs w:val="24"/>
        </w:rPr>
        <w:t>8 August</w:t>
      </w:r>
      <w:r w:rsidR="00C13838">
        <w:rPr>
          <w:rFonts w:ascii="Times New Roman" w:hAnsi="Times New Roman" w:cs="Times New Roman"/>
          <w:sz w:val="24"/>
          <w:szCs w:val="24"/>
        </w:rPr>
        <w:t xml:space="preserve"> 2018</w:t>
      </w:r>
    </w:p>
    <w:p w:rsidR="00C820C6" w:rsidRPr="00CD2A03" w:rsidRDefault="00C820C6" w:rsidP="00CD2A03">
      <w:pPr>
        <w:spacing w:line="360" w:lineRule="auto"/>
        <w:rPr>
          <w:rFonts w:ascii="Times New Roman" w:hAnsi="Times New Roman" w:cs="Times New Roman"/>
          <w:sz w:val="24"/>
          <w:szCs w:val="24"/>
        </w:rPr>
      </w:pPr>
    </w:p>
    <w:p w:rsidR="00C820C6" w:rsidRDefault="00C13838" w:rsidP="00CD2A03">
      <w:pPr>
        <w:spacing w:line="360" w:lineRule="auto"/>
        <w:rPr>
          <w:rFonts w:ascii="Times New Roman" w:hAnsi="Times New Roman" w:cs="Times New Roman"/>
          <w:b/>
          <w:sz w:val="24"/>
          <w:szCs w:val="24"/>
        </w:rPr>
      </w:pPr>
      <w:r>
        <w:rPr>
          <w:rFonts w:ascii="Times New Roman" w:hAnsi="Times New Roman" w:cs="Times New Roman"/>
          <w:b/>
          <w:sz w:val="24"/>
          <w:szCs w:val="24"/>
        </w:rPr>
        <w:t>Opposed Application</w:t>
      </w:r>
    </w:p>
    <w:p w:rsidR="006E7660" w:rsidRDefault="006E7660" w:rsidP="006E7660">
      <w:pPr>
        <w:spacing w:after="0" w:line="240" w:lineRule="auto"/>
        <w:rPr>
          <w:rFonts w:ascii="Times New Roman" w:hAnsi="Times New Roman" w:cs="Times New Roman"/>
          <w:sz w:val="24"/>
          <w:szCs w:val="24"/>
        </w:rPr>
      </w:pPr>
    </w:p>
    <w:p w:rsidR="006E7660" w:rsidRPr="006E7660" w:rsidRDefault="00C13838" w:rsidP="006E7660">
      <w:pPr>
        <w:spacing w:after="0" w:line="240" w:lineRule="auto"/>
        <w:rPr>
          <w:rFonts w:ascii="Times New Roman" w:hAnsi="Times New Roman" w:cs="Times New Roman"/>
          <w:sz w:val="24"/>
          <w:szCs w:val="24"/>
        </w:rPr>
      </w:pPr>
      <w:r w:rsidRPr="00C13838">
        <w:rPr>
          <w:rFonts w:ascii="Times New Roman" w:hAnsi="Times New Roman" w:cs="Times New Roman"/>
          <w:i/>
          <w:sz w:val="24"/>
          <w:szCs w:val="24"/>
        </w:rPr>
        <w:t>U Sakhe</w:t>
      </w:r>
      <w:r w:rsidR="006E7660" w:rsidRPr="006E7660">
        <w:rPr>
          <w:rFonts w:ascii="Times New Roman" w:hAnsi="Times New Roman" w:cs="Times New Roman"/>
          <w:sz w:val="24"/>
          <w:szCs w:val="24"/>
        </w:rPr>
        <w:t xml:space="preserve">, for the </w:t>
      </w:r>
      <w:r>
        <w:rPr>
          <w:rFonts w:ascii="Times New Roman" w:hAnsi="Times New Roman" w:cs="Times New Roman"/>
          <w:sz w:val="24"/>
          <w:szCs w:val="24"/>
        </w:rPr>
        <w:t>applicant</w:t>
      </w:r>
    </w:p>
    <w:p w:rsidR="00C13838" w:rsidRDefault="00C13838" w:rsidP="006E7660">
      <w:pPr>
        <w:spacing w:after="0" w:line="240" w:lineRule="auto"/>
        <w:rPr>
          <w:rFonts w:ascii="Times New Roman" w:hAnsi="Times New Roman" w:cs="Times New Roman"/>
          <w:sz w:val="24"/>
          <w:szCs w:val="24"/>
        </w:rPr>
      </w:pPr>
      <w:r w:rsidRPr="00C13838">
        <w:rPr>
          <w:rFonts w:ascii="Times New Roman" w:hAnsi="Times New Roman" w:cs="Times New Roman"/>
          <w:i/>
          <w:sz w:val="24"/>
          <w:szCs w:val="24"/>
        </w:rPr>
        <w:t>F Mahere</w:t>
      </w:r>
      <w:r w:rsidR="006E7660" w:rsidRPr="006E7660">
        <w:rPr>
          <w:rFonts w:ascii="Times New Roman" w:hAnsi="Times New Roman" w:cs="Times New Roman"/>
          <w:sz w:val="24"/>
          <w:szCs w:val="24"/>
        </w:rPr>
        <w:t xml:space="preserve">, for the </w:t>
      </w:r>
      <w:r>
        <w:rPr>
          <w:rFonts w:ascii="Times New Roman" w:hAnsi="Times New Roman" w:cs="Times New Roman"/>
          <w:sz w:val="24"/>
          <w:szCs w:val="24"/>
        </w:rPr>
        <w:t>1</w:t>
      </w:r>
      <w:r w:rsidRPr="00C1383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C13838" w:rsidRDefault="00C13838" w:rsidP="006E7660">
      <w:pPr>
        <w:spacing w:after="0" w:line="240" w:lineRule="auto"/>
        <w:rPr>
          <w:rFonts w:ascii="Times New Roman" w:hAnsi="Times New Roman" w:cs="Times New Roman"/>
          <w:sz w:val="24"/>
          <w:szCs w:val="24"/>
        </w:rPr>
      </w:pPr>
      <w:r w:rsidRPr="00C13838">
        <w:rPr>
          <w:rFonts w:ascii="Times New Roman" w:hAnsi="Times New Roman" w:cs="Times New Roman"/>
          <w:i/>
          <w:sz w:val="24"/>
          <w:szCs w:val="24"/>
        </w:rPr>
        <w:t>V Munyoro</w:t>
      </w:r>
      <w:r>
        <w:rPr>
          <w:rFonts w:ascii="Times New Roman" w:hAnsi="Times New Roman" w:cs="Times New Roman"/>
          <w:sz w:val="24"/>
          <w:szCs w:val="24"/>
        </w:rPr>
        <w:t>, for the 2</w:t>
      </w:r>
      <w:r w:rsidRPr="00C1383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6E7660" w:rsidRDefault="00C13838" w:rsidP="006E7660">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3</w:t>
      </w:r>
      <w:r w:rsidRPr="00C1383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r w:rsidR="006E7660" w:rsidRPr="006E7660">
        <w:rPr>
          <w:rFonts w:ascii="Times New Roman" w:hAnsi="Times New Roman" w:cs="Times New Roman"/>
          <w:sz w:val="24"/>
          <w:szCs w:val="24"/>
        </w:rPr>
        <w:t xml:space="preserve"> </w:t>
      </w:r>
    </w:p>
    <w:p w:rsidR="006E7660" w:rsidRDefault="006E7660" w:rsidP="006E7660">
      <w:pPr>
        <w:spacing w:after="0" w:line="240" w:lineRule="auto"/>
        <w:rPr>
          <w:rFonts w:ascii="Times New Roman" w:hAnsi="Times New Roman" w:cs="Times New Roman"/>
          <w:sz w:val="24"/>
          <w:szCs w:val="24"/>
        </w:rPr>
      </w:pPr>
    </w:p>
    <w:p w:rsidR="006E7660" w:rsidRPr="006E7660" w:rsidRDefault="006E7660" w:rsidP="006E7660">
      <w:pPr>
        <w:spacing w:after="0" w:line="240" w:lineRule="auto"/>
        <w:rPr>
          <w:rFonts w:ascii="Times New Roman" w:hAnsi="Times New Roman" w:cs="Times New Roman"/>
          <w:sz w:val="24"/>
          <w:szCs w:val="24"/>
        </w:rPr>
      </w:pPr>
    </w:p>
    <w:p w:rsidR="008C18C2" w:rsidRDefault="00C820C6" w:rsidP="00C13838">
      <w:pPr>
        <w:spacing w:after="0" w:line="360" w:lineRule="auto"/>
        <w:jc w:val="both"/>
        <w:rPr>
          <w:rFonts w:ascii="Times New Roman" w:hAnsi="Times New Roman" w:cs="Times New Roman"/>
          <w:sz w:val="24"/>
          <w:szCs w:val="24"/>
        </w:rPr>
      </w:pPr>
      <w:r w:rsidRPr="00CD2A03">
        <w:rPr>
          <w:rFonts w:ascii="Times New Roman" w:hAnsi="Times New Roman" w:cs="Times New Roman"/>
          <w:sz w:val="24"/>
          <w:szCs w:val="24"/>
        </w:rPr>
        <w:tab/>
      </w:r>
      <w:r w:rsidR="00C13838">
        <w:rPr>
          <w:rFonts w:ascii="Times New Roman" w:hAnsi="Times New Roman" w:cs="Times New Roman"/>
          <w:sz w:val="24"/>
          <w:szCs w:val="24"/>
        </w:rPr>
        <w:t>CHIKOWERO</w:t>
      </w:r>
      <w:r w:rsidRPr="00CD2A03">
        <w:rPr>
          <w:rFonts w:ascii="Times New Roman" w:hAnsi="Times New Roman" w:cs="Times New Roman"/>
          <w:sz w:val="24"/>
          <w:szCs w:val="24"/>
        </w:rPr>
        <w:t xml:space="preserve"> J: </w:t>
      </w:r>
      <w:r w:rsidR="00C13838">
        <w:rPr>
          <w:rFonts w:ascii="Times New Roman" w:hAnsi="Times New Roman" w:cs="Times New Roman"/>
          <w:sz w:val="24"/>
          <w:szCs w:val="24"/>
        </w:rPr>
        <w:t xml:space="preserve">The facts of this matter are well set out in the judgment of my sister </w:t>
      </w:r>
      <w:r w:rsidR="00C13838" w:rsidRPr="0083672C">
        <w:rPr>
          <w:rFonts w:ascii="Times New Roman" w:hAnsi="Times New Roman" w:cs="Times New Roman"/>
          <w:smallCaps/>
          <w:sz w:val="24"/>
          <w:szCs w:val="24"/>
        </w:rPr>
        <w:t>Muremba J</w:t>
      </w:r>
      <w:r w:rsidR="00C13838">
        <w:rPr>
          <w:rFonts w:ascii="Times New Roman" w:hAnsi="Times New Roman" w:cs="Times New Roman"/>
          <w:sz w:val="24"/>
          <w:szCs w:val="24"/>
        </w:rPr>
        <w:t xml:space="preserve"> in case number HH 269/17.</w:t>
      </w:r>
    </w:p>
    <w:p w:rsidR="00C13838" w:rsidRDefault="00C13838"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unnecessary for me to repeat the same facts. I must point out, however, that </w:t>
      </w:r>
      <w:r w:rsidRPr="0083672C">
        <w:rPr>
          <w:rFonts w:ascii="Times New Roman" w:hAnsi="Times New Roman" w:cs="Times New Roman"/>
          <w:smallCaps/>
          <w:sz w:val="24"/>
          <w:szCs w:val="24"/>
        </w:rPr>
        <w:t>Muremba J</w:t>
      </w:r>
      <w:r>
        <w:rPr>
          <w:rFonts w:ascii="Times New Roman" w:hAnsi="Times New Roman" w:cs="Times New Roman"/>
          <w:sz w:val="24"/>
          <w:szCs w:val="24"/>
        </w:rPr>
        <w:t xml:space="preserve"> did not decide this same application on the merits. Instead, she dismissed the application on the procedural ground that the relief should have been sought through an application for review, rather than a court application for a declaratory order.</w:t>
      </w:r>
    </w:p>
    <w:p w:rsidR="00C13838" w:rsidRDefault="00C13838"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appeal, the judgment in case number HH 269/17 was set aside in its entirety. The Supreme Court remitted the matter to this court for consideration and determination on the merits.</w:t>
      </w:r>
      <w:r>
        <w:rPr>
          <w:rFonts w:ascii="Times New Roman" w:hAnsi="Times New Roman" w:cs="Times New Roman"/>
          <w:sz w:val="24"/>
          <w:szCs w:val="24"/>
        </w:rPr>
        <w:tab/>
      </w:r>
    </w:p>
    <w:p w:rsidR="0011386B" w:rsidRDefault="00C13838" w:rsidP="001138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will therefore determine the application on the merits, oral argument having been presented before me on July 12</w:t>
      </w:r>
      <w:r w:rsidRPr="00C13838">
        <w:rPr>
          <w:rFonts w:ascii="Times New Roman" w:hAnsi="Times New Roman" w:cs="Times New Roman"/>
          <w:sz w:val="24"/>
          <w:szCs w:val="24"/>
          <w:vertAlign w:val="superscript"/>
        </w:rPr>
        <w:t>th</w:t>
      </w:r>
      <w:r>
        <w:rPr>
          <w:rFonts w:ascii="Times New Roman" w:hAnsi="Times New Roman" w:cs="Times New Roman"/>
          <w:sz w:val="24"/>
          <w:szCs w:val="24"/>
        </w:rPr>
        <w:t xml:space="preserve"> 2018. The relief sought by the applicant was as follows:</w:t>
      </w:r>
    </w:p>
    <w:p w:rsidR="00C13838" w:rsidRPr="00B40A6F" w:rsidRDefault="0011386B" w:rsidP="001138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13838" w:rsidRPr="00B40A6F">
        <w:rPr>
          <w:rFonts w:ascii="Times New Roman" w:hAnsi="Times New Roman" w:cs="Times New Roman"/>
          <w:sz w:val="24"/>
          <w:szCs w:val="24"/>
        </w:rPr>
        <w:t>The decision by the 3</w:t>
      </w:r>
      <w:r w:rsidR="00C13838" w:rsidRPr="00B40A6F">
        <w:rPr>
          <w:rFonts w:ascii="Times New Roman" w:hAnsi="Times New Roman" w:cs="Times New Roman"/>
          <w:sz w:val="24"/>
          <w:szCs w:val="24"/>
          <w:vertAlign w:val="superscript"/>
        </w:rPr>
        <w:t>rd</w:t>
      </w:r>
      <w:r w:rsidR="00C13838" w:rsidRPr="00B40A6F">
        <w:rPr>
          <w:rFonts w:ascii="Times New Roman" w:hAnsi="Times New Roman" w:cs="Times New Roman"/>
          <w:sz w:val="24"/>
          <w:szCs w:val="24"/>
        </w:rPr>
        <w:t xml:space="preserve"> respondent in consultation with the 1</w:t>
      </w:r>
      <w:r w:rsidR="00C13838" w:rsidRPr="00B40A6F">
        <w:rPr>
          <w:rFonts w:ascii="Times New Roman" w:hAnsi="Times New Roman" w:cs="Times New Roman"/>
          <w:sz w:val="24"/>
          <w:szCs w:val="24"/>
          <w:vertAlign w:val="superscript"/>
        </w:rPr>
        <w:t>st</w:t>
      </w:r>
      <w:r w:rsidR="00C13838" w:rsidRPr="00B40A6F">
        <w:rPr>
          <w:rFonts w:ascii="Times New Roman" w:hAnsi="Times New Roman" w:cs="Times New Roman"/>
          <w:sz w:val="24"/>
          <w:szCs w:val="24"/>
        </w:rPr>
        <w:t xml:space="preserve"> respondent setting the Class “A” Licence fees at US$5 500 000.00 be and is hereby set aside.</w:t>
      </w:r>
    </w:p>
    <w:p w:rsidR="00C13838" w:rsidRPr="00B40A6F" w:rsidRDefault="00C13838" w:rsidP="0011386B">
      <w:pPr>
        <w:pStyle w:val="ListParagraph"/>
        <w:numPr>
          <w:ilvl w:val="1"/>
          <w:numId w:val="5"/>
        </w:numPr>
        <w:spacing w:after="0" w:line="240" w:lineRule="auto"/>
        <w:ind w:left="540" w:hanging="450"/>
        <w:jc w:val="both"/>
        <w:rPr>
          <w:rFonts w:ascii="Times New Roman" w:hAnsi="Times New Roman" w:cs="Times New Roman"/>
          <w:sz w:val="24"/>
          <w:szCs w:val="24"/>
        </w:rPr>
      </w:pPr>
      <w:r w:rsidRPr="00B40A6F">
        <w:rPr>
          <w:rFonts w:ascii="Times New Roman" w:hAnsi="Times New Roman" w:cs="Times New Roman"/>
          <w:sz w:val="24"/>
          <w:szCs w:val="24"/>
        </w:rPr>
        <w:lastRenderedPageBreak/>
        <w:t>The Postal and Telecommunications (Licence Registration and Certification) (Amendment) Regulations, 2013 (N</w:t>
      </w:r>
      <w:r w:rsidR="003E7CAD" w:rsidRPr="00B40A6F">
        <w:rPr>
          <w:rFonts w:ascii="Times New Roman" w:hAnsi="Times New Roman" w:cs="Times New Roman"/>
          <w:sz w:val="24"/>
          <w:szCs w:val="24"/>
        </w:rPr>
        <w:t>o</w:t>
      </w:r>
      <w:r w:rsidRPr="00B40A6F">
        <w:rPr>
          <w:rFonts w:ascii="Times New Roman" w:hAnsi="Times New Roman" w:cs="Times New Roman"/>
          <w:sz w:val="24"/>
          <w:szCs w:val="24"/>
        </w:rPr>
        <w:t xml:space="preserve">. 6) (S.I 122 of 2013) prescribing Licence fees for Internet Access </w:t>
      </w:r>
      <w:r w:rsidR="00B40A6F" w:rsidRPr="00B40A6F">
        <w:rPr>
          <w:rFonts w:ascii="Times New Roman" w:hAnsi="Times New Roman" w:cs="Times New Roman"/>
          <w:sz w:val="24"/>
          <w:szCs w:val="24"/>
        </w:rPr>
        <w:tab/>
      </w:r>
      <w:r w:rsidRPr="00B40A6F">
        <w:rPr>
          <w:rFonts w:ascii="Times New Roman" w:hAnsi="Times New Roman" w:cs="Times New Roman"/>
          <w:sz w:val="24"/>
          <w:szCs w:val="24"/>
        </w:rPr>
        <w:t>Provider Licences be and are hereby declared ultra vires. The Postal and Telecommunications Act [</w:t>
      </w:r>
      <w:r w:rsidRPr="00B40A6F">
        <w:rPr>
          <w:rFonts w:ascii="Times New Roman" w:hAnsi="Times New Roman" w:cs="Times New Roman"/>
          <w:i/>
          <w:sz w:val="24"/>
          <w:szCs w:val="24"/>
        </w:rPr>
        <w:t>Chapter 12:05</w:t>
      </w:r>
      <w:r w:rsidRPr="00B40A6F">
        <w:rPr>
          <w:rFonts w:ascii="Times New Roman" w:hAnsi="Times New Roman" w:cs="Times New Roman"/>
          <w:sz w:val="24"/>
          <w:szCs w:val="24"/>
        </w:rPr>
        <w:t>] and therefore invalid, null and void.</w:t>
      </w:r>
    </w:p>
    <w:p w:rsidR="00C13838" w:rsidRPr="00B40A6F" w:rsidRDefault="00C13838" w:rsidP="00B40A6F">
      <w:pPr>
        <w:pStyle w:val="ListParagraph"/>
        <w:numPr>
          <w:ilvl w:val="1"/>
          <w:numId w:val="5"/>
        </w:numPr>
        <w:spacing w:after="0" w:line="240" w:lineRule="auto"/>
        <w:ind w:left="540" w:hanging="450"/>
        <w:jc w:val="both"/>
        <w:rPr>
          <w:rFonts w:ascii="Times New Roman" w:hAnsi="Times New Roman" w:cs="Times New Roman"/>
          <w:sz w:val="24"/>
          <w:szCs w:val="24"/>
        </w:rPr>
      </w:pPr>
      <w:r w:rsidRPr="00B40A6F">
        <w:rPr>
          <w:rFonts w:ascii="Times New Roman" w:hAnsi="Times New Roman" w:cs="Times New Roman"/>
          <w:sz w:val="24"/>
          <w:szCs w:val="24"/>
        </w:rPr>
        <w:t>The 1</w:t>
      </w:r>
      <w:r w:rsidRPr="00B40A6F">
        <w:rPr>
          <w:rFonts w:ascii="Times New Roman" w:hAnsi="Times New Roman" w:cs="Times New Roman"/>
          <w:sz w:val="24"/>
          <w:szCs w:val="24"/>
          <w:vertAlign w:val="superscript"/>
        </w:rPr>
        <w:t>st</w:t>
      </w:r>
      <w:r w:rsidRPr="00B40A6F">
        <w:rPr>
          <w:rFonts w:ascii="Times New Roman" w:hAnsi="Times New Roman" w:cs="Times New Roman"/>
          <w:sz w:val="24"/>
          <w:szCs w:val="24"/>
        </w:rPr>
        <w:t xml:space="preserve"> respondent be and is hereby ordered to publish all Internet Access Provider Licences in accordance </w:t>
      </w:r>
      <w:r w:rsidR="007F521D" w:rsidRPr="00B40A6F">
        <w:rPr>
          <w:rFonts w:ascii="Times New Roman" w:hAnsi="Times New Roman" w:cs="Times New Roman"/>
          <w:sz w:val="24"/>
          <w:szCs w:val="24"/>
        </w:rPr>
        <w:t xml:space="preserve">with section 5 (a) of </w:t>
      </w:r>
      <w:r w:rsidR="00B40A6F" w:rsidRPr="00B40A6F">
        <w:rPr>
          <w:rFonts w:ascii="Times New Roman" w:hAnsi="Times New Roman" w:cs="Times New Roman"/>
          <w:sz w:val="24"/>
          <w:szCs w:val="24"/>
        </w:rPr>
        <w:t xml:space="preserve">Statutory Instrument </w:t>
      </w:r>
      <w:r w:rsidR="007F521D" w:rsidRPr="00B40A6F">
        <w:rPr>
          <w:rFonts w:ascii="Times New Roman" w:hAnsi="Times New Roman" w:cs="Times New Roman"/>
          <w:sz w:val="24"/>
          <w:szCs w:val="24"/>
        </w:rPr>
        <w:t>262 of 2001 within thirty (30) days of the date of this order.</w:t>
      </w:r>
    </w:p>
    <w:p w:rsidR="007F521D" w:rsidRPr="00B40A6F" w:rsidRDefault="007F521D" w:rsidP="00B40A6F">
      <w:pPr>
        <w:pStyle w:val="ListParagraph"/>
        <w:numPr>
          <w:ilvl w:val="1"/>
          <w:numId w:val="5"/>
        </w:numPr>
        <w:spacing w:after="0" w:line="240" w:lineRule="auto"/>
        <w:ind w:left="540" w:hanging="450"/>
        <w:jc w:val="both"/>
        <w:rPr>
          <w:rFonts w:ascii="Times New Roman" w:hAnsi="Times New Roman" w:cs="Times New Roman"/>
          <w:sz w:val="24"/>
          <w:szCs w:val="24"/>
        </w:rPr>
      </w:pPr>
      <w:r w:rsidRPr="00B40A6F">
        <w:rPr>
          <w:rFonts w:ascii="Times New Roman" w:hAnsi="Times New Roman" w:cs="Times New Roman"/>
          <w:sz w:val="24"/>
          <w:szCs w:val="24"/>
        </w:rPr>
        <w:t>The 1</w:t>
      </w:r>
      <w:r w:rsidRPr="00B40A6F">
        <w:rPr>
          <w:rFonts w:ascii="Times New Roman" w:hAnsi="Times New Roman" w:cs="Times New Roman"/>
          <w:sz w:val="24"/>
          <w:szCs w:val="24"/>
          <w:vertAlign w:val="superscript"/>
        </w:rPr>
        <w:t>st</w:t>
      </w:r>
      <w:r w:rsidRPr="00B40A6F">
        <w:rPr>
          <w:rFonts w:ascii="Times New Roman" w:hAnsi="Times New Roman" w:cs="Times New Roman"/>
          <w:sz w:val="24"/>
          <w:szCs w:val="24"/>
        </w:rPr>
        <w:t xml:space="preserve"> respondent be and is hereby ordered to comply with its statutory obligations provided for under the Postal and Telecommunications Act [</w:t>
      </w:r>
      <w:r w:rsidRPr="00B40A6F">
        <w:rPr>
          <w:rFonts w:ascii="Times New Roman" w:hAnsi="Times New Roman" w:cs="Times New Roman"/>
          <w:i/>
          <w:sz w:val="24"/>
          <w:szCs w:val="24"/>
        </w:rPr>
        <w:t>Chapter 12:05</w:t>
      </w:r>
      <w:r w:rsidRPr="00B40A6F">
        <w:rPr>
          <w:rFonts w:ascii="Times New Roman" w:hAnsi="Times New Roman" w:cs="Times New Roman"/>
          <w:sz w:val="24"/>
          <w:szCs w:val="24"/>
        </w:rPr>
        <w:t xml:space="preserve">] and in particular, the enforcement of the provisions of s 37 (5) regarding publication of licences by </w:t>
      </w:r>
      <w:r w:rsidR="0083672C" w:rsidRPr="00B40A6F">
        <w:rPr>
          <w:rFonts w:ascii="Times New Roman" w:hAnsi="Times New Roman" w:cs="Times New Roman"/>
          <w:sz w:val="24"/>
          <w:szCs w:val="24"/>
        </w:rPr>
        <w:t>licensees</w:t>
      </w:r>
      <w:r w:rsidRPr="00B40A6F">
        <w:rPr>
          <w:rFonts w:ascii="Times New Roman" w:hAnsi="Times New Roman" w:cs="Times New Roman"/>
          <w:sz w:val="24"/>
          <w:szCs w:val="24"/>
        </w:rPr>
        <w:t>.</w:t>
      </w:r>
    </w:p>
    <w:p w:rsidR="007F521D" w:rsidRPr="00B40A6F" w:rsidRDefault="007F521D" w:rsidP="00B40A6F">
      <w:pPr>
        <w:pStyle w:val="ListParagraph"/>
        <w:numPr>
          <w:ilvl w:val="1"/>
          <w:numId w:val="5"/>
        </w:numPr>
        <w:spacing w:after="0" w:line="240" w:lineRule="auto"/>
        <w:ind w:left="540" w:hanging="450"/>
        <w:jc w:val="both"/>
        <w:rPr>
          <w:rFonts w:ascii="Times New Roman" w:hAnsi="Times New Roman" w:cs="Times New Roman"/>
          <w:sz w:val="24"/>
          <w:szCs w:val="24"/>
        </w:rPr>
      </w:pPr>
      <w:r w:rsidRPr="00B40A6F">
        <w:rPr>
          <w:rFonts w:ascii="Times New Roman" w:hAnsi="Times New Roman" w:cs="Times New Roman"/>
          <w:sz w:val="24"/>
          <w:szCs w:val="24"/>
        </w:rPr>
        <w:t>The respondents shall pay the costs of suit.”</w:t>
      </w:r>
    </w:p>
    <w:p w:rsidR="007F521D" w:rsidRDefault="007F521D" w:rsidP="00C13838">
      <w:pPr>
        <w:spacing w:after="0" w:line="360" w:lineRule="auto"/>
        <w:jc w:val="both"/>
        <w:rPr>
          <w:rFonts w:ascii="Times New Roman" w:hAnsi="Times New Roman" w:cs="Times New Roman"/>
          <w:sz w:val="24"/>
          <w:szCs w:val="24"/>
        </w:rPr>
      </w:pPr>
    </w:p>
    <w:p w:rsidR="007F521D" w:rsidRDefault="007F521D"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690F">
        <w:rPr>
          <w:rFonts w:ascii="Times New Roman" w:hAnsi="Times New Roman" w:cs="Times New Roman"/>
          <w:sz w:val="24"/>
          <w:szCs w:val="24"/>
        </w:rPr>
        <w:t xml:space="preserve">Paragraphs 1and 2 of the order sought are dependent on resolution of one issue. It is this. Whether the statutory instrument sought to be </w:t>
      </w:r>
      <w:r w:rsidR="00F970D7">
        <w:rPr>
          <w:rFonts w:ascii="Times New Roman" w:hAnsi="Times New Roman" w:cs="Times New Roman"/>
          <w:sz w:val="24"/>
          <w:szCs w:val="24"/>
        </w:rPr>
        <w:t>impugned</w:t>
      </w:r>
      <w:r w:rsidR="0025690F">
        <w:rPr>
          <w:rFonts w:ascii="Times New Roman" w:hAnsi="Times New Roman" w:cs="Times New Roman"/>
          <w:sz w:val="24"/>
          <w:szCs w:val="24"/>
        </w:rPr>
        <w:t xml:space="preserve"> should be struck down on the basis of gross unreasonableness.</w:t>
      </w:r>
    </w:p>
    <w:p w:rsidR="0025690F" w:rsidRDefault="0025690F"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Paragraphs 3 and 4 are resolved on the basis of statutory interpretation of the relevant provisions. In other words, it is a question of discovering the meaning of s 5 (5) of statutory instrument 262/01 and s 37 (5) of the Postal and Telecommunications Act [</w:t>
      </w:r>
      <w:r w:rsidRPr="005B5FB7">
        <w:rPr>
          <w:rFonts w:ascii="Times New Roman" w:hAnsi="Times New Roman" w:cs="Times New Roman"/>
          <w:i/>
          <w:sz w:val="24"/>
          <w:szCs w:val="24"/>
        </w:rPr>
        <w:t>Chapter 12:05</w:t>
      </w:r>
      <w:r>
        <w:rPr>
          <w:rFonts w:ascii="Times New Roman" w:hAnsi="Times New Roman" w:cs="Times New Roman"/>
          <w:sz w:val="24"/>
          <w:szCs w:val="24"/>
        </w:rPr>
        <w:t>].</w:t>
      </w:r>
    </w:p>
    <w:p w:rsidR="0025690F" w:rsidRDefault="0025690F"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first two paragraphs of the draft order, the application is in substance one that seeks the striking down of </w:t>
      </w:r>
      <w:r w:rsidR="00A774A3">
        <w:rPr>
          <w:rFonts w:ascii="Times New Roman" w:hAnsi="Times New Roman" w:cs="Times New Roman"/>
          <w:sz w:val="24"/>
          <w:szCs w:val="24"/>
        </w:rPr>
        <w:t>St</w:t>
      </w:r>
      <w:r w:rsidR="00046935">
        <w:rPr>
          <w:rFonts w:ascii="Times New Roman" w:hAnsi="Times New Roman" w:cs="Times New Roman"/>
          <w:sz w:val="24"/>
          <w:szCs w:val="24"/>
        </w:rPr>
        <w:t>atutory Instrument 122 of 2013 as ultra vires s 99 (2) of the Postal and Telecommunications Act [</w:t>
      </w:r>
      <w:r w:rsidR="00046935" w:rsidRPr="005B5FB7">
        <w:rPr>
          <w:rFonts w:ascii="Times New Roman" w:hAnsi="Times New Roman" w:cs="Times New Roman"/>
          <w:i/>
          <w:sz w:val="24"/>
          <w:szCs w:val="24"/>
        </w:rPr>
        <w:t>Chapter 12:05</w:t>
      </w:r>
      <w:r w:rsidR="00046935">
        <w:rPr>
          <w:rFonts w:ascii="Times New Roman" w:hAnsi="Times New Roman" w:cs="Times New Roman"/>
          <w:sz w:val="24"/>
          <w:szCs w:val="24"/>
        </w:rPr>
        <w:t>]</w:t>
      </w:r>
      <w:r w:rsidR="00A774A3">
        <w:rPr>
          <w:rFonts w:ascii="Times New Roman" w:hAnsi="Times New Roman" w:cs="Times New Roman"/>
          <w:sz w:val="24"/>
          <w:szCs w:val="24"/>
        </w:rPr>
        <w:t xml:space="preserve"> (hereinafter referred to as “the Act”).</w:t>
      </w:r>
    </w:p>
    <w:p w:rsidR="00046935" w:rsidRDefault="00046935"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both the essence of the application and the </w:t>
      </w:r>
      <w:r w:rsidR="00A774A3">
        <w:rPr>
          <w:rFonts w:ascii="Times New Roman" w:hAnsi="Times New Roman" w:cs="Times New Roman"/>
          <w:sz w:val="24"/>
          <w:szCs w:val="24"/>
        </w:rPr>
        <w:t xml:space="preserve">Supreme Court </w:t>
      </w:r>
      <w:r w:rsidR="00C75508">
        <w:rPr>
          <w:rFonts w:ascii="Times New Roman" w:hAnsi="Times New Roman" w:cs="Times New Roman"/>
          <w:sz w:val="24"/>
          <w:szCs w:val="24"/>
        </w:rPr>
        <w:t>order directing that the matter be determined on the merits, l f</w:t>
      </w:r>
      <w:r w:rsidR="00A774A3">
        <w:rPr>
          <w:rFonts w:ascii="Times New Roman" w:hAnsi="Times New Roman" w:cs="Times New Roman"/>
          <w:sz w:val="24"/>
          <w:szCs w:val="24"/>
        </w:rPr>
        <w:t>i</w:t>
      </w:r>
      <w:r w:rsidR="00C75508">
        <w:rPr>
          <w:rFonts w:ascii="Times New Roman" w:hAnsi="Times New Roman" w:cs="Times New Roman"/>
          <w:sz w:val="24"/>
          <w:szCs w:val="24"/>
        </w:rPr>
        <w:t xml:space="preserve">nd it of no moment to be detained by the </w:t>
      </w:r>
      <w:r w:rsidR="00A774A3">
        <w:rPr>
          <w:rFonts w:ascii="Times New Roman" w:hAnsi="Times New Roman" w:cs="Times New Roman"/>
          <w:sz w:val="24"/>
          <w:szCs w:val="24"/>
        </w:rPr>
        <w:t>debate</w:t>
      </w:r>
      <w:r w:rsidR="00C75508">
        <w:rPr>
          <w:rFonts w:ascii="Times New Roman" w:hAnsi="Times New Roman" w:cs="Times New Roman"/>
          <w:sz w:val="24"/>
          <w:szCs w:val="24"/>
        </w:rPr>
        <w:t xml:space="preserve"> whether what was before me was an application for a declaratory order or one where the applicant has had resort to the court’s inherent jurisdiction to declare subsidiary legislation as ultra vires on the basis of unreasonableness.</w:t>
      </w:r>
    </w:p>
    <w:p w:rsidR="00C75508" w:rsidRDefault="00C75508"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is settled that this court has the power to strike down subsidiary legislation as ultra vires the enabling Act of Parliament on the basis of </w:t>
      </w:r>
      <w:r w:rsidR="00A774A3">
        <w:rPr>
          <w:rFonts w:ascii="Times New Roman" w:hAnsi="Times New Roman" w:cs="Times New Roman"/>
          <w:sz w:val="24"/>
          <w:szCs w:val="24"/>
        </w:rPr>
        <w:t>un</w:t>
      </w:r>
      <w:r>
        <w:rPr>
          <w:rFonts w:ascii="Times New Roman" w:hAnsi="Times New Roman" w:cs="Times New Roman"/>
          <w:sz w:val="24"/>
          <w:szCs w:val="24"/>
        </w:rPr>
        <w:t xml:space="preserve">reasonableness: </w:t>
      </w:r>
      <w:r w:rsidRPr="00F970D7">
        <w:rPr>
          <w:rFonts w:ascii="Times New Roman" w:hAnsi="Times New Roman" w:cs="Times New Roman"/>
          <w:i/>
          <w:sz w:val="24"/>
          <w:szCs w:val="24"/>
        </w:rPr>
        <w:t>PF ZAPU</w:t>
      </w:r>
      <w:r>
        <w:rPr>
          <w:rFonts w:ascii="Times New Roman" w:hAnsi="Times New Roman" w:cs="Times New Roman"/>
          <w:sz w:val="24"/>
          <w:szCs w:val="24"/>
        </w:rPr>
        <w:t xml:space="preserve"> v </w:t>
      </w:r>
      <w:r w:rsidRPr="00F970D7">
        <w:rPr>
          <w:rFonts w:ascii="Times New Roman" w:hAnsi="Times New Roman" w:cs="Times New Roman"/>
          <w:i/>
          <w:sz w:val="24"/>
          <w:szCs w:val="24"/>
        </w:rPr>
        <w:t>Minister of Justice</w:t>
      </w:r>
      <w:r>
        <w:rPr>
          <w:rFonts w:ascii="Times New Roman" w:hAnsi="Times New Roman" w:cs="Times New Roman"/>
          <w:sz w:val="24"/>
          <w:szCs w:val="24"/>
        </w:rPr>
        <w:t xml:space="preserve"> (2) 1985 (1) ZLR 305 (SC). </w:t>
      </w:r>
      <w:r w:rsidRPr="00F970D7">
        <w:rPr>
          <w:rFonts w:ascii="Times New Roman" w:hAnsi="Times New Roman" w:cs="Times New Roman"/>
          <w:i/>
          <w:sz w:val="24"/>
          <w:szCs w:val="24"/>
        </w:rPr>
        <w:t>S</w:t>
      </w:r>
      <w:r>
        <w:rPr>
          <w:rFonts w:ascii="Times New Roman" w:hAnsi="Times New Roman" w:cs="Times New Roman"/>
          <w:sz w:val="24"/>
          <w:szCs w:val="24"/>
        </w:rPr>
        <w:t xml:space="preserve"> v </w:t>
      </w:r>
      <w:r w:rsidRPr="00F970D7">
        <w:rPr>
          <w:rFonts w:ascii="Times New Roman" w:hAnsi="Times New Roman" w:cs="Times New Roman"/>
          <w:i/>
          <w:sz w:val="24"/>
          <w:szCs w:val="24"/>
        </w:rPr>
        <w:t>Nyamupfukudza</w:t>
      </w:r>
      <w:r>
        <w:rPr>
          <w:rFonts w:ascii="Times New Roman" w:hAnsi="Times New Roman" w:cs="Times New Roman"/>
          <w:sz w:val="24"/>
          <w:szCs w:val="24"/>
        </w:rPr>
        <w:t xml:space="preserve"> 1983 (2) ZLR 43 (SC). </w:t>
      </w:r>
      <w:r w:rsidRPr="00F970D7">
        <w:rPr>
          <w:rFonts w:ascii="Times New Roman" w:hAnsi="Times New Roman" w:cs="Times New Roman"/>
          <w:i/>
          <w:sz w:val="24"/>
          <w:szCs w:val="24"/>
        </w:rPr>
        <w:t>Satellite Television Users Association</w:t>
      </w:r>
      <w:r>
        <w:rPr>
          <w:rFonts w:ascii="Times New Roman" w:hAnsi="Times New Roman" w:cs="Times New Roman"/>
          <w:sz w:val="24"/>
          <w:szCs w:val="24"/>
        </w:rPr>
        <w:t xml:space="preserve"> v </w:t>
      </w:r>
      <w:r w:rsidRPr="00F970D7">
        <w:rPr>
          <w:rFonts w:ascii="Times New Roman" w:hAnsi="Times New Roman" w:cs="Times New Roman"/>
          <w:i/>
          <w:sz w:val="24"/>
          <w:szCs w:val="24"/>
        </w:rPr>
        <w:t>Posts and Telecommunications Corporation</w:t>
      </w:r>
      <w:r>
        <w:rPr>
          <w:rFonts w:ascii="Times New Roman" w:hAnsi="Times New Roman" w:cs="Times New Roman"/>
          <w:sz w:val="24"/>
          <w:szCs w:val="24"/>
        </w:rPr>
        <w:t xml:space="preserve"> 1991 (2) ZLR 226 (HC). </w:t>
      </w:r>
      <w:r w:rsidRPr="00F970D7">
        <w:rPr>
          <w:rFonts w:ascii="Times New Roman" w:hAnsi="Times New Roman" w:cs="Times New Roman"/>
          <w:i/>
          <w:sz w:val="24"/>
          <w:szCs w:val="24"/>
        </w:rPr>
        <w:t>Affretair (Pvt) Ltd and Another</w:t>
      </w:r>
      <w:r>
        <w:rPr>
          <w:rFonts w:ascii="Times New Roman" w:hAnsi="Times New Roman" w:cs="Times New Roman"/>
          <w:sz w:val="24"/>
          <w:szCs w:val="24"/>
        </w:rPr>
        <w:t xml:space="preserve"> v </w:t>
      </w:r>
      <w:r w:rsidRPr="00F970D7">
        <w:rPr>
          <w:rFonts w:ascii="Times New Roman" w:hAnsi="Times New Roman" w:cs="Times New Roman"/>
          <w:i/>
          <w:sz w:val="24"/>
          <w:szCs w:val="24"/>
        </w:rPr>
        <w:t>MK Airlines (Pvt) Ltd</w:t>
      </w:r>
      <w:r>
        <w:rPr>
          <w:rFonts w:ascii="Times New Roman" w:hAnsi="Times New Roman" w:cs="Times New Roman"/>
          <w:sz w:val="24"/>
          <w:szCs w:val="24"/>
        </w:rPr>
        <w:t xml:space="preserve"> 1996 (2) ZLR 15 (SC)</w:t>
      </w:r>
      <w:r w:rsidR="0011502F">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rsidR="00C75508" w:rsidRDefault="00C75508"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onus to prove </w:t>
      </w:r>
      <w:r w:rsidR="0011502F">
        <w:rPr>
          <w:rFonts w:ascii="Times New Roman" w:hAnsi="Times New Roman" w:cs="Times New Roman"/>
          <w:sz w:val="24"/>
          <w:szCs w:val="24"/>
        </w:rPr>
        <w:t xml:space="preserve">that </w:t>
      </w:r>
      <w:r>
        <w:rPr>
          <w:rFonts w:ascii="Times New Roman" w:hAnsi="Times New Roman" w:cs="Times New Roman"/>
          <w:sz w:val="24"/>
          <w:szCs w:val="24"/>
        </w:rPr>
        <w:t xml:space="preserve">subsidiary legislation is unreasonable such that it should be struck down as being ultra </w:t>
      </w:r>
      <w:r w:rsidR="0011502F">
        <w:rPr>
          <w:rFonts w:ascii="Times New Roman" w:hAnsi="Times New Roman" w:cs="Times New Roman"/>
          <w:sz w:val="24"/>
          <w:szCs w:val="24"/>
        </w:rPr>
        <w:t>vires t</w:t>
      </w:r>
      <w:r>
        <w:rPr>
          <w:rFonts w:ascii="Times New Roman" w:hAnsi="Times New Roman" w:cs="Times New Roman"/>
          <w:sz w:val="24"/>
          <w:szCs w:val="24"/>
        </w:rPr>
        <w:t xml:space="preserve">he parent legislation is on the applicant. The test was laid </w:t>
      </w:r>
      <w:r>
        <w:rPr>
          <w:rFonts w:ascii="Times New Roman" w:hAnsi="Times New Roman" w:cs="Times New Roman"/>
          <w:sz w:val="24"/>
          <w:szCs w:val="24"/>
        </w:rPr>
        <w:lastRenderedPageBreak/>
        <w:t>down in Kruse v Johnson [1898] 2 QB91 at 99</w:t>
      </w:r>
      <w:r w:rsidR="0011502F">
        <w:rPr>
          <w:rFonts w:ascii="Times New Roman" w:hAnsi="Times New Roman" w:cs="Times New Roman"/>
          <w:sz w:val="24"/>
          <w:szCs w:val="24"/>
        </w:rPr>
        <w:t>; [1895-9]</w:t>
      </w:r>
      <w:r w:rsidR="00EA06B0">
        <w:rPr>
          <w:rFonts w:ascii="Times New Roman" w:hAnsi="Times New Roman" w:cs="Times New Roman"/>
          <w:sz w:val="24"/>
          <w:szCs w:val="24"/>
        </w:rPr>
        <w:t xml:space="preserve"> All ER Rep 105 in the following words of </w:t>
      </w:r>
      <w:r w:rsidR="00EA06B0" w:rsidRPr="00F970D7">
        <w:rPr>
          <w:rFonts w:ascii="Times New Roman" w:hAnsi="Times New Roman" w:cs="Times New Roman"/>
          <w:smallCaps/>
          <w:sz w:val="24"/>
          <w:szCs w:val="24"/>
        </w:rPr>
        <w:t>Rusell CJ</w:t>
      </w:r>
      <w:r w:rsidR="00EA06B0">
        <w:rPr>
          <w:rFonts w:ascii="Times New Roman" w:hAnsi="Times New Roman" w:cs="Times New Roman"/>
          <w:sz w:val="24"/>
          <w:szCs w:val="24"/>
        </w:rPr>
        <w:t xml:space="preserve"> at 110;</w:t>
      </w:r>
    </w:p>
    <w:p w:rsidR="00EA06B0" w:rsidRDefault="00EA06B0" w:rsidP="009A5232">
      <w:pPr>
        <w:spacing w:after="0" w:line="240" w:lineRule="auto"/>
        <w:jc w:val="both"/>
        <w:rPr>
          <w:rFonts w:ascii="Times New Roman" w:hAnsi="Times New Roman" w:cs="Times New Roman"/>
        </w:rPr>
      </w:pPr>
      <w:r>
        <w:rPr>
          <w:rFonts w:ascii="Times New Roman" w:hAnsi="Times New Roman" w:cs="Times New Roman"/>
          <w:sz w:val="24"/>
          <w:szCs w:val="24"/>
        </w:rPr>
        <w:tab/>
      </w:r>
      <w:r w:rsidRPr="009A5232">
        <w:rPr>
          <w:rFonts w:ascii="Times New Roman" w:hAnsi="Times New Roman" w:cs="Times New Roman"/>
        </w:rPr>
        <w:t xml:space="preserve">“… I do not mean to say that there may not be cases in which it would be duty of the Court to </w:t>
      </w:r>
      <w:r w:rsidR="009A5232">
        <w:rPr>
          <w:rFonts w:ascii="Times New Roman" w:hAnsi="Times New Roman" w:cs="Times New Roman"/>
        </w:rPr>
        <w:tab/>
      </w:r>
      <w:r w:rsidRPr="009A5232">
        <w:rPr>
          <w:rFonts w:ascii="Times New Roman" w:hAnsi="Times New Roman" w:cs="Times New Roman"/>
        </w:rPr>
        <w:t>condemn by-laws, made under such authority as these were made</w:t>
      </w:r>
      <w:r w:rsidR="0011502F">
        <w:rPr>
          <w:rFonts w:ascii="Times New Roman" w:hAnsi="Times New Roman" w:cs="Times New Roman"/>
        </w:rPr>
        <w:t xml:space="preserve">, </w:t>
      </w:r>
      <w:r w:rsidRPr="009A5232">
        <w:rPr>
          <w:rFonts w:ascii="Times New Roman" w:hAnsi="Times New Roman" w:cs="Times New Roman"/>
        </w:rPr>
        <w:t>as invalid, because</w:t>
      </w:r>
      <w:r w:rsidR="0011502F">
        <w:rPr>
          <w:rFonts w:ascii="Times New Roman" w:hAnsi="Times New Roman" w:cs="Times New Roman"/>
        </w:rPr>
        <w:t xml:space="preserve"> </w:t>
      </w:r>
      <w:r w:rsidR="0011502F">
        <w:rPr>
          <w:rFonts w:ascii="Times New Roman" w:hAnsi="Times New Roman" w:cs="Times New Roman"/>
        </w:rPr>
        <w:tab/>
        <w:t>unreasonable. B</w:t>
      </w:r>
      <w:r w:rsidRPr="009A5232">
        <w:rPr>
          <w:rFonts w:ascii="Times New Roman" w:hAnsi="Times New Roman" w:cs="Times New Roman"/>
        </w:rPr>
        <w:t xml:space="preserve">ut unreasonable in what sense? If for instance, they were found to be </w:t>
      </w:r>
      <w:r w:rsidR="0011502F">
        <w:rPr>
          <w:rFonts w:ascii="Times New Roman" w:hAnsi="Times New Roman" w:cs="Times New Roman"/>
        </w:rPr>
        <w:tab/>
      </w:r>
      <w:r w:rsidRPr="009A5232">
        <w:rPr>
          <w:rFonts w:ascii="Times New Roman" w:hAnsi="Times New Roman" w:cs="Times New Roman"/>
        </w:rPr>
        <w:t xml:space="preserve">partial and unequal in their operation between different classes; </w:t>
      </w:r>
      <w:r w:rsidR="009A5232" w:rsidRPr="009A5232">
        <w:rPr>
          <w:rFonts w:ascii="Times New Roman" w:hAnsi="Times New Roman" w:cs="Times New Roman"/>
        </w:rPr>
        <w:t>if they</w:t>
      </w:r>
      <w:r w:rsidRPr="009A5232">
        <w:rPr>
          <w:rFonts w:ascii="Times New Roman" w:hAnsi="Times New Roman" w:cs="Times New Roman"/>
        </w:rPr>
        <w:t xml:space="preserve"> were manifestly </w:t>
      </w:r>
      <w:r w:rsidR="0011502F">
        <w:rPr>
          <w:rFonts w:ascii="Times New Roman" w:hAnsi="Times New Roman" w:cs="Times New Roman"/>
        </w:rPr>
        <w:tab/>
      </w:r>
      <w:r w:rsidRPr="009A5232">
        <w:rPr>
          <w:rFonts w:ascii="Times New Roman" w:hAnsi="Times New Roman" w:cs="Times New Roman"/>
        </w:rPr>
        <w:t>unjust</w:t>
      </w:r>
      <w:r w:rsidR="000930DC" w:rsidRPr="009A5232">
        <w:rPr>
          <w:rFonts w:ascii="Times New Roman" w:hAnsi="Times New Roman" w:cs="Times New Roman"/>
        </w:rPr>
        <w:t>; if they disclosed b</w:t>
      </w:r>
      <w:r w:rsidR="0011502F">
        <w:rPr>
          <w:rFonts w:ascii="Times New Roman" w:hAnsi="Times New Roman" w:cs="Times New Roman"/>
        </w:rPr>
        <w:t>a</w:t>
      </w:r>
      <w:r w:rsidR="000930DC" w:rsidRPr="009A5232">
        <w:rPr>
          <w:rFonts w:ascii="Times New Roman" w:hAnsi="Times New Roman" w:cs="Times New Roman"/>
        </w:rPr>
        <w:t xml:space="preserve">d faith; if they involved such oppressive or gratuitous </w:t>
      </w:r>
      <w:r w:rsidR="009A5232">
        <w:rPr>
          <w:rFonts w:ascii="Times New Roman" w:hAnsi="Times New Roman" w:cs="Times New Roman"/>
        </w:rPr>
        <w:tab/>
      </w:r>
      <w:r w:rsidR="000930DC" w:rsidRPr="009A5232">
        <w:rPr>
          <w:rFonts w:ascii="Times New Roman" w:hAnsi="Times New Roman" w:cs="Times New Roman"/>
        </w:rPr>
        <w:t xml:space="preserve">interference </w:t>
      </w:r>
      <w:r w:rsidR="0011502F">
        <w:rPr>
          <w:rFonts w:ascii="Times New Roman" w:hAnsi="Times New Roman" w:cs="Times New Roman"/>
        </w:rPr>
        <w:tab/>
      </w:r>
      <w:r w:rsidR="000930DC" w:rsidRPr="009A5232">
        <w:rPr>
          <w:rFonts w:ascii="Times New Roman" w:hAnsi="Times New Roman" w:cs="Times New Roman"/>
        </w:rPr>
        <w:t xml:space="preserve">with the rights of those subject to them as could find no justification in the eyes </w:t>
      </w:r>
      <w:r w:rsidR="009A5232">
        <w:rPr>
          <w:rFonts w:ascii="Times New Roman" w:hAnsi="Times New Roman" w:cs="Times New Roman"/>
        </w:rPr>
        <w:tab/>
      </w:r>
      <w:r w:rsidR="000930DC" w:rsidRPr="009A5232">
        <w:rPr>
          <w:rFonts w:ascii="Times New Roman" w:hAnsi="Times New Roman" w:cs="Times New Roman"/>
        </w:rPr>
        <w:t xml:space="preserve">of </w:t>
      </w:r>
      <w:r w:rsidR="0011502F">
        <w:rPr>
          <w:rFonts w:ascii="Times New Roman" w:hAnsi="Times New Roman" w:cs="Times New Roman"/>
        </w:rPr>
        <w:tab/>
      </w:r>
      <w:r w:rsidR="000930DC" w:rsidRPr="009A5232">
        <w:rPr>
          <w:rFonts w:ascii="Times New Roman" w:hAnsi="Times New Roman" w:cs="Times New Roman"/>
        </w:rPr>
        <w:t xml:space="preserve">reasonable men, the court might well say, </w:t>
      </w:r>
      <w:r w:rsidR="0011502F">
        <w:rPr>
          <w:rFonts w:ascii="Times New Roman" w:hAnsi="Times New Roman" w:cs="Times New Roman"/>
        </w:rPr>
        <w:t>‘</w:t>
      </w:r>
      <w:r w:rsidR="00B77BB6" w:rsidRPr="009A5232">
        <w:rPr>
          <w:rFonts w:ascii="Times New Roman" w:hAnsi="Times New Roman" w:cs="Times New Roman"/>
        </w:rPr>
        <w:t xml:space="preserve">Parliament never intended to give authority to </w:t>
      </w:r>
      <w:r w:rsidR="009A5232">
        <w:rPr>
          <w:rFonts w:ascii="Times New Roman" w:hAnsi="Times New Roman" w:cs="Times New Roman"/>
        </w:rPr>
        <w:tab/>
      </w:r>
      <w:r w:rsidR="00B77BB6" w:rsidRPr="009A5232">
        <w:rPr>
          <w:rFonts w:ascii="Times New Roman" w:hAnsi="Times New Roman" w:cs="Times New Roman"/>
        </w:rPr>
        <w:t>make such rules; they are unreasonable and ultra vires.</w:t>
      </w:r>
      <w:r w:rsidR="0011502F">
        <w:rPr>
          <w:rFonts w:ascii="Times New Roman" w:hAnsi="Times New Roman" w:cs="Times New Roman"/>
        </w:rPr>
        <w:t>’</w:t>
      </w:r>
      <w:r w:rsidR="00B77BB6" w:rsidRPr="009A5232">
        <w:rPr>
          <w:rFonts w:ascii="Times New Roman" w:hAnsi="Times New Roman" w:cs="Times New Roman"/>
        </w:rPr>
        <w:t xml:space="preserve"> But it is in this </w:t>
      </w:r>
      <w:r w:rsidR="00A560EC" w:rsidRPr="009A5232">
        <w:rPr>
          <w:rFonts w:ascii="Times New Roman" w:hAnsi="Times New Roman" w:cs="Times New Roman"/>
        </w:rPr>
        <w:t>sense</w:t>
      </w:r>
      <w:r w:rsidR="0011502F">
        <w:rPr>
          <w:rFonts w:ascii="Times New Roman" w:hAnsi="Times New Roman" w:cs="Times New Roman"/>
        </w:rPr>
        <w:t>,</w:t>
      </w:r>
      <w:r w:rsidR="00B77BB6" w:rsidRPr="009A5232">
        <w:rPr>
          <w:rFonts w:ascii="Times New Roman" w:hAnsi="Times New Roman" w:cs="Times New Roman"/>
        </w:rPr>
        <w:t xml:space="preserve"> and this sense </w:t>
      </w:r>
      <w:r w:rsidR="009A5232">
        <w:rPr>
          <w:rFonts w:ascii="Times New Roman" w:hAnsi="Times New Roman" w:cs="Times New Roman"/>
        </w:rPr>
        <w:tab/>
      </w:r>
      <w:r w:rsidR="00A560EC" w:rsidRPr="009A5232">
        <w:rPr>
          <w:rFonts w:ascii="Times New Roman" w:hAnsi="Times New Roman" w:cs="Times New Roman"/>
        </w:rPr>
        <w:t>only,</w:t>
      </w:r>
      <w:r w:rsidR="00B77BB6" w:rsidRPr="009A5232">
        <w:rPr>
          <w:rFonts w:ascii="Times New Roman" w:hAnsi="Times New Roman" w:cs="Times New Roman"/>
        </w:rPr>
        <w:t xml:space="preserve"> as I </w:t>
      </w:r>
      <w:r w:rsidR="00602BAC" w:rsidRPr="009A5232">
        <w:rPr>
          <w:rFonts w:ascii="Times New Roman" w:hAnsi="Times New Roman" w:cs="Times New Roman"/>
        </w:rPr>
        <w:t>conceive</w:t>
      </w:r>
      <w:r w:rsidR="0011502F">
        <w:rPr>
          <w:rFonts w:ascii="Times New Roman" w:hAnsi="Times New Roman" w:cs="Times New Roman"/>
        </w:rPr>
        <w:t>,</w:t>
      </w:r>
      <w:r w:rsidR="00B77BB6" w:rsidRPr="009A5232">
        <w:rPr>
          <w:rFonts w:ascii="Times New Roman" w:hAnsi="Times New Roman" w:cs="Times New Roman"/>
        </w:rPr>
        <w:t xml:space="preserve"> that the question of unreasonableness can properly be regarded. A by-law </w:t>
      </w:r>
      <w:r w:rsidR="00DE106C">
        <w:rPr>
          <w:rFonts w:ascii="Times New Roman" w:hAnsi="Times New Roman" w:cs="Times New Roman"/>
        </w:rPr>
        <w:tab/>
      </w:r>
      <w:r w:rsidR="00B77BB6" w:rsidRPr="009A5232">
        <w:rPr>
          <w:rFonts w:ascii="Times New Roman" w:hAnsi="Times New Roman" w:cs="Times New Roman"/>
        </w:rPr>
        <w:t xml:space="preserve">is not unreasonable merely because particular judges may think that it goes further than is </w:t>
      </w:r>
      <w:r w:rsidR="00DE106C">
        <w:rPr>
          <w:rFonts w:ascii="Times New Roman" w:hAnsi="Times New Roman" w:cs="Times New Roman"/>
        </w:rPr>
        <w:tab/>
      </w:r>
      <w:r w:rsidR="00B77BB6" w:rsidRPr="009A5232">
        <w:rPr>
          <w:rFonts w:ascii="Times New Roman" w:hAnsi="Times New Roman" w:cs="Times New Roman"/>
        </w:rPr>
        <w:t>prudent or necessary or convenient, or because it is not accompanied by a quali</w:t>
      </w:r>
      <w:r w:rsidR="00D35F0B" w:rsidRPr="009A5232">
        <w:rPr>
          <w:rFonts w:ascii="Times New Roman" w:hAnsi="Times New Roman" w:cs="Times New Roman"/>
        </w:rPr>
        <w:t xml:space="preserve">fication or an </w:t>
      </w:r>
      <w:r w:rsidR="009A5232">
        <w:rPr>
          <w:rFonts w:ascii="Times New Roman" w:hAnsi="Times New Roman" w:cs="Times New Roman"/>
        </w:rPr>
        <w:tab/>
      </w:r>
      <w:r w:rsidR="00D35F0B" w:rsidRPr="009A5232">
        <w:rPr>
          <w:rFonts w:ascii="Times New Roman" w:hAnsi="Times New Roman" w:cs="Times New Roman"/>
        </w:rPr>
        <w:t>exception which some judges may think ought to be there.”</w:t>
      </w:r>
    </w:p>
    <w:p w:rsidR="009A5232" w:rsidRPr="009A5232" w:rsidRDefault="009A5232" w:rsidP="009A5232">
      <w:pPr>
        <w:spacing w:after="0" w:line="240" w:lineRule="auto"/>
        <w:jc w:val="both"/>
        <w:rPr>
          <w:rFonts w:ascii="Times New Roman" w:hAnsi="Times New Roman" w:cs="Times New Roman"/>
        </w:rPr>
      </w:pPr>
    </w:p>
    <w:p w:rsidR="00D35F0B" w:rsidRDefault="00D35F0B"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the benchmark cited with approval, and applied, in all the local decisions I have referred to above. It is the law applicable in Zim</w:t>
      </w:r>
      <w:r w:rsidR="002F6FA2">
        <w:rPr>
          <w:rFonts w:ascii="Times New Roman" w:hAnsi="Times New Roman" w:cs="Times New Roman"/>
          <w:sz w:val="24"/>
          <w:szCs w:val="24"/>
        </w:rPr>
        <w:t>babwe. The South African Courts have gone the same route as is reflected by Tindall AJP in Belew V Brakpan Town Council 1937 TPD 439 at p 443.</w:t>
      </w:r>
    </w:p>
    <w:p w:rsidR="002F6FA2" w:rsidRDefault="002F6FA2" w:rsidP="00463BE0">
      <w:pPr>
        <w:spacing w:after="0" w:line="240" w:lineRule="auto"/>
        <w:jc w:val="both"/>
        <w:rPr>
          <w:rFonts w:ascii="Times New Roman" w:hAnsi="Times New Roman" w:cs="Times New Roman"/>
        </w:rPr>
      </w:pPr>
      <w:r>
        <w:rPr>
          <w:rFonts w:ascii="Times New Roman" w:hAnsi="Times New Roman" w:cs="Times New Roman"/>
          <w:sz w:val="24"/>
          <w:szCs w:val="24"/>
        </w:rPr>
        <w:tab/>
      </w:r>
      <w:r w:rsidRPr="00463BE0">
        <w:rPr>
          <w:rFonts w:ascii="Times New Roman" w:hAnsi="Times New Roman" w:cs="Times New Roman"/>
        </w:rPr>
        <w:t xml:space="preserve">“Where such a power (i.e to fix licence fees) is given, the court cannot interfere on the mere </w:t>
      </w:r>
      <w:r w:rsidR="00463BE0">
        <w:rPr>
          <w:rFonts w:ascii="Times New Roman" w:hAnsi="Times New Roman" w:cs="Times New Roman"/>
        </w:rPr>
        <w:tab/>
      </w:r>
      <w:r w:rsidRPr="00463BE0">
        <w:rPr>
          <w:rFonts w:ascii="Times New Roman" w:hAnsi="Times New Roman" w:cs="Times New Roman"/>
        </w:rPr>
        <w:t xml:space="preserve">ground that it considers the fee unreasonably high. The size of the fee, however might in </w:t>
      </w:r>
      <w:r w:rsidR="00463BE0">
        <w:rPr>
          <w:rFonts w:ascii="Times New Roman" w:hAnsi="Times New Roman" w:cs="Times New Roman"/>
        </w:rPr>
        <w:tab/>
      </w:r>
      <w:r w:rsidRPr="00463BE0">
        <w:rPr>
          <w:rFonts w:ascii="Times New Roman" w:hAnsi="Times New Roman" w:cs="Times New Roman"/>
        </w:rPr>
        <w:t xml:space="preserve">certain instances be a factor in considering whether the Council genuinely exercised its </w:t>
      </w:r>
      <w:r w:rsidR="00463BE0">
        <w:rPr>
          <w:rFonts w:ascii="Times New Roman" w:hAnsi="Times New Roman" w:cs="Times New Roman"/>
        </w:rPr>
        <w:tab/>
      </w:r>
      <w:r w:rsidRPr="00463BE0">
        <w:rPr>
          <w:rFonts w:ascii="Times New Roman" w:hAnsi="Times New Roman" w:cs="Times New Roman"/>
        </w:rPr>
        <w:t xml:space="preserve">powers of licencing and regulating, or mala fides used such powers for achieving an ulterior </w:t>
      </w:r>
      <w:r w:rsidR="00463BE0">
        <w:rPr>
          <w:rFonts w:ascii="Times New Roman" w:hAnsi="Times New Roman" w:cs="Times New Roman"/>
        </w:rPr>
        <w:tab/>
      </w:r>
      <w:r w:rsidRPr="00463BE0">
        <w:rPr>
          <w:rFonts w:ascii="Times New Roman" w:hAnsi="Times New Roman" w:cs="Times New Roman"/>
        </w:rPr>
        <w:t>object such as prohibition</w:t>
      </w:r>
      <w:r w:rsidR="0011502F">
        <w:rPr>
          <w:rFonts w:ascii="Times New Roman" w:hAnsi="Times New Roman" w:cs="Times New Roman"/>
        </w:rPr>
        <w:t>. F</w:t>
      </w:r>
      <w:r w:rsidRPr="00463BE0">
        <w:rPr>
          <w:rFonts w:ascii="Times New Roman" w:hAnsi="Times New Roman" w:cs="Times New Roman"/>
        </w:rPr>
        <w:t xml:space="preserve">or instance, the Council might prescribe a licence fee so </w:t>
      </w:r>
      <w:r w:rsidR="00463BE0">
        <w:rPr>
          <w:rFonts w:ascii="Times New Roman" w:hAnsi="Times New Roman" w:cs="Times New Roman"/>
        </w:rPr>
        <w:tab/>
      </w:r>
      <w:r w:rsidRPr="00463BE0">
        <w:rPr>
          <w:rFonts w:ascii="Times New Roman" w:hAnsi="Times New Roman" w:cs="Times New Roman"/>
        </w:rPr>
        <w:t xml:space="preserve">outrageously high that the only reasonable inference was that the object was to prohibit the </w:t>
      </w:r>
      <w:r w:rsidR="00463BE0">
        <w:rPr>
          <w:rFonts w:ascii="Times New Roman" w:hAnsi="Times New Roman" w:cs="Times New Roman"/>
        </w:rPr>
        <w:tab/>
      </w:r>
      <w:r w:rsidRPr="00463BE0">
        <w:rPr>
          <w:rFonts w:ascii="Times New Roman" w:hAnsi="Times New Roman" w:cs="Times New Roman"/>
        </w:rPr>
        <w:t>business in question entirely.”</w:t>
      </w:r>
    </w:p>
    <w:p w:rsidR="00463BE0" w:rsidRPr="00463BE0" w:rsidRDefault="00463BE0" w:rsidP="00463BE0">
      <w:pPr>
        <w:spacing w:after="0" w:line="240" w:lineRule="auto"/>
        <w:jc w:val="both"/>
        <w:rPr>
          <w:rFonts w:ascii="Times New Roman" w:hAnsi="Times New Roman" w:cs="Times New Roman"/>
        </w:rPr>
      </w:pPr>
    </w:p>
    <w:p w:rsidR="002F6FA2" w:rsidRDefault="002F6FA2"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Since the onus lay on the applicant to prove that both process leading to the promulgation of </w:t>
      </w:r>
      <w:r w:rsidR="0011502F">
        <w:rPr>
          <w:rFonts w:ascii="Times New Roman" w:hAnsi="Times New Roman" w:cs="Times New Roman"/>
          <w:sz w:val="24"/>
          <w:szCs w:val="24"/>
        </w:rPr>
        <w:t>S</w:t>
      </w:r>
      <w:r>
        <w:rPr>
          <w:rFonts w:ascii="Times New Roman" w:hAnsi="Times New Roman" w:cs="Times New Roman"/>
          <w:sz w:val="24"/>
          <w:szCs w:val="24"/>
        </w:rPr>
        <w:t>tatutory Instrument 122</w:t>
      </w:r>
      <w:r w:rsidR="00392EE7">
        <w:rPr>
          <w:rFonts w:ascii="Times New Roman" w:hAnsi="Times New Roman" w:cs="Times New Roman"/>
          <w:sz w:val="24"/>
          <w:szCs w:val="24"/>
        </w:rPr>
        <w:t xml:space="preserve"> of 2013 and the fixing of the licence fee at US$5 500 000.00 were ultra</w:t>
      </w:r>
      <w:r w:rsidR="00F82628">
        <w:rPr>
          <w:rFonts w:ascii="Times New Roman" w:hAnsi="Times New Roman" w:cs="Times New Roman"/>
          <w:sz w:val="24"/>
          <w:szCs w:val="24"/>
        </w:rPr>
        <w:t xml:space="preserve"> </w:t>
      </w:r>
      <w:r w:rsidR="00392EE7">
        <w:rPr>
          <w:rFonts w:ascii="Times New Roman" w:hAnsi="Times New Roman" w:cs="Times New Roman"/>
          <w:sz w:val="24"/>
          <w:szCs w:val="24"/>
        </w:rPr>
        <w:t xml:space="preserve">vires the parent Act I must examine the evidence tendered to support </w:t>
      </w:r>
      <w:r w:rsidR="00F82628">
        <w:rPr>
          <w:rFonts w:ascii="Times New Roman" w:hAnsi="Times New Roman" w:cs="Times New Roman"/>
          <w:sz w:val="24"/>
          <w:szCs w:val="24"/>
        </w:rPr>
        <w:t>applicant’s</w:t>
      </w:r>
      <w:r w:rsidR="00392EE7">
        <w:rPr>
          <w:rFonts w:ascii="Times New Roman" w:hAnsi="Times New Roman" w:cs="Times New Roman"/>
          <w:sz w:val="24"/>
          <w:szCs w:val="24"/>
        </w:rPr>
        <w:t xml:space="preserve"> contention.</w:t>
      </w:r>
    </w:p>
    <w:p w:rsidR="00392EE7" w:rsidRDefault="00392EE7"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were agreed that the power to make the regulations in question and to fix the licence renewal fees was derived from s 99 (2) of the Act. </w:t>
      </w:r>
      <w:r w:rsidR="000E0BC9">
        <w:rPr>
          <w:rFonts w:ascii="Times New Roman" w:hAnsi="Times New Roman" w:cs="Times New Roman"/>
          <w:sz w:val="24"/>
          <w:szCs w:val="24"/>
        </w:rPr>
        <w:t>It</w:t>
      </w:r>
      <w:r>
        <w:rPr>
          <w:rFonts w:ascii="Times New Roman" w:hAnsi="Times New Roman" w:cs="Times New Roman"/>
          <w:sz w:val="24"/>
          <w:szCs w:val="24"/>
        </w:rPr>
        <w:t xml:space="preserve"> reads</w:t>
      </w:r>
      <w:r w:rsidR="000E0BC9">
        <w:rPr>
          <w:rFonts w:ascii="Times New Roman" w:hAnsi="Times New Roman" w:cs="Times New Roman"/>
          <w:sz w:val="24"/>
          <w:szCs w:val="24"/>
        </w:rPr>
        <w:t>:</w:t>
      </w:r>
    </w:p>
    <w:p w:rsidR="00392EE7" w:rsidRDefault="00392EE7" w:rsidP="002158CC">
      <w:pPr>
        <w:spacing w:after="0" w:line="240" w:lineRule="auto"/>
        <w:rPr>
          <w:rFonts w:ascii="Times New Roman" w:hAnsi="Times New Roman" w:cs="Times New Roman"/>
        </w:rPr>
      </w:pPr>
      <w:r>
        <w:rPr>
          <w:rFonts w:ascii="Times New Roman" w:hAnsi="Times New Roman" w:cs="Times New Roman"/>
          <w:sz w:val="24"/>
          <w:szCs w:val="24"/>
        </w:rPr>
        <w:tab/>
      </w:r>
      <w:r w:rsidRPr="002158CC">
        <w:rPr>
          <w:rFonts w:ascii="Times New Roman" w:hAnsi="Times New Roman" w:cs="Times New Roman"/>
        </w:rPr>
        <w:t xml:space="preserve">“ The Minister may, after consultation with the Authority, make regulations prescribing </w:t>
      </w:r>
      <w:r w:rsidR="002158CC">
        <w:rPr>
          <w:rFonts w:ascii="Times New Roman" w:hAnsi="Times New Roman" w:cs="Times New Roman"/>
        </w:rPr>
        <w:tab/>
      </w:r>
      <w:r w:rsidRPr="002158CC">
        <w:rPr>
          <w:rFonts w:ascii="Times New Roman" w:hAnsi="Times New Roman" w:cs="Times New Roman"/>
        </w:rPr>
        <w:t xml:space="preserve">all </w:t>
      </w:r>
      <w:r w:rsidR="0085787A">
        <w:rPr>
          <w:rFonts w:ascii="Times New Roman" w:hAnsi="Times New Roman" w:cs="Times New Roman"/>
        </w:rPr>
        <w:tab/>
      </w:r>
      <w:r w:rsidRPr="002158CC">
        <w:rPr>
          <w:rFonts w:ascii="Times New Roman" w:hAnsi="Times New Roman" w:cs="Times New Roman"/>
        </w:rPr>
        <w:t>matters which by this Act are required or permitted or which, in the opinion</w:t>
      </w:r>
      <w:r w:rsidR="002158CC">
        <w:rPr>
          <w:rFonts w:ascii="Times New Roman" w:hAnsi="Times New Roman" w:cs="Times New Roman"/>
        </w:rPr>
        <w:t xml:space="preserve"> </w:t>
      </w:r>
      <w:r w:rsidRPr="002158CC">
        <w:rPr>
          <w:rFonts w:ascii="Times New Roman" w:hAnsi="Times New Roman" w:cs="Times New Roman"/>
        </w:rPr>
        <w:t xml:space="preserve">of the </w:t>
      </w:r>
      <w:r w:rsidR="002158CC">
        <w:rPr>
          <w:rFonts w:ascii="Times New Roman" w:hAnsi="Times New Roman" w:cs="Times New Roman"/>
        </w:rPr>
        <w:tab/>
      </w:r>
      <w:r w:rsidRPr="002158CC">
        <w:rPr>
          <w:rFonts w:ascii="Times New Roman" w:hAnsi="Times New Roman" w:cs="Times New Roman"/>
        </w:rPr>
        <w:t xml:space="preserve">Minister, are necessary or convenient to be prescribed for carrying out or giving effect to this </w:t>
      </w:r>
      <w:r w:rsidR="002158CC">
        <w:rPr>
          <w:rFonts w:ascii="Times New Roman" w:hAnsi="Times New Roman" w:cs="Times New Roman"/>
        </w:rPr>
        <w:tab/>
      </w:r>
      <w:r w:rsidRPr="002158CC">
        <w:rPr>
          <w:rFonts w:ascii="Times New Roman" w:hAnsi="Times New Roman" w:cs="Times New Roman"/>
        </w:rPr>
        <w:t>Act.”</w:t>
      </w:r>
    </w:p>
    <w:p w:rsidR="002158CC" w:rsidRPr="002158CC" w:rsidRDefault="002158CC" w:rsidP="002158CC">
      <w:pPr>
        <w:spacing w:after="0" w:line="240" w:lineRule="auto"/>
        <w:jc w:val="both"/>
        <w:rPr>
          <w:rFonts w:ascii="Times New Roman" w:hAnsi="Times New Roman" w:cs="Times New Roman"/>
        </w:rPr>
      </w:pPr>
    </w:p>
    <w:p w:rsidR="00392EE7" w:rsidRDefault="00392EE7"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relevant Minister for the purposes of the Act is the first respondent. Second respondent was the Acting Minster for purposes of administration of the Act at the time that the regulations were gazetted. The </w:t>
      </w:r>
      <w:r w:rsidR="0083672C">
        <w:rPr>
          <w:rFonts w:ascii="Times New Roman" w:hAnsi="Times New Roman" w:cs="Times New Roman"/>
          <w:sz w:val="24"/>
          <w:szCs w:val="24"/>
        </w:rPr>
        <w:t>A</w:t>
      </w:r>
      <w:r>
        <w:rPr>
          <w:rFonts w:ascii="Times New Roman" w:hAnsi="Times New Roman" w:cs="Times New Roman"/>
          <w:sz w:val="24"/>
          <w:szCs w:val="24"/>
        </w:rPr>
        <w:t xml:space="preserve">uthority is first respondent. All this was common cause. </w:t>
      </w:r>
    </w:p>
    <w:p w:rsidR="00392EE7" w:rsidRDefault="00392EE7"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have not lost sight of the provisions of s 134 (b), (c</w:t>
      </w:r>
      <w:r w:rsidR="002158CC">
        <w:rPr>
          <w:rFonts w:ascii="Times New Roman" w:hAnsi="Times New Roman" w:cs="Times New Roman"/>
          <w:sz w:val="24"/>
          <w:szCs w:val="24"/>
        </w:rPr>
        <w:t>) and</w:t>
      </w:r>
      <w:r>
        <w:rPr>
          <w:rFonts w:ascii="Times New Roman" w:hAnsi="Times New Roman" w:cs="Times New Roman"/>
          <w:sz w:val="24"/>
          <w:szCs w:val="24"/>
        </w:rPr>
        <w:t xml:space="preserve"> (d) of the Constitution of Zimbabwe Amendment (Number 20) Act, 2013. However, in so far as the process of promulgating the Statutory Instrument is concerned, section 99 (2) of the Act gives second respondent the discretion to consult the first respondent.</w:t>
      </w:r>
    </w:p>
    <w:p w:rsidR="00392EE7" w:rsidRDefault="00392EE7"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mandatory that such consultation be carried out. This notwithstanding, a reading of </w:t>
      </w:r>
      <w:r w:rsidR="002158CC">
        <w:rPr>
          <w:rFonts w:ascii="Times New Roman" w:hAnsi="Times New Roman" w:cs="Times New Roman"/>
          <w:sz w:val="24"/>
          <w:szCs w:val="24"/>
        </w:rPr>
        <w:t xml:space="preserve">Statutory Instrument </w:t>
      </w:r>
      <w:r>
        <w:rPr>
          <w:rFonts w:ascii="Times New Roman" w:hAnsi="Times New Roman" w:cs="Times New Roman"/>
          <w:sz w:val="24"/>
          <w:szCs w:val="24"/>
        </w:rPr>
        <w:t>122 of 2013 shows that such consultation was done before the regulations were made.</w:t>
      </w:r>
    </w:p>
    <w:p w:rsidR="00392EE7" w:rsidRDefault="00392EE7"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w:t>
      </w:r>
      <w:r w:rsidR="000E0BC9">
        <w:rPr>
          <w:rFonts w:ascii="Times New Roman" w:hAnsi="Times New Roman" w:cs="Times New Roman"/>
          <w:sz w:val="24"/>
          <w:szCs w:val="24"/>
        </w:rPr>
        <w:t>S</w:t>
      </w:r>
      <w:r>
        <w:rPr>
          <w:rFonts w:ascii="Times New Roman" w:hAnsi="Times New Roman" w:cs="Times New Roman"/>
          <w:sz w:val="24"/>
          <w:szCs w:val="24"/>
        </w:rPr>
        <w:t>tatutory Instrument 122 of 2013 reads;</w:t>
      </w:r>
    </w:p>
    <w:p w:rsidR="00392EE7" w:rsidRDefault="00392EE7" w:rsidP="00F33F7E">
      <w:pPr>
        <w:spacing w:after="0" w:line="240" w:lineRule="auto"/>
        <w:rPr>
          <w:rFonts w:ascii="Times New Roman" w:hAnsi="Times New Roman" w:cs="Times New Roman"/>
        </w:rPr>
      </w:pPr>
      <w:r>
        <w:rPr>
          <w:rFonts w:ascii="Times New Roman" w:hAnsi="Times New Roman" w:cs="Times New Roman"/>
          <w:sz w:val="24"/>
          <w:szCs w:val="24"/>
        </w:rPr>
        <w:tab/>
        <w:t>“</w:t>
      </w:r>
      <w:r w:rsidRPr="00F33F7E">
        <w:rPr>
          <w:rFonts w:ascii="Times New Roman" w:hAnsi="Times New Roman" w:cs="Times New Roman"/>
        </w:rPr>
        <w:t xml:space="preserve">It is hereby notified that the Minister of Transport, Communication and </w:t>
      </w:r>
      <w:r w:rsidR="00F33F7E" w:rsidRPr="00F33F7E">
        <w:rPr>
          <w:rFonts w:ascii="Times New Roman" w:hAnsi="Times New Roman" w:cs="Times New Roman"/>
        </w:rPr>
        <w:tab/>
      </w:r>
      <w:r w:rsidRPr="00F33F7E">
        <w:rPr>
          <w:rFonts w:ascii="Times New Roman" w:hAnsi="Times New Roman" w:cs="Times New Roman"/>
        </w:rPr>
        <w:t xml:space="preserve">Infrastructural </w:t>
      </w:r>
      <w:r w:rsidR="00F33F7E">
        <w:rPr>
          <w:rFonts w:ascii="Times New Roman" w:hAnsi="Times New Roman" w:cs="Times New Roman"/>
        </w:rPr>
        <w:tab/>
      </w:r>
      <w:r w:rsidRPr="00F33F7E">
        <w:rPr>
          <w:rFonts w:ascii="Times New Roman" w:hAnsi="Times New Roman" w:cs="Times New Roman"/>
        </w:rPr>
        <w:t xml:space="preserve">Development has, in terms of section 99 of the Postal and </w:t>
      </w:r>
      <w:r w:rsidR="008B407C" w:rsidRPr="00F33F7E">
        <w:rPr>
          <w:rFonts w:ascii="Times New Roman" w:hAnsi="Times New Roman" w:cs="Times New Roman"/>
        </w:rPr>
        <w:t xml:space="preserve">Telecommunications Act </w:t>
      </w:r>
      <w:r w:rsidR="00F33F7E">
        <w:rPr>
          <w:rFonts w:ascii="Times New Roman" w:hAnsi="Times New Roman" w:cs="Times New Roman"/>
        </w:rPr>
        <w:t xml:space="preserve">   </w:t>
      </w:r>
      <w:r w:rsidR="00F33F7E">
        <w:rPr>
          <w:rFonts w:ascii="Times New Roman" w:hAnsi="Times New Roman" w:cs="Times New Roman"/>
        </w:rPr>
        <w:tab/>
      </w:r>
      <w:r w:rsidR="008B407C" w:rsidRPr="00F33F7E">
        <w:rPr>
          <w:rFonts w:ascii="Times New Roman" w:hAnsi="Times New Roman" w:cs="Times New Roman"/>
        </w:rPr>
        <w:t>[</w:t>
      </w:r>
      <w:r w:rsidR="008B407C" w:rsidRPr="00F33F7E">
        <w:rPr>
          <w:rFonts w:ascii="Times New Roman" w:hAnsi="Times New Roman" w:cs="Times New Roman"/>
          <w:i/>
        </w:rPr>
        <w:t>Chapter 12:05</w:t>
      </w:r>
      <w:r w:rsidR="008B407C" w:rsidRPr="00F33F7E">
        <w:rPr>
          <w:rFonts w:ascii="Times New Roman" w:hAnsi="Times New Roman" w:cs="Times New Roman"/>
        </w:rPr>
        <w:t xml:space="preserve">], </w:t>
      </w:r>
      <w:r w:rsidR="008B407C" w:rsidRPr="00F33F7E">
        <w:rPr>
          <w:rFonts w:ascii="Times New Roman" w:hAnsi="Times New Roman" w:cs="Times New Roman"/>
          <w:u w:val="single"/>
        </w:rPr>
        <w:t>after consultation</w:t>
      </w:r>
      <w:r w:rsidR="008B407C" w:rsidRPr="00F33F7E">
        <w:rPr>
          <w:rFonts w:ascii="Times New Roman" w:hAnsi="Times New Roman" w:cs="Times New Roman"/>
        </w:rPr>
        <w:t xml:space="preserve"> with the Authority,</w:t>
      </w:r>
      <w:r w:rsidR="000E0BC9">
        <w:rPr>
          <w:rFonts w:ascii="Times New Roman" w:hAnsi="Times New Roman" w:cs="Times New Roman"/>
        </w:rPr>
        <w:t xml:space="preserve"> </w:t>
      </w:r>
      <w:r w:rsidR="008B407C" w:rsidRPr="00F33F7E">
        <w:rPr>
          <w:rFonts w:ascii="Times New Roman" w:hAnsi="Times New Roman" w:cs="Times New Roman"/>
        </w:rPr>
        <w:t>made</w:t>
      </w:r>
      <w:r w:rsidR="00F33F7E">
        <w:rPr>
          <w:rFonts w:ascii="Times New Roman" w:hAnsi="Times New Roman" w:cs="Times New Roman"/>
        </w:rPr>
        <w:t xml:space="preserve"> </w:t>
      </w:r>
      <w:r w:rsidR="008B407C" w:rsidRPr="00F33F7E">
        <w:rPr>
          <w:rFonts w:ascii="Times New Roman" w:hAnsi="Times New Roman" w:cs="Times New Roman"/>
        </w:rPr>
        <w:t>the</w:t>
      </w:r>
      <w:r w:rsidR="00F33F7E">
        <w:rPr>
          <w:rFonts w:ascii="Times New Roman" w:hAnsi="Times New Roman" w:cs="Times New Roman"/>
        </w:rPr>
        <w:t xml:space="preserve"> </w:t>
      </w:r>
      <w:r w:rsidR="008B407C" w:rsidRPr="00F33F7E">
        <w:rPr>
          <w:rFonts w:ascii="Times New Roman" w:hAnsi="Times New Roman" w:cs="Times New Roman"/>
        </w:rPr>
        <w:t xml:space="preserve">following </w:t>
      </w:r>
      <w:r w:rsidR="00F33F7E">
        <w:rPr>
          <w:rFonts w:ascii="Times New Roman" w:hAnsi="Times New Roman" w:cs="Times New Roman"/>
        </w:rPr>
        <w:tab/>
      </w:r>
      <w:r w:rsidR="008B407C" w:rsidRPr="00F33F7E">
        <w:rPr>
          <w:rFonts w:ascii="Times New Roman" w:hAnsi="Times New Roman" w:cs="Times New Roman"/>
        </w:rPr>
        <w:t>regulations…”</w:t>
      </w:r>
      <w:r w:rsidR="00F33F7E" w:rsidRPr="00F33F7E">
        <w:rPr>
          <w:rFonts w:ascii="Times New Roman" w:hAnsi="Times New Roman" w:cs="Times New Roman"/>
        </w:rPr>
        <w:t>(</w:t>
      </w:r>
      <w:r w:rsidR="008B407C" w:rsidRPr="00F33F7E">
        <w:rPr>
          <w:rFonts w:ascii="Times New Roman" w:hAnsi="Times New Roman" w:cs="Times New Roman"/>
        </w:rPr>
        <w:t>underlined for emphasis).</w:t>
      </w:r>
    </w:p>
    <w:p w:rsidR="00F33F7E" w:rsidRDefault="00F33F7E" w:rsidP="00F33F7E">
      <w:pPr>
        <w:spacing w:after="0" w:line="240" w:lineRule="auto"/>
        <w:jc w:val="both"/>
        <w:rPr>
          <w:rFonts w:ascii="Times New Roman" w:hAnsi="Times New Roman" w:cs="Times New Roman"/>
          <w:sz w:val="24"/>
          <w:szCs w:val="24"/>
        </w:rPr>
      </w:pPr>
    </w:p>
    <w:p w:rsidR="008B407C" w:rsidRDefault="008B407C"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consultation </w:t>
      </w:r>
      <w:r w:rsidR="0083672C">
        <w:rPr>
          <w:rFonts w:ascii="Times New Roman" w:hAnsi="Times New Roman" w:cs="Times New Roman"/>
          <w:sz w:val="24"/>
          <w:szCs w:val="24"/>
        </w:rPr>
        <w:t xml:space="preserve">was, as </w:t>
      </w:r>
      <w:r>
        <w:rPr>
          <w:rFonts w:ascii="Times New Roman" w:hAnsi="Times New Roman" w:cs="Times New Roman"/>
          <w:sz w:val="24"/>
          <w:szCs w:val="24"/>
        </w:rPr>
        <w:t>is common cause</w:t>
      </w:r>
      <w:r w:rsidR="0083672C">
        <w:rPr>
          <w:rFonts w:ascii="Times New Roman" w:hAnsi="Times New Roman" w:cs="Times New Roman"/>
          <w:sz w:val="24"/>
          <w:szCs w:val="24"/>
        </w:rPr>
        <w:t>, done</w:t>
      </w:r>
      <w:r>
        <w:rPr>
          <w:rFonts w:ascii="Times New Roman" w:hAnsi="Times New Roman" w:cs="Times New Roman"/>
          <w:sz w:val="24"/>
          <w:szCs w:val="24"/>
        </w:rPr>
        <w:t xml:space="preserve">. On its part, first respondent avers that it consulted the stakeholders in the industry. Applicant asserts that it was not consulted, and believes that no other industry players were consulted by the first respondent. </w:t>
      </w:r>
    </w:p>
    <w:p w:rsidR="008B407C" w:rsidRDefault="008B407C"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fact, applicant’s position is that in the absence of evidence </w:t>
      </w:r>
      <w:r w:rsidR="00F33F7E">
        <w:rPr>
          <w:rFonts w:ascii="Times New Roman" w:hAnsi="Times New Roman" w:cs="Times New Roman"/>
          <w:sz w:val="24"/>
          <w:szCs w:val="24"/>
        </w:rPr>
        <w:t>attached</w:t>
      </w:r>
      <w:r>
        <w:rPr>
          <w:rFonts w:ascii="Times New Roman" w:hAnsi="Times New Roman" w:cs="Times New Roman"/>
          <w:sz w:val="24"/>
          <w:szCs w:val="24"/>
        </w:rPr>
        <w:t xml:space="preserve"> by first respondent to its affidavit showing that it consulted other industry players then l must find as a fact that no such consultations were done.</w:t>
      </w:r>
    </w:p>
    <w:p w:rsidR="008B407C" w:rsidRDefault="008B407C"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cannot be correct. The onus lies on the applicant to prove that no industry players were consulted by first respondent.</w:t>
      </w:r>
      <w:r w:rsidR="00F25724">
        <w:rPr>
          <w:rFonts w:ascii="Times New Roman" w:hAnsi="Times New Roman" w:cs="Times New Roman"/>
          <w:sz w:val="24"/>
          <w:szCs w:val="24"/>
        </w:rPr>
        <w:t xml:space="preserve"> It therefore behoved the applicant to place such evidence before the court. At the time of filing of the application, applicant had been in the industry for at least twenty years. It could not have failed to know the identity of the other players in the same industry and to gather the necessary evidence from them to support its case.</w:t>
      </w:r>
    </w:p>
    <w:p w:rsidR="00F25724" w:rsidRDefault="00F25724"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therefore find that the failure to attach relevant supporting affidavits was fatal to the applicant’s case in this regard. An application stands or falls on the founding affidavit. </w:t>
      </w:r>
      <w:r w:rsidR="000E0BC9">
        <w:rPr>
          <w:rFonts w:ascii="Times New Roman" w:hAnsi="Times New Roman" w:cs="Times New Roman"/>
          <w:sz w:val="24"/>
          <w:szCs w:val="24"/>
        </w:rPr>
        <w:t>Further</w:t>
      </w:r>
      <w:r>
        <w:rPr>
          <w:rFonts w:ascii="Times New Roman" w:hAnsi="Times New Roman" w:cs="Times New Roman"/>
          <w:sz w:val="24"/>
          <w:szCs w:val="24"/>
        </w:rPr>
        <w:t xml:space="preserve">, the attempt by applicant to </w:t>
      </w:r>
      <w:r w:rsidR="00D2053F">
        <w:rPr>
          <w:rFonts w:ascii="Times New Roman" w:hAnsi="Times New Roman" w:cs="Times New Roman"/>
          <w:sz w:val="24"/>
          <w:szCs w:val="24"/>
        </w:rPr>
        <w:t xml:space="preserve">build up its case by attaching evidence of internet </w:t>
      </w:r>
      <w:r w:rsidR="000E0BC9">
        <w:rPr>
          <w:rFonts w:ascii="Times New Roman" w:hAnsi="Times New Roman" w:cs="Times New Roman"/>
          <w:sz w:val="24"/>
          <w:szCs w:val="24"/>
        </w:rPr>
        <w:t>access</w:t>
      </w:r>
      <w:r w:rsidR="00D2053F">
        <w:rPr>
          <w:rFonts w:ascii="Times New Roman" w:hAnsi="Times New Roman" w:cs="Times New Roman"/>
          <w:sz w:val="24"/>
          <w:szCs w:val="24"/>
        </w:rPr>
        <w:t xml:space="preserve"> renewal fees from other countries in the Southern African region was of no assistance. Such evidence was contained in the answering affidavit.</w:t>
      </w:r>
    </w:p>
    <w:p w:rsidR="00D2053F" w:rsidRDefault="00D2053F"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such figures were contained in the founding affidavit </w:t>
      </w:r>
      <w:r w:rsidR="000E0BC9">
        <w:rPr>
          <w:rFonts w:ascii="Times New Roman" w:hAnsi="Times New Roman" w:cs="Times New Roman"/>
          <w:sz w:val="24"/>
          <w:szCs w:val="24"/>
        </w:rPr>
        <w:t>th</w:t>
      </w:r>
      <w:r w:rsidR="0083672C">
        <w:rPr>
          <w:rFonts w:ascii="Times New Roman" w:hAnsi="Times New Roman" w:cs="Times New Roman"/>
          <w:sz w:val="24"/>
          <w:szCs w:val="24"/>
        </w:rPr>
        <w:t>e</w:t>
      </w:r>
      <w:r w:rsidR="000E0BC9">
        <w:rPr>
          <w:rFonts w:ascii="Times New Roman" w:hAnsi="Times New Roman" w:cs="Times New Roman"/>
          <w:sz w:val="24"/>
          <w:szCs w:val="24"/>
        </w:rPr>
        <w:t xml:space="preserve"> fact </w:t>
      </w:r>
      <w:r>
        <w:rPr>
          <w:rFonts w:ascii="Times New Roman" w:hAnsi="Times New Roman" w:cs="Times New Roman"/>
          <w:sz w:val="24"/>
          <w:szCs w:val="24"/>
        </w:rPr>
        <w:t>that our economies are different would militate against the court relying on those amounts</w:t>
      </w:r>
      <w:r w:rsidR="000E0BC9">
        <w:rPr>
          <w:rFonts w:ascii="Times New Roman" w:hAnsi="Times New Roman" w:cs="Times New Roman"/>
          <w:sz w:val="24"/>
          <w:szCs w:val="24"/>
        </w:rPr>
        <w:t xml:space="preserve"> from other countries</w:t>
      </w:r>
      <w:r>
        <w:rPr>
          <w:rFonts w:ascii="Times New Roman" w:hAnsi="Times New Roman" w:cs="Times New Roman"/>
          <w:sz w:val="24"/>
          <w:szCs w:val="24"/>
        </w:rPr>
        <w:t>. I have not acceded to applicant’s elaborate argument that l must find the process of promulgating the Statutory Instrument</w:t>
      </w:r>
      <w:r w:rsidR="000E0BC9">
        <w:rPr>
          <w:rFonts w:ascii="Times New Roman" w:hAnsi="Times New Roman" w:cs="Times New Roman"/>
          <w:sz w:val="24"/>
          <w:szCs w:val="24"/>
        </w:rPr>
        <w:t xml:space="preserve"> as unreasonable merely because</w:t>
      </w:r>
      <w:r>
        <w:rPr>
          <w:rFonts w:ascii="Times New Roman" w:hAnsi="Times New Roman" w:cs="Times New Roman"/>
          <w:sz w:val="24"/>
          <w:szCs w:val="24"/>
        </w:rPr>
        <w:t xml:space="preserve"> there is no evidence of </w:t>
      </w:r>
      <w:r w:rsidR="00067C44">
        <w:rPr>
          <w:rFonts w:ascii="Times New Roman" w:hAnsi="Times New Roman" w:cs="Times New Roman"/>
          <w:sz w:val="24"/>
          <w:szCs w:val="24"/>
        </w:rPr>
        <w:t>respondents</w:t>
      </w:r>
      <w:r w:rsidR="000E0BC9">
        <w:rPr>
          <w:rFonts w:ascii="Times New Roman" w:hAnsi="Times New Roman" w:cs="Times New Roman"/>
          <w:sz w:val="24"/>
          <w:szCs w:val="24"/>
        </w:rPr>
        <w:t>’</w:t>
      </w:r>
      <w:r>
        <w:rPr>
          <w:rFonts w:ascii="Times New Roman" w:hAnsi="Times New Roman" w:cs="Times New Roman"/>
          <w:sz w:val="24"/>
          <w:szCs w:val="24"/>
        </w:rPr>
        <w:t xml:space="preserve"> application of the International </w:t>
      </w:r>
      <w:r w:rsidR="00067C44">
        <w:rPr>
          <w:rFonts w:ascii="Times New Roman" w:hAnsi="Times New Roman" w:cs="Times New Roman"/>
          <w:sz w:val="24"/>
          <w:szCs w:val="24"/>
        </w:rPr>
        <w:t>Telecommunications</w:t>
      </w:r>
      <w:r>
        <w:rPr>
          <w:rFonts w:ascii="Times New Roman" w:hAnsi="Times New Roman" w:cs="Times New Roman"/>
          <w:sz w:val="24"/>
          <w:szCs w:val="24"/>
        </w:rPr>
        <w:t xml:space="preserve"> Union</w:t>
      </w:r>
      <w:r w:rsidR="000E0BC9">
        <w:rPr>
          <w:rFonts w:ascii="Times New Roman" w:hAnsi="Times New Roman" w:cs="Times New Roman"/>
          <w:sz w:val="24"/>
          <w:szCs w:val="24"/>
        </w:rPr>
        <w:t>’</w:t>
      </w:r>
      <w:r>
        <w:rPr>
          <w:rFonts w:ascii="Times New Roman" w:hAnsi="Times New Roman" w:cs="Times New Roman"/>
          <w:sz w:val="24"/>
          <w:szCs w:val="24"/>
        </w:rPr>
        <w:t xml:space="preserve">s standards and </w:t>
      </w:r>
      <w:r>
        <w:rPr>
          <w:rFonts w:ascii="Times New Roman" w:hAnsi="Times New Roman" w:cs="Times New Roman"/>
          <w:sz w:val="24"/>
          <w:szCs w:val="24"/>
        </w:rPr>
        <w:lastRenderedPageBreak/>
        <w:t xml:space="preserve">guidelines, research on </w:t>
      </w:r>
      <w:r w:rsidR="00067C44">
        <w:rPr>
          <w:rFonts w:ascii="Times New Roman" w:hAnsi="Times New Roman" w:cs="Times New Roman"/>
          <w:sz w:val="24"/>
          <w:szCs w:val="24"/>
        </w:rPr>
        <w:t>the</w:t>
      </w:r>
      <w:r>
        <w:rPr>
          <w:rFonts w:ascii="Times New Roman" w:hAnsi="Times New Roman" w:cs="Times New Roman"/>
          <w:sz w:val="24"/>
          <w:szCs w:val="24"/>
        </w:rPr>
        <w:t xml:space="preserve"> level of licence fees in the region and worldwide and thereafter consultation with local </w:t>
      </w:r>
      <w:r w:rsidR="00E32A85">
        <w:rPr>
          <w:rFonts w:ascii="Times New Roman" w:hAnsi="Times New Roman" w:cs="Times New Roman"/>
          <w:sz w:val="24"/>
          <w:szCs w:val="24"/>
        </w:rPr>
        <w:t>stakeholders to input into this data before fixing of local internet access provider licence fees.</w:t>
      </w:r>
    </w:p>
    <w:p w:rsidR="00E32A85" w:rsidRDefault="00E32A85"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Different jurisdictions have different processes of coming up with the content of subsidiary legislation. There was in any event no evidence put before the court that other countries followed the process advocated by the applicant in coming up with the content of their subsidiary legislation and in promulgating that legislation.</w:t>
      </w:r>
    </w:p>
    <w:p w:rsidR="00E32A85" w:rsidRDefault="00E32A85"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Now to the quantum of the internet access provider licence renewal fee at </w:t>
      </w:r>
      <w:r w:rsidR="00F33F7E">
        <w:rPr>
          <w:rFonts w:ascii="Times New Roman" w:hAnsi="Times New Roman" w:cs="Times New Roman"/>
          <w:sz w:val="24"/>
          <w:szCs w:val="24"/>
        </w:rPr>
        <w:t xml:space="preserve">            </w:t>
      </w:r>
      <w:r>
        <w:rPr>
          <w:rFonts w:ascii="Times New Roman" w:hAnsi="Times New Roman" w:cs="Times New Roman"/>
          <w:sz w:val="24"/>
          <w:szCs w:val="24"/>
        </w:rPr>
        <w:t>US$5 500 000</w:t>
      </w:r>
      <w:r w:rsidR="00F33F7E">
        <w:rPr>
          <w:rFonts w:ascii="Times New Roman" w:hAnsi="Times New Roman" w:cs="Times New Roman"/>
          <w:sz w:val="24"/>
          <w:szCs w:val="24"/>
        </w:rPr>
        <w:t>.00</w:t>
      </w:r>
      <w:r>
        <w:rPr>
          <w:rFonts w:ascii="Times New Roman" w:hAnsi="Times New Roman" w:cs="Times New Roman"/>
          <w:sz w:val="24"/>
          <w:szCs w:val="24"/>
        </w:rPr>
        <w:t xml:space="preserve"> covering a period of fourteen years. No evidence was placed before the court to prove that pegging of the Class “A” internet access provider renewal licence fees at a once off upfront amount of US$5 500 000.00 over 14 years </w:t>
      </w:r>
      <w:r w:rsidR="004D34F1">
        <w:rPr>
          <w:rFonts w:ascii="Times New Roman" w:hAnsi="Times New Roman" w:cs="Times New Roman"/>
          <w:sz w:val="24"/>
          <w:szCs w:val="24"/>
        </w:rPr>
        <w:t>had the effect of being partial and unequal in its operation. There was no evidence that other class “A” internet access provider renewal licence fees were either affected differently by the quantum of the fees or were afforded payment plans to settle the same.</w:t>
      </w:r>
      <w:r w:rsidR="000E0BC9">
        <w:rPr>
          <w:rStyle w:val="FootnoteReference"/>
          <w:rFonts w:ascii="Times New Roman" w:hAnsi="Times New Roman" w:cs="Times New Roman"/>
          <w:sz w:val="24"/>
          <w:szCs w:val="24"/>
        </w:rPr>
        <w:footnoteReference w:id="2"/>
      </w:r>
    </w:p>
    <w:p w:rsidR="004D34F1" w:rsidRDefault="004D34F1"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a perusal of Part 1 (a) to (e) of Statutory Instrument 122 of 2013 shows that there were different figures by way of renewal fees for </w:t>
      </w:r>
      <w:r w:rsidR="00F33F7E">
        <w:rPr>
          <w:rFonts w:ascii="Times New Roman" w:hAnsi="Times New Roman" w:cs="Times New Roman"/>
          <w:sz w:val="24"/>
          <w:szCs w:val="24"/>
        </w:rPr>
        <w:t xml:space="preserve">different </w:t>
      </w:r>
      <w:r w:rsidR="00D975CE">
        <w:rPr>
          <w:rFonts w:ascii="Times New Roman" w:hAnsi="Times New Roman" w:cs="Times New Roman"/>
          <w:sz w:val="24"/>
          <w:szCs w:val="24"/>
        </w:rPr>
        <w:t xml:space="preserve">classes of </w:t>
      </w:r>
      <w:r w:rsidR="00F33F7E">
        <w:rPr>
          <w:rFonts w:ascii="Times New Roman" w:hAnsi="Times New Roman" w:cs="Times New Roman"/>
          <w:sz w:val="24"/>
          <w:szCs w:val="24"/>
        </w:rPr>
        <w:t>licence</w:t>
      </w:r>
      <w:r>
        <w:rPr>
          <w:rFonts w:ascii="Times New Roman" w:hAnsi="Times New Roman" w:cs="Times New Roman"/>
          <w:sz w:val="24"/>
          <w:szCs w:val="24"/>
        </w:rPr>
        <w:t xml:space="preserve"> holders. Some are higher and some are lower than the US$5 500 000.00.</w:t>
      </w:r>
    </w:p>
    <w:p w:rsidR="004D34F1" w:rsidRDefault="004D34F1"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indication whether all these </w:t>
      </w:r>
      <w:r w:rsidR="00D975CE">
        <w:rPr>
          <w:rFonts w:ascii="Times New Roman" w:hAnsi="Times New Roman" w:cs="Times New Roman"/>
          <w:sz w:val="24"/>
          <w:szCs w:val="24"/>
        </w:rPr>
        <w:t>fees</w:t>
      </w:r>
      <w:r>
        <w:rPr>
          <w:rFonts w:ascii="Times New Roman" w:hAnsi="Times New Roman" w:cs="Times New Roman"/>
          <w:sz w:val="24"/>
          <w:szCs w:val="24"/>
        </w:rPr>
        <w:t xml:space="preserve"> are also </w:t>
      </w:r>
      <w:r w:rsidR="00D975CE">
        <w:rPr>
          <w:rFonts w:ascii="Times New Roman" w:hAnsi="Times New Roman" w:cs="Times New Roman"/>
          <w:sz w:val="24"/>
          <w:szCs w:val="24"/>
        </w:rPr>
        <w:t xml:space="preserve">for </w:t>
      </w:r>
      <w:r>
        <w:rPr>
          <w:rFonts w:ascii="Times New Roman" w:hAnsi="Times New Roman" w:cs="Times New Roman"/>
          <w:sz w:val="24"/>
          <w:szCs w:val="24"/>
        </w:rPr>
        <w:t xml:space="preserve">once off renewal periods covering a fourteen year period. In these circumstances, there is no peg on which this court would be justified in finding that the US$5 500 000.00 operates partially and unequally as between class “A” licence renewal holders among themselves on one hand and </w:t>
      </w:r>
      <w:r w:rsidR="00D975CE">
        <w:rPr>
          <w:rFonts w:ascii="Times New Roman" w:hAnsi="Times New Roman" w:cs="Times New Roman"/>
          <w:sz w:val="24"/>
          <w:szCs w:val="24"/>
        </w:rPr>
        <w:t xml:space="preserve">between this and </w:t>
      </w:r>
      <w:r>
        <w:rPr>
          <w:rFonts w:ascii="Times New Roman" w:hAnsi="Times New Roman" w:cs="Times New Roman"/>
          <w:sz w:val="24"/>
          <w:szCs w:val="24"/>
        </w:rPr>
        <w:t>other classes on the other.</w:t>
      </w:r>
    </w:p>
    <w:p w:rsidR="004D34F1" w:rsidRDefault="004D34F1"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remain unpersuaded that the fixing of the instant fee at US$5 500 000.00 was in bad faith. Applicant’s lone voice that </w:t>
      </w:r>
      <w:r w:rsidR="0083672C">
        <w:rPr>
          <w:rFonts w:ascii="Times New Roman" w:hAnsi="Times New Roman" w:cs="Times New Roman"/>
          <w:sz w:val="24"/>
          <w:szCs w:val="24"/>
        </w:rPr>
        <w:t>the size of the fee</w:t>
      </w:r>
      <w:r>
        <w:rPr>
          <w:rFonts w:ascii="Times New Roman" w:hAnsi="Times New Roman" w:cs="Times New Roman"/>
          <w:sz w:val="24"/>
          <w:szCs w:val="24"/>
        </w:rPr>
        <w:t xml:space="preserve"> threatened its continued operation is not evidence of bad faith. The fee applied to everyone similarly circumstanced.</w:t>
      </w:r>
    </w:p>
    <w:p w:rsidR="004D34F1" w:rsidRDefault="004D34F1"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Neither am I persuaded that the size of the fee was so oppressive or constituted gratuitous interference with applicant</w:t>
      </w:r>
      <w:r w:rsidR="00D975CE">
        <w:rPr>
          <w:rFonts w:ascii="Times New Roman" w:hAnsi="Times New Roman" w:cs="Times New Roman"/>
          <w:sz w:val="24"/>
          <w:szCs w:val="24"/>
        </w:rPr>
        <w:t>’</w:t>
      </w:r>
      <w:r>
        <w:rPr>
          <w:rFonts w:ascii="Times New Roman" w:hAnsi="Times New Roman" w:cs="Times New Roman"/>
          <w:sz w:val="24"/>
          <w:szCs w:val="24"/>
        </w:rPr>
        <w:t>s constitutional right to trade as could find no justification in the minds of reasonable men.</w:t>
      </w:r>
    </w:p>
    <w:p w:rsidR="004D34F1" w:rsidRDefault="004D34F1"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cognisant of the fact that there remained an annual fee payable by class “A” </w:t>
      </w:r>
      <w:r w:rsidR="0083672C">
        <w:rPr>
          <w:rFonts w:ascii="Times New Roman" w:hAnsi="Times New Roman" w:cs="Times New Roman"/>
          <w:sz w:val="24"/>
          <w:szCs w:val="24"/>
        </w:rPr>
        <w:t>licensees</w:t>
      </w:r>
      <w:r>
        <w:rPr>
          <w:rFonts w:ascii="Times New Roman" w:hAnsi="Times New Roman" w:cs="Times New Roman"/>
          <w:sz w:val="24"/>
          <w:szCs w:val="24"/>
        </w:rPr>
        <w:t>. But the US$5 500 000.00 covered not five or ten but a total fourteen years.</w:t>
      </w:r>
      <w:r w:rsidR="00EE7320">
        <w:rPr>
          <w:rFonts w:ascii="Times New Roman" w:hAnsi="Times New Roman" w:cs="Times New Roman"/>
          <w:sz w:val="24"/>
          <w:szCs w:val="24"/>
        </w:rPr>
        <w:t xml:space="preserve"> That period is </w:t>
      </w:r>
      <w:r w:rsidR="00D975CE">
        <w:rPr>
          <w:rFonts w:ascii="Times New Roman" w:hAnsi="Times New Roman" w:cs="Times New Roman"/>
          <w:sz w:val="24"/>
          <w:szCs w:val="24"/>
        </w:rPr>
        <w:t xml:space="preserve">a year shy of </w:t>
      </w:r>
      <w:r w:rsidR="00EE7320">
        <w:rPr>
          <w:rFonts w:ascii="Times New Roman" w:hAnsi="Times New Roman" w:cs="Times New Roman"/>
          <w:sz w:val="24"/>
          <w:szCs w:val="24"/>
        </w:rPr>
        <w:t xml:space="preserve">a decade and a half. Looking at that period, I am unable to agree that </w:t>
      </w:r>
      <w:r w:rsidR="00EE7320">
        <w:rPr>
          <w:rFonts w:ascii="Times New Roman" w:hAnsi="Times New Roman" w:cs="Times New Roman"/>
          <w:sz w:val="24"/>
          <w:szCs w:val="24"/>
        </w:rPr>
        <w:lastRenderedPageBreak/>
        <w:t>the</w:t>
      </w:r>
      <w:r w:rsidR="0083672C">
        <w:rPr>
          <w:rFonts w:ascii="Times New Roman" w:hAnsi="Times New Roman" w:cs="Times New Roman"/>
          <w:sz w:val="24"/>
          <w:szCs w:val="24"/>
        </w:rPr>
        <w:t xml:space="preserve"> sum of</w:t>
      </w:r>
      <w:r w:rsidR="00EE7320">
        <w:rPr>
          <w:rFonts w:ascii="Times New Roman" w:hAnsi="Times New Roman" w:cs="Times New Roman"/>
          <w:sz w:val="24"/>
          <w:szCs w:val="24"/>
        </w:rPr>
        <w:t xml:space="preserve"> US$5 500 000.00 is outrageously high and prohibitive of trade. I am unable to find that it is unreasonable. There is simply no evidence on which l can sustain such a finding: </w:t>
      </w:r>
      <w:r w:rsidR="00EE7320" w:rsidRPr="00140671">
        <w:rPr>
          <w:rFonts w:ascii="Times New Roman" w:hAnsi="Times New Roman" w:cs="Times New Roman"/>
          <w:i/>
          <w:sz w:val="24"/>
          <w:szCs w:val="24"/>
        </w:rPr>
        <w:t>ZB Bank Ltd</w:t>
      </w:r>
      <w:r w:rsidR="00EE7320">
        <w:rPr>
          <w:rFonts w:ascii="Times New Roman" w:hAnsi="Times New Roman" w:cs="Times New Roman"/>
          <w:sz w:val="24"/>
          <w:szCs w:val="24"/>
        </w:rPr>
        <w:t xml:space="preserve"> v </w:t>
      </w:r>
      <w:r w:rsidR="00EE7320" w:rsidRPr="00140671">
        <w:rPr>
          <w:rFonts w:ascii="Times New Roman" w:hAnsi="Times New Roman" w:cs="Times New Roman"/>
          <w:i/>
          <w:sz w:val="24"/>
          <w:szCs w:val="24"/>
        </w:rPr>
        <w:t>Eric Rosen (Pvt) Ltd and others</w:t>
      </w:r>
      <w:r w:rsidR="00EE7320">
        <w:rPr>
          <w:rFonts w:ascii="Times New Roman" w:hAnsi="Times New Roman" w:cs="Times New Roman"/>
          <w:sz w:val="24"/>
          <w:szCs w:val="24"/>
        </w:rPr>
        <w:t xml:space="preserve"> 2015 (1) ZLR 314 (H).</w:t>
      </w:r>
    </w:p>
    <w:p w:rsidR="00EE7320" w:rsidRDefault="00EE7320"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quickly dispose of the two other remedies sought by the applicant. There is no legal provision stipulating how applicant should enforce the obligation imposed on a licensee to publish his or her licence in </w:t>
      </w:r>
      <w:r w:rsidR="00D975CE">
        <w:rPr>
          <w:rFonts w:ascii="Times New Roman" w:hAnsi="Times New Roman" w:cs="Times New Roman"/>
          <w:sz w:val="24"/>
          <w:szCs w:val="24"/>
        </w:rPr>
        <w:t xml:space="preserve">a </w:t>
      </w:r>
      <w:r>
        <w:rPr>
          <w:rFonts w:ascii="Times New Roman" w:hAnsi="Times New Roman" w:cs="Times New Roman"/>
          <w:sz w:val="24"/>
          <w:szCs w:val="24"/>
        </w:rPr>
        <w:t>newspaper circulating in the area where the trade will be carried out. That gap in the law is for the second respondent to cover by enacting appropriate legislation.</w:t>
      </w:r>
    </w:p>
    <w:p w:rsidR="00EE7320" w:rsidRDefault="00EE7320"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 respondent cannot pass the bu</w:t>
      </w:r>
      <w:r w:rsidR="00D975CE">
        <w:rPr>
          <w:rFonts w:ascii="Times New Roman" w:hAnsi="Times New Roman" w:cs="Times New Roman"/>
          <w:sz w:val="24"/>
          <w:szCs w:val="24"/>
        </w:rPr>
        <w:t>ck</w:t>
      </w:r>
      <w:r>
        <w:rPr>
          <w:rFonts w:ascii="Times New Roman" w:hAnsi="Times New Roman" w:cs="Times New Roman"/>
          <w:sz w:val="24"/>
          <w:szCs w:val="24"/>
        </w:rPr>
        <w:t xml:space="preserve"> to first respondent through a Ministerial order not backed by the necessary subsidiary legislation. As for </w:t>
      </w:r>
      <w:r w:rsidR="00E32D2D">
        <w:rPr>
          <w:rFonts w:ascii="Times New Roman" w:hAnsi="Times New Roman" w:cs="Times New Roman"/>
          <w:sz w:val="24"/>
          <w:szCs w:val="24"/>
        </w:rPr>
        <w:t>first respondent’s obligations under s 5 (5) of Statutory Instrument 261/01, the relief sought is merited. Section 5 (5) of Statutory Instrument 261/01 reads;</w:t>
      </w:r>
    </w:p>
    <w:p w:rsidR="00E32D2D" w:rsidRDefault="00E32D2D"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authority shall cause all the licences issued to be published in the Gazette.”</w:t>
      </w:r>
    </w:p>
    <w:p w:rsidR="00E32D2D" w:rsidRDefault="00E32D2D"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settled that where no time frame is set out then the law requires that the act be performed within a reasonable period. The Ministerial order was issued on the 30</w:t>
      </w:r>
      <w:r w:rsidRPr="00E32D2D">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2016.</w:t>
      </w:r>
    </w:p>
    <w:p w:rsidR="00E32D2D" w:rsidRDefault="00E32D2D"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did not even need it to act. </w:t>
      </w:r>
      <w:r w:rsidR="00D975CE">
        <w:rPr>
          <w:rFonts w:ascii="Times New Roman" w:hAnsi="Times New Roman" w:cs="Times New Roman"/>
          <w:sz w:val="24"/>
          <w:szCs w:val="24"/>
        </w:rPr>
        <w:t>The</w:t>
      </w:r>
      <w:r>
        <w:rPr>
          <w:rFonts w:ascii="Times New Roman" w:hAnsi="Times New Roman" w:cs="Times New Roman"/>
          <w:sz w:val="24"/>
          <w:szCs w:val="24"/>
        </w:rPr>
        <w:t xml:space="preserve"> obligation to publish in the Gazette is statutory</w:t>
      </w:r>
      <w:r w:rsidR="00D975CE">
        <w:rPr>
          <w:rFonts w:ascii="Times New Roman" w:hAnsi="Times New Roman" w:cs="Times New Roman"/>
          <w:sz w:val="24"/>
          <w:szCs w:val="24"/>
        </w:rPr>
        <w:t>. I</w:t>
      </w:r>
      <w:r>
        <w:rPr>
          <w:rFonts w:ascii="Times New Roman" w:hAnsi="Times New Roman" w:cs="Times New Roman"/>
          <w:sz w:val="24"/>
          <w:szCs w:val="24"/>
        </w:rPr>
        <w:t>t is the law. It simply has to be obeyed. The vague excuses tendered by the first respondent are simply unacceptable.</w:t>
      </w:r>
      <w:r w:rsidR="00D975CE">
        <w:rPr>
          <w:rFonts w:ascii="Times New Roman" w:hAnsi="Times New Roman" w:cs="Times New Roman"/>
          <w:sz w:val="24"/>
          <w:szCs w:val="24"/>
        </w:rPr>
        <w:t xml:space="preserve"> It pleaded “</w:t>
      </w:r>
      <w:r w:rsidR="009F0EEC">
        <w:rPr>
          <w:rFonts w:ascii="Times New Roman" w:hAnsi="Times New Roman" w:cs="Times New Roman"/>
          <w:sz w:val="24"/>
          <w:szCs w:val="24"/>
        </w:rPr>
        <w:t>administrative constraints,”without</w:t>
      </w:r>
      <w:r w:rsidR="00D975CE">
        <w:rPr>
          <w:rFonts w:ascii="Times New Roman" w:hAnsi="Times New Roman" w:cs="Times New Roman"/>
          <w:sz w:val="24"/>
          <w:szCs w:val="24"/>
        </w:rPr>
        <w:t xml:space="preserve"> specifying the nature thereof.</w:t>
      </w:r>
    </w:p>
    <w:p w:rsidR="00E32D2D" w:rsidRDefault="00E32D2D"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make the following order</w:t>
      </w:r>
      <w:r w:rsidR="00D975CE">
        <w:rPr>
          <w:rFonts w:ascii="Times New Roman" w:hAnsi="Times New Roman" w:cs="Times New Roman"/>
          <w:sz w:val="24"/>
          <w:szCs w:val="24"/>
        </w:rPr>
        <w:t>:</w:t>
      </w:r>
    </w:p>
    <w:p w:rsidR="00E32D2D" w:rsidRDefault="00E32D2D" w:rsidP="00E32D2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is dismissed save </w:t>
      </w:r>
      <w:r w:rsidR="00D975CE">
        <w:rPr>
          <w:rFonts w:ascii="Times New Roman" w:hAnsi="Times New Roman" w:cs="Times New Roman"/>
          <w:sz w:val="24"/>
          <w:szCs w:val="24"/>
        </w:rPr>
        <w:t xml:space="preserve">that </w:t>
      </w:r>
      <w:r>
        <w:rPr>
          <w:rFonts w:ascii="Times New Roman" w:hAnsi="Times New Roman" w:cs="Times New Roman"/>
          <w:sz w:val="24"/>
          <w:szCs w:val="24"/>
        </w:rPr>
        <w:t>the first respondent be and is hereby ordered to publish all Internet Access Provider Licences in accordance with s 5 (5) of Statutory Instrument 262 of 2001 within thirty days of the date of this order.</w:t>
      </w:r>
    </w:p>
    <w:p w:rsidR="00E32D2D" w:rsidRDefault="00E32D2D" w:rsidP="00E32D2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first and second respondents</w:t>
      </w:r>
      <w:r w:rsidR="00D975CE">
        <w:rPr>
          <w:rFonts w:ascii="Times New Roman" w:hAnsi="Times New Roman" w:cs="Times New Roman"/>
          <w:sz w:val="24"/>
          <w:szCs w:val="24"/>
        </w:rPr>
        <w:t>’</w:t>
      </w:r>
      <w:r>
        <w:rPr>
          <w:rFonts w:ascii="Times New Roman" w:hAnsi="Times New Roman" w:cs="Times New Roman"/>
          <w:sz w:val="24"/>
          <w:szCs w:val="24"/>
        </w:rPr>
        <w:t xml:space="preserve"> costs of suit.</w:t>
      </w:r>
    </w:p>
    <w:p w:rsidR="00E32D2D" w:rsidRDefault="00E32D2D" w:rsidP="00E32D2D">
      <w:pPr>
        <w:spacing w:after="0" w:line="360" w:lineRule="auto"/>
        <w:jc w:val="both"/>
        <w:rPr>
          <w:rFonts w:ascii="Times New Roman" w:hAnsi="Times New Roman" w:cs="Times New Roman"/>
          <w:sz w:val="24"/>
          <w:szCs w:val="24"/>
        </w:rPr>
      </w:pPr>
    </w:p>
    <w:p w:rsidR="00E32D2D" w:rsidRDefault="00E32D2D" w:rsidP="00E32D2D">
      <w:pPr>
        <w:spacing w:after="0" w:line="360" w:lineRule="auto"/>
        <w:jc w:val="both"/>
        <w:rPr>
          <w:rFonts w:ascii="Times New Roman" w:hAnsi="Times New Roman" w:cs="Times New Roman"/>
          <w:sz w:val="24"/>
          <w:szCs w:val="24"/>
        </w:rPr>
      </w:pPr>
    </w:p>
    <w:p w:rsidR="00E32D2D" w:rsidRDefault="00E32D2D" w:rsidP="00E32D2D">
      <w:pPr>
        <w:spacing w:after="0" w:line="360" w:lineRule="auto"/>
        <w:jc w:val="both"/>
        <w:rPr>
          <w:rFonts w:ascii="Times New Roman" w:hAnsi="Times New Roman" w:cs="Times New Roman"/>
          <w:sz w:val="24"/>
          <w:szCs w:val="24"/>
        </w:rPr>
      </w:pPr>
    </w:p>
    <w:p w:rsidR="00E32D2D" w:rsidRDefault="00E32D2D" w:rsidP="00F609E4">
      <w:pPr>
        <w:spacing w:after="0" w:line="240" w:lineRule="auto"/>
        <w:jc w:val="both"/>
        <w:rPr>
          <w:rFonts w:ascii="Times New Roman" w:hAnsi="Times New Roman" w:cs="Times New Roman"/>
          <w:sz w:val="24"/>
          <w:szCs w:val="24"/>
        </w:rPr>
      </w:pPr>
      <w:r w:rsidRPr="00F609E4">
        <w:rPr>
          <w:rFonts w:ascii="Times New Roman" w:hAnsi="Times New Roman" w:cs="Times New Roman"/>
          <w:i/>
          <w:sz w:val="24"/>
          <w:szCs w:val="24"/>
        </w:rPr>
        <w:t>Kantor and Immerman</w:t>
      </w:r>
      <w:r>
        <w:rPr>
          <w:rFonts w:ascii="Times New Roman" w:hAnsi="Times New Roman" w:cs="Times New Roman"/>
          <w:sz w:val="24"/>
          <w:szCs w:val="24"/>
        </w:rPr>
        <w:t xml:space="preserve">, applicant’s legal </w:t>
      </w:r>
      <w:r w:rsidR="00F609E4">
        <w:rPr>
          <w:rFonts w:ascii="Times New Roman" w:hAnsi="Times New Roman" w:cs="Times New Roman"/>
          <w:sz w:val="24"/>
          <w:szCs w:val="24"/>
        </w:rPr>
        <w:t>practitioners</w:t>
      </w:r>
      <w:r>
        <w:rPr>
          <w:rFonts w:ascii="Times New Roman" w:hAnsi="Times New Roman" w:cs="Times New Roman"/>
          <w:sz w:val="24"/>
          <w:szCs w:val="24"/>
        </w:rPr>
        <w:t xml:space="preserve"> </w:t>
      </w:r>
    </w:p>
    <w:p w:rsidR="00E32D2D" w:rsidRDefault="00E32D2D" w:rsidP="00F609E4">
      <w:pPr>
        <w:spacing w:after="0" w:line="240" w:lineRule="auto"/>
        <w:jc w:val="both"/>
        <w:rPr>
          <w:rFonts w:ascii="Times New Roman" w:hAnsi="Times New Roman" w:cs="Times New Roman"/>
          <w:sz w:val="24"/>
          <w:szCs w:val="24"/>
        </w:rPr>
      </w:pPr>
      <w:r w:rsidRPr="00F609E4">
        <w:rPr>
          <w:rFonts w:ascii="Times New Roman" w:hAnsi="Times New Roman" w:cs="Times New Roman"/>
          <w:i/>
          <w:sz w:val="24"/>
          <w:szCs w:val="24"/>
        </w:rPr>
        <w:t>Muzangaza, Mandaza and Tomana</w:t>
      </w:r>
      <w:r>
        <w:rPr>
          <w:rFonts w:ascii="Times New Roman" w:hAnsi="Times New Roman" w:cs="Times New Roman"/>
          <w:sz w:val="24"/>
          <w:szCs w:val="24"/>
        </w:rPr>
        <w:t>, 1</w:t>
      </w:r>
      <w:r w:rsidRPr="00E32D2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609E4">
        <w:rPr>
          <w:rFonts w:ascii="Times New Roman" w:hAnsi="Times New Roman" w:cs="Times New Roman"/>
          <w:sz w:val="24"/>
          <w:szCs w:val="24"/>
        </w:rPr>
        <w:t>respondent’s</w:t>
      </w:r>
      <w:r>
        <w:rPr>
          <w:rFonts w:ascii="Times New Roman" w:hAnsi="Times New Roman" w:cs="Times New Roman"/>
          <w:sz w:val="24"/>
          <w:szCs w:val="24"/>
        </w:rPr>
        <w:t xml:space="preserve"> legal practitioners </w:t>
      </w:r>
    </w:p>
    <w:p w:rsidR="00E32D2D" w:rsidRPr="00E32D2D" w:rsidRDefault="00E32D2D" w:rsidP="00F609E4">
      <w:pPr>
        <w:spacing w:after="0" w:line="240" w:lineRule="auto"/>
        <w:jc w:val="both"/>
        <w:rPr>
          <w:rFonts w:ascii="Times New Roman" w:hAnsi="Times New Roman" w:cs="Times New Roman"/>
          <w:sz w:val="24"/>
          <w:szCs w:val="24"/>
        </w:rPr>
      </w:pPr>
      <w:r w:rsidRPr="00F609E4">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E32D2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392EE7" w:rsidRPr="00BD080B" w:rsidRDefault="00392EE7" w:rsidP="00C13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392EE7" w:rsidRPr="00BD080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329" w:rsidRDefault="00070329" w:rsidP="00E810AD">
      <w:pPr>
        <w:spacing w:after="0" w:line="240" w:lineRule="auto"/>
      </w:pPr>
      <w:r>
        <w:separator/>
      </w:r>
    </w:p>
  </w:endnote>
  <w:endnote w:type="continuationSeparator" w:id="0">
    <w:p w:rsidR="00070329" w:rsidRDefault="00070329" w:rsidP="00E8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329" w:rsidRDefault="00070329" w:rsidP="00E810AD">
      <w:pPr>
        <w:spacing w:after="0" w:line="240" w:lineRule="auto"/>
      </w:pPr>
      <w:r>
        <w:separator/>
      </w:r>
    </w:p>
  </w:footnote>
  <w:footnote w:type="continuationSeparator" w:id="0">
    <w:p w:rsidR="00070329" w:rsidRDefault="00070329" w:rsidP="00E810AD">
      <w:pPr>
        <w:spacing w:after="0" w:line="240" w:lineRule="auto"/>
      </w:pPr>
      <w:r>
        <w:continuationSeparator/>
      </w:r>
    </w:p>
  </w:footnote>
  <w:footnote w:id="1">
    <w:p w:rsidR="0011502F" w:rsidRDefault="0011502F">
      <w:pPr>
        <w:pStyle w:val="FootnoteText"/>
      </w:pPr>
      <w:r>
        <w:rPr>
          <w:rStyle w:val="FootnoteReference"/>
        </w:rPr>
        <w:footnoteRef/>
      </w:r>
      <w:r>
        <w:t xml:space="preserve"> See also A Guide to Administrative and Local Government Law in Zimbabwe 2012 by G. Feltoe pp 9-10</w:t>
      </w:r>
    </w:p>
  </w:footnote>
  <w:footnote w:id="2">
    <w:p w:rsidR="000E0BC9" w:rsidRDefault="000E0BC9">
      <w:pPr>
        <w:pStyle w:val="FootnoteText"/>
      </w:pPr>
      <w:r>
        <w:rPr>
          <w:rStyle w:val="FootnoteReference"/>
        </w:rPr>
        <w:footnoteRef/>
      </w:r>
      <w:r>
        <w:t xml:space="preserve"> See also Batsirai Children’s Care v Minister of Local Government and others 2011 (2) ZLR 203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91490"/>
      <w:docPartObj>
        <w:docPartGallery w:val="Page Numbers (Top of Page)"/>
        <w:docPartUnique/>
      </w:docPartObj>
    </w:sdtPr>
    <w:sdtEndPr>
      <w:rPr>
        <w:noProof/>
      </w:rPr>
    </w:sdtEndPr>
    <w:sdtContent>
      <w:p w:rsidR="00E810AD" w:rsidRDefault="00E810AD">
        <w:pPr>
          <w:pStyle w:val="Header"/>
          <w:jc w:val="right"/>
          <w:rPr>
            <w:noProof/>
          </w:rPr>
        </w:pPr>
        <w:r>
          <w:fldChar w:fldCharType="begin"/>
        </w:r>
        <w:r>
          <w:instrText xml:space="preserve"> PAGE   \* MERGEFORMAT </w:instrText>
        </w:r>
        <w:r>
          <w:fldChar w:fldCharType="separate"/>
        </w:r>
        <w:r w:rsidR="00051F2B">
          <w:rPr>
            <w:noProof/>
          </w:rPr>
          <w:t>1</w:t>
        </w:r>
        <w:r>
          <w:rPr>
            <w:noProof/>
          </w:rPr>
          <w:fldChar w:fldCharType="end"/>
        </w:r>
      </w:p>
      <w:p w:rsidR="00E810AD" w:rsidRDefault="00E810AD">
        <w:pPr>
          <w:pStyle w:val="Header"/>
          <w:jc w:val="right"/>
          <w:rPr>
            <w:noProof/>
          </w:rPr>
        </w:pPr>
        <w:r>
          <w:rPr>
            <w:noProof/>
          </w:rPr>
          <w:t>HH</w:t>
        </w:r>
        <w:r w:rsidR="00A805A4">
          <w:rPr>
            <w:noProof/>
          </w:rPr>
          <w:t xml:space="preserve"> 467-18</w:t>
        </w:r>
      </w:p>
      <w:p w:rsidR="00E810AD" w:rsidRDefault="00E810AD">
        <w:pPr>
          <w:pStyle w:val="Header"/>
          <w:jc w:val="right"/>
        </w:pPr>
        <w:r>
          <w:rPr>
            <w:noProof/>
          </w:rPr>
          <w:t xml:space="preserve">HC </w:t>
        </w:r>
        <w:r w:rsidR="00DA7074">
          <w:rPr>
            <w:noProof/>
          </w:rPr>
          <w:t>6677/16</w:t>
        </w:r>
      </w:p>
    </w:sdtContent>
  </w:sdt>
  <w:p w:rsidR="00E810AD" w:rsidRDefault="00E810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EB8"/>
    <w:multiLevelType w:val="hybridMultilevel"/>
    <w:tmpl w:val="E0805494"/>
    <w:lvl w:ilvl="0" w:tplc="3009000F">
      <w:start w:val="1"/>
      <w:numFmt w:val="decimal"/>
      <w:lvlText w:val="%1."/>
      <w:lvlJc w:val="left"/>
      <w:pPr>
        <w:ind w:left="720" w:hanging="360"/>
      </w:pPr>
    </w:lvl>
    <w:lvl w:ilvl="1" w:tplc="A5729A9C">
      <w:start w:val="2"/>
      <w:numFmt w:val="decimal"/>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BF7D9C"/>
    <w:multiLevelType w:val="hybridMultilevel"/>
    <w:tmpl w:val="17D6ECA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039606C"/>
    <w:multiLevelType w:val="hybridMultilevel"/>
    <w:tmpl w:val="5D26D956"/>
    <w:lvl w:ilvl="0" w:tplc="2DCE879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5FB69AC"/>
    <w:multiLevelType w:val="hybridMultilevel"/>
    <w:tmpl w:val="4D5E7EE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83B0CDC"/>
    <w:multiLevelType w:val="hybridMultilevel"/>
    <w:tmpl w:val="0E9E33B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C6"/>
    <w:rsid w:val="0003028D"/>
    <w:rsid w:val="00046935"/>
    <w:rsid w:val="00047785"/>
    <w:rsid w:val="00051F2B"/>
    <w:rsid w:val="00056F6F"/>
    <w:rsid w:val="00067C44"/>
    <w:rsid w:val="00070329"/>
    <w:rsid w:val="000930DC"/>
    <w:rsid w:val="000935AA"/>
    <w:rsid w:val="000A6CC0"/>
    <w:rsid w:val="000B2FC5"/>
    <w:rsid w:val="000B319E"/>
    <w:rsid w:val="000E0BC9"/>
    <w:rsid w:val="000F7CA5"/>
    <w:rsid w:val="00104DF6"/>
    <w:rsid w:val="00104E72"/>
    <w:rsid w:val="0011386B"/>
    <w:rsid w:val="0011502F"/>
    <w:rsid w:val="00116B3F"/>
    <w:rsid w:val="00122644"/>
    <w:rsid w:val="00140671"/>
    <w:rsid w:val="00144CB1"/>
    <w:rsid w:val="0014775E"/>
    <w:rsid w:val="00156942"/>
    <w:rsid w:val="00157659"/>
    <w:rsid w:val="001747FA"/>
    <w:rsid w:val="001944B6"/>
    <w:rsid w:val="00197938"/>
    <w:rsid w:val="001A33A5"/>
    <w:rsid w:val="001B0FC0"/>
    <w:rsid w:val="001C10BE"/>
    <w:rsid w:val="001D2C5B"/>
    <w:rsid w:val="001F1DA5"/>
    <w:rsid w:val="0020561D"/>
    <w:rsid w:val="002158CC"/>
    <w:rsid w:val="00217DF1"/>
    <w:rsid w:val="0025690F"/>
    <w:rsid w:val="0027412E"/>
    <w:rsid w:val="00274983"/>
    <w:rsid w:val="002914BD"/>
    <w:rsid w:val="002948C9"/>
    <w:rsid w:val="002A2DA2"/>
    <w:rsid w:val="002B04BD"/>
    <w:rsid w:val="002D2628"/>
    <w:rsid w:val="002D3B2E"/>
    <w:rsid w:val="002E5B85"/>
    <w:rsid w:val="002F0A50"/>
    <w:rsid w:val="002F26E4"/>
    <w:rsid w:val="002F62D4"/>
    <w:rsid w:val="002F6FA2"/>
    <w:rsid w:val="00307D3D"/>
    <w:rsid w:val="003278F5"/>
    <w:rsid w:val="00342B34"/>
    <w:rsid w:val="003506BE"/>
    <w:rsid w:val="00364045"/>
    <w:rsid w:val="0036739D"/>
    <w:rsid w:val="00392EE7"/>
    <w:rsid w:val="003E1731"/>
    <w:rsid w:val="003E7CAD"/>
    <w:rsid w:val="003F1417"/>
    <w:rsid w:val="00412915"/>
    <w:rsid w:val="00463BE0"/>
    <w:rsid w:val="00495D35"/>
    <w:rsid w:val="004B3294"/>
    <w:rsid w:val="004B7426"/>
    <w:rsid w:val="004C6AF6"/>
    <w:rsid w:val="004D34F1"/>
    <w:rsid w:val="004D4E53"/>
    <w:rsid w:val="004E039F"/>
    <w:rsid w:val="004F1507"/>
    <w:rsid w:val="00505B75"/>
    <w:rsid w:val="0052691A"/>
    <w:rsid w:val="00526A70"/>
    <w:rsid w:val="005274AE"/>
    <w:rsid w:val="005362B2"/>
    <w:rsid w:val="005376B7"/>
    <w:rsid w:val="00544237"/>
    <w:rsid w:val="00545229"/>
    <w:rsid w:val="005602F7"/>
    <w:rsid w:val="00563ACF"/>
    <w:rsid w:val="00565EDA"/>
    <w:rsid w:val="005744B3"/>
    <w:rsid w:val="00574C30"/>
    <w:rsid w:val="00594F51"/>
    <w:rsid w:val="005A4554"/>
    <w:rsid w:val="005B5074"/>
    <w:rsid w:val="005B5FB7"/>
    <w:rsid w:val="005C1FB8"/>
    <w:rsid w:val="005C53A1"/>
    <w:rsid w:val="005F514B"/>
    <w:rsid w:val="00602BAC"/>
    <w:rsid w:val="0066227C"/>
    <w:rsid w:val="00680583"/>
    <w:rsid w:val="006902F2"/>
    <w:rsid w:val="006A2D4E"/>
    <w:rsid w:val="006A48B6"/>
    <w:rsid w:val="006B354C"/>
    <w:rsid w:val="006C6353"/>
    <w:rsid w:val="006E7660"/>
    <w:rsid w:val="00734DC4"/>
    <w:rsid w:val="00743D7B"/>
    <w:rsid w:val="007619DA"/>
    <w:rsid w:val="007658C1"/>
    <w:rsid w:val="00766B3D"/>
    <w:rsid w:val="007713B4"/>
    <w:rsid w:val="00781C06"/>
    <w:rsid w:val="00785361"/>
    <w:rsid w:val="00787EED"/>
    <w:rsid w:val="0079059F"/>
    <w:rsid w:val="007A328D"/>
    <w:rsid w:val="007C2103"/>
    <w:rsid w:val="007D0DB5"/>
    <w:rsid w:val="007F521D"/>
    <w:rsid w:val="00825402"/>
    <w:rsid w:val="00826B71"/>
    <w:rsid w:val="0083672C"/>
    <w:rsid w:val="0085787A"/>
    <w:rsid w:val="00862A9D"/>
    <w:rsid w:val="00864368"/>
    <w:rsid w:val="008A75B1"/>
    <w:rsid w:val="008B407C"/>
    <w:rsid w:val="008C18C2"/>
    <w:rsid w:val="008C1D99"/>
    <w:rsid w:val="008D092E"/>
    <w:rsid w:val="008D17DB"/>
    <w:rsid w:val="008E34B4"/>
    <w:rsid w:val="00920AFD"/>
    <w:rsid w:val="009935A0"/>
    <w:rsid w:val="009A5232"/>
    <w:rsid w:val="009D158E"/>
    <w:rsid w:val="009D4E11"/>
    <w:rsid w:val="009E3F6C"/>
    <w:rsid w:val="009F0EEC"/>
    <w:rsid w:val="00A560EC"/>
    <w:rsid w:val="00A61F0E"/>
    <w:rsid w:val="00A774A3"/>
    <w:rsid w:val="00A77EB2"/>
    <w:rsid w:val="00A805A4"/>
    <w:rsid w:val="00A931A2"/>
    <w:rsid w:val="00A97B97"/>
    <w:rsid w:val="00AB21E4"/>
    <w:rsid w:val="00AE4653"/>
    <w:rsid w:val="00B02240"/>
    <w:rsid w:val="00B126C5"/>
    <w:rsid w:val="00B40A6F"/>
    <w:rsid w:val="00B426CA"/>
    <w:rsid w:val="00B610DA"/>
    <w:rsid w:val="00B66EFE"/>
    <w:rsid w:val="00B77BB6"/>
    <w:rsid w:val="00BD080B"/>
    <w:rsid w:val="00BF317F"/>
    <w:rsid w:val="00C045F8"/>
    <w:rsid w:val="00C13838"/>
    <w:rsid w:val="00C22AA1"/>
    <w:rsid w:val="00C256AA"/>
    <w:rsid w:val="00C4791B"/>
    <w:rsid w:val="00C75508"/>
    <w:rsid w:val="00C76D31"/>
    <w:rsid w:val="00C820C6"/>
    <w:rsid w:val="00C95480"/>
    <w:rsid w:val="00CA0A4F"/>
    <w:rsid w:val="00CA1F1D"/>
    <w:rsid w:val="00CC5DDD"/>
    <w:rsid w:val="00CD2A03"/>
    <w:rsid w:val="00D15509"/>
    <w:rsid w:val="00D2053F"/>
    <w:rsid w:val="00D34AA9"/>
    <w:rsid w:val="00D35F0B"/>
    <w:rsid w:val="00D861B6"/>
    <w:rsid w:val="00D975CE"/>
    <w:rsid w:val="00DA7074"/>
    <w:rsid w:val="00DB4C2C"/>
    <w:rsid w:val="00DD53C7"/>
    <w:rsid w:val="00DE106C"/>
    <w:rsid w:val="00E32A85"/>
    <w:rsid w:val="00E32D2D"/>
    <w:rsid w:val="00E4003F"/>
    <w:rsid w:val="00E4688A"/>
    <w:rsid w:val="00E72496"/>
    <w:rsid w:val="00E810AD"/>
    <w:rsid w:val="00E82610"/>
    <w:rsid w:val="00EA06B0"/>
    <w:rsid w:val="00EB3F37"/>
    <w:rsid w:val="00ED653B"/>
    <w:rsid w:val="00ED7B81"/>
    <w:rsid w:val="00EE7320"/>
    <w:rsid w:val="00EE7892"/>
    <w:rsid w:val="00F25724"/>
    <w:rsid w:val="00F33F7E"/>
    <w:rsid w:val="00F349F3"/>
    <w:rsid w:val="00F4088C"/>
    <w:rsid w:val="00F40B7E"/>
    <w:rsid w:val="00F41FD3"/>
    <w:rsid w:val="00F609E4"/>
    <w:rsid w:val="00F65243"/>
    <w:rsid w:val="00F82628"/>
    <w:rsid w:val="00F93F7F"/>
    <w:rsid w:val="00F94C8B"/>
    <w:rsid w:val="00F970D7"/>
    <w:rsid w:val="00FD27CE"/>
    <w:rsid w:val="00FD77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E07F2-65AE-42A6-A9F3-40F4B1D3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FD3"/>
    <w:rPr>
      <w:rFonts w:ascii="Tahoma" w:hAnsi="Tahoma" w:cs="Tahoma"/>
      <w:sz w:val="16"/>
      <w:szCs w:val="16"/>
    </w:rPr>
  </w:style>
  <w:style w:type="paragraph" w:styleId="Header">
    <w:name w:val="header"/>
    <w:basedOn w:val="Normal"/>
    <w:link w:val="HeaderChar"/>
    <w:uiPriority w:val="99"/>
    <w:unhideWhenUsed/>
    <w:rsid w:val="00E81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AD"/>
  </w:style>
  <w:style w:type="paragraph" w:styleId="Footer">
    <w:name w:val="footer"/>
    <w:basedOn w:val="Normal"/>
    <w:link w:val="FooterChar"/>
    <w:uiPriority w:val="99"/>
    <w:unhideWhenUsed/>
    <w:rsid w:val="00E81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AD"/>
  </w:style>
  <w:style w:type="paragraph" w:styleId="ListParagraph">
    <w:name w:val="List Paragraph"/>
    <w:basedOn w:val="Normal"/>
    <w:uiPriority w:val="34"/>
    <w:qFormat/>
    <w:rsid w:val="00BD080B"/>
    <w:pPr>
      <w:ind w:left="720"/>
      <w:contextualSpacing/>
    </w:pPr>
  </w:style>
  <w:style w:type="paragraph" w:styleId="FootnoteText">
    <w:name w:val="footnote text"/>
    <w:basedOn w:val="Normal"/>
    <w:link w:val="FootnoteTextChar"/>
    <w:uiPriority w:val="99"/>
    <w:semiHidden/>
    <w:unhideWhenUsed/>
    <w:rsid w:val="001150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02F"/>
    <w:rPr>
      <w:sz w:val="20"/>
      <w:szCs w:val="20"/>
    </w:rPr>
  </w:style>
  <w:style w:type="character" w:styleId="FootnoteReference">
    <w:name w:val="footnote reference"/>
    <w:basedOn w:val="DefaultParagraphFont"/>
    <w:uiPriority w:val="99"/>
    <w:semiHidden/>
    <w:unhideWhenUsed/>
    <w:rsid w:val="001150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19924-A943-478F-93C9-D6A3ADCD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2018-08-06T06:05:00Z</cp:lastPrinted>
  <dcterms:created xsi:type="dcterms:W3CDTF">2018-08-20T08:10:00Z</dcterms:created>
  <dcterms:modified xsi:type="dcterms:W3CDTF">2018-08-20T08:10:00Z</dcterms:modified>
</cp:coreProperties>
</file>