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8B" w:rsidRPr="00521DF2" w:rsidRDefault="00146F8B" w:rsidP="00DE22C0">
      <w:pPr>
        <w:spacing w:after="0" w:line="360" w:lineRule="auto"/>
        <w:jc w:val="both"/>
        <w:rPr>
          <w:b/>
          <w:sz w:val="28"/>
          <w:szCs w:val="28"/>
        </w:rPr>
      </w:pPr>
      <w:r w:rsidRPr="00521DF2">
        <w:rPr>
          <w:b/>
          <w:sz w:val="28"/>
          <w:szCs w:val="28"/>
        </w:rPr>
        <w:t>IN THE LABOUR COURT OF ZIMBABWE</w:t>
      </w:r>
      <w:r w:rsidR="008618F3">
        <w:rPr>
          <w:b/>
          <w:sz w:val="28"/>
          <w:szCs w:val="28"/>
        </w:rPr>
        <w:tab/>
        <w:t xml:space="preserve">         </w:t>
      </w:r>
      <w:bookmarkStart w:id="0" w:name="_GoBack"/>
      <w:bookmarkEnd w:id="0"/>
      <w:r w:rsidRPr="00521DF2">
        <w:rPr>
          <w:b/>
          <w:sz w:val="28"/>
          <w:szCs w:val="28"/>
        </w:rPr>
        <w:t>JUDGMENT NO LC/H/</w:t>
      </w:r>
      <w:r w:rsidR="008618F3">
        <w:rPr>
          <w:b/>
          <w:sz w:val="28"/>
          <w:szCs w:val="28"/>
        </w:rPr>
        <w:t>292</w:t>
      </w:r>
      <w:r w:rsidRPr="00521DF2">
        <w:rPr>
          <w:b/>
          <w:sz w:val="28"/>
          <w:szCs w:val="28"/>
        </w:rPr>
        <w:t>/14</w:t>
      </w:r>
    </w:p>
    <w:p w:rsidR="00146F8B" w:rsidRDefault="00146F8B" w:rsidP="00DE22C0">
      <w:pPr>
        <w:spacing w:after="0" w:line="360" w:lineRule="auto"/>
        <w:jc w:val="both"/>
        <w:rPr>
          <w:b/>
          <w:sz w:val="28"/>
          <w:szCs w:val="28"/>
        </w:rPr>
      </w:pPr>
      <w:r w:rsidRPr="00521DF2">
        <w:rPr>
          <w:b/>
          <w:sz w:val="28"/>
          <w:szCs w:val="28"/>
        </w:rPr>
        <w:t>HELD AT HARARE 12</w:t>
      </w:r>
      <w:r w:rsidRPr="00521DF2">
        <w:rPr>
          <w:b/>
          <w:sz w:val="28"/>
          <w:szCs w:val="28"/>
          <w:vertAlign w:val="superscript"/>
        </w:rPr>
        <w:t>TH</w:t>
      </w:r>
      <w:r w:rsidR="00521DF2">
        <w:rPr>
          <w:b/>
          <w:sz w:val="28"/>
          <w:szCs w:val="28"/>
        </w:rPr>
        <w:t xml:space="preserve"> MAY 2014 </w:t>
      </w:r>
      <w:r w:rsidR="00521DF2">
        <w:rPr>
          <w:b/>
          <w:sz w:val="28"/>
          <w:szCs w:val="28"/>
        </w:rPr>
        <w:tab/>
      </w:r>
      <w:r w:rsidR="00521DF2">
        <w:rPr>
          <w:b/>
          <w:sz w:val="28"/>
          <w:szCs w:val="28"/>
        </w:rPr>
        <w:tab/>
      </w:r>
      <w:r w:rsidR="00521DF2">
        <w:rPr>
          <w:b/>
          <w:sz w:val="28"/>
          <w:szCs w:val="28"/>
        </w:rPr>
        <w:tab/>
      </w:r>
      <w:r w:rsidRPr="00521DF2">
        <w:rPr>
          <w:b/>
          <w:sz w:val="28"/>
          <w:szCs w:val="28"/>
        </w:rPr>
        <w:t>CASE NO LC/H/830/13</w:t>
      </w:r>
    </w:p>
    <w:p w:rsidR="00ED692D" w:rsidRPr="00521DF2" w:rsidRDefault="00ED692D" w:rsidP="00DE22C0">
      <w:pPr>
        <w:spacing w:after="0" w:line="360" w:lineRule="auto"/>
        <w:jc w:val="both"/>
        <w:rPr>
          <w:b/>
          <w:sz w:val="28"/>
          <w:szCs w:val="28"/>
        </w:rPr>
      </w:pPr>
      <w:r>
        <w:rPr>
          <w:b/>
          <w:sz w:val="28"/>
          <w:szCs w:val="28"/>
        </w:rPr>
        <w:t>&amp; 23</w:t>
      </w:r>
      <w:r w:rsidRPr="00ED692D">
        <w:rPr>
          <w:b/>
          <w:sz w:val="28"/>
          <w:szCs w:val="28"/>
          <w:vertAlign w:val="superscript"/>
        </w:rPr>
        <w:t>RD</w:t>
      </w:r>
      <w:r>
        <w:rPr>
          <w:b/>
          <w:sz w:val="28"/>
          <w:szCs w:val="28"/>
        </w:rPr>
        <w:t xml:space="preserve"> MAY 2014 </w:t>
      </w:r>
    </w:p>
    <w:p w:rsidR="00146F8B" w:rsidRPr="00521DF2" w:rsidRDefault="00146F8B" w:rsidP="00146F8B">
      <w:pPr>
        <w:spacing w:after="0" w:line="240" w:lineRule="auto"/>
        <w:jc w:val="both"/>
        <w:rPr>
          <w:b/>
          <w:sz w:val="28"/>
          <w:szCs w:val="28"/>
        </w:rPr>
      </w:pPr>
    </w:p>
    <w:p w:rsidR="00146F8B" w:rsidRPr="00521DF2" w:rsidRDefault="00146F8B" w:rsidP="00146F8B">
      <w:pPr>
        <w:spacing w:after="0" w:line="240" w:lineRule="auto"/>
        <w:jc w:val="both"/>
        <w:rPr>
          <w:b/>
          <w:sz w:val="28"/>
          <w:szCs w:val="28"/>
        </w:rPr>
      </w:pPr>
    </w:p>
    <w:p w:rsidR="00050B8C" w:rsidRPr="00521DF2" w:rsidRDefault="00146F8B" w:rsidP="008618F3">
      <w:pPr>
        <w:spacing w:after="0"/>
        <w:jc w:val="both"/>
        <w:rPr>
          <w:b/>
          <w:sz w:val="28"/>
          <w:szCs w:val="28"/>
        </w:rPr>
      </w:pPr>
      <w:r w:rsidRPr="00521DF2">
        <w:rPr>
          <w:b/>
          <w:sz w:val="28"/>
          <w:szCs w:val="28"/>
        </w:rPr>
        <w:t>TELECONTRACT (PVT) LTD</w:t>
      </w:r>
      <w:r w:rsidRPr="00521DF2">
        <w:rPr>
          <w:b/>
          <w:sz w:val="28"/>
          <w:szCs w:val="28"/>
        </w:rPr>
        <w:tab/>
      </w:r>
      <w:r w:rsidRPr="00521DF2">
        <w:rPr>
          <w:b/>
          <w:sz w:val="28"/>
          <w:szCs w:val="28"/>
        </w:rPr>
        <w:tab/>
      </w:r>
      <w:r w:rsidRPr="00521DF2">
        <w:rPr>
          <w:b/>
          <w:sz w:val="28"/>
          <w:szCs w:val="28"/>
        </w:rPr>
        <w:tab/>
      </w:r>
      <w:r w:rsidRPr="00521DF2">
        <w:rPr>
          <w:b/>
          <w:sz w:val="28"/>
          <w:szCs w:val="28"/>
        </w:rPr>
        <w:tab/>
        <w:t>Appellant</w:t>
      </w:r>
    </w:p>
    <w:p w:rsidR="00050B8C" w:rsidRPr="00521DF2" w:rsidRDefault="00146F8B" w:rsidP="008618F3">
      <w:pPr>
        <w:spacing w:after="0"/>
        <w:jc w:val="both"/>
        <w:rPr>
          <w:b/>
          <w:sz w:val="28"/>
          <w:szCs w:val="28"/>
        </w:rPr>
      </w:pPr>
      <w:r w:rsidRPr="00521DF2">
        <w:rPr>
          <w:b/>
          <w:sz w:val="28"/>
          <w:szCs w:val="28"/>
        </w:rPr>
        <w:t>ISAAC MADZINGA</w:t>
      </w:r>
      <w:r w:rsidRPr="00521DF2">
        <w:rPr>
          <w:b/>
          <w:sz w:val="28"/>
          <w:szCs w:val="28"/>
        </w:rPr>
        <w:tab/>
      </w:r>
      <w:r w:rsidRPr="00521DF2">
        <w:rPr>
          <w:b/>
          <w:sz w:val="28"/>
          <w:szCs w:val="28"/>
        </w:rPr>
        <w:tab/>
      </w:r>
      <w:r w:rsidRPr="00521DF2">
        <w:rPr>
          <w:b/>
          <w:sz w:val="28"/>
          <w:szCs w:val="28"/>
        </w:rPr>
        <w:tab/>
      </w:r>
      <w:r w:rsidRPr="00521DF2">
        <w:rPr>
          <w:b/>
          <w:sz w:val="28"/>
          <w:szCs w:val="28"/>
        </w:rPr>
        <w:tab/>
      </w:r>
      <w:r w:rsidRPr="00521DF2">
        <w:rPr>
          <w:b/>
          <w:sz w:val="28"/>
          <w:szCs w:val="28"/>
        </w:rPr>
        <w:tab/>
      </w:r>
      <w:r w:rsidR="00521DF2">
        <w:rPr>
          <w:b/>
          <w:sz w:val="28"/>
          <w:szCs w:val="28"/>
        </w:rPr>
        <w:tab/>
      </w:r>
      <w:r w:rsidRPr="00521DF2">
        <w:rPr>
          <w:b/>
          <w:sz w:val="28"/>
          <w:szCs w:val="28"/>
        </w:rPr>
        <w:t>1</w:t>
      </w:r>
      <w:r w:rsidRPr="00521DF2">
        <w:rPr>
          <w:b/>
          <w:sz w:val="28"/>
          <w:szCs w:val="28"/>
          <w:vertAlign w:val="superscript"/>
        </w:rPr>
        <w:t>st</w:t>
      </w:r>
      <w:r w:rsidRPr="00521DF2">
        <w:rPr>
          <w:b/>
          <w:sz w:val="28"/>
          <w:szCs w:val="28"/>
        </w:rPr>
        <w:t xml:space="preserve"> Respondent</w:t>
      </w:r>
    </w:p>
    <w:p w:rsidR="00146F8B" w:rsidRDefault="00146F8B" w:rsidP="008618F3">
      <w:pPr>
        <w:spacing w:after="0"/>
        <w:jc w:val="both"/>
        <w:rPr>
          <w:b/>
          <w:sz w:val="28"/>
          <w:szCs w:val="28"/>
        </w:rPr>
      </w:pPr>
      <w:r w:rsidRPr="00521DF2">
        <w:rPr>
          <w:b/>
          <w:sz w:val="28"/>
          <w:szCs w:val="28"/>
        </w:rPr>
        <w:t>DANIAL NYIRENDA</w:t>
      </w:r>
      <w:r w:rsidRPr="00521DF2">
        <w:rPr>
          <w:b/>
          <w:sz w:val="28"/>
          <w:szCs w:val="28"/>
        </w:rPr>
        <w:tab/>
      </w:r>
      <w:r w:rsidRPr="00521DF2">
        <w:rPr>
          <w:b/>
          <w:sz w:val="28"/>
          <w:szCs w:val="28"/>
        </w:rPr>
        <w:tab/>
      </w:r>
      <w:r w:rsidRPr="00521DF2">
        <w:rPr>
          <w:b/>
          <w:sz w:val="28"/>
          <w:szCs w:val="28"/>
        </w:rPr>
        <w:tab/>
      </w:r>
      <w:r w:rsidRPr="00521DF2">
        <w:rPr>
          <w:b/>
          <w:sz w:val="28"/>
          <w:szCs w:val="28"/>
        </w:rPr>
        <w:tab/>
      </w:r>
      <w:r w:rsidRPr="00521DF2">
        <w:rPr>
          <w:b/>
          <w:sz w:val="28"/>
          <w:szCs w:val="28"/>
        </w:rPr>
        <w:tab/>
        <w:t>2</w:t>
      </w:r>
      <w:r w:rsidRPr="00521DF2">
        <w:rPr>
          <w:b/>
          <w:sz w:val="28"/>
          <w:szCs w:val="28"/>
          <w:vertAlign w:val="superscript"/>
        </w:rPr>
        <w:t>nd</w:t>
      </w:r>
      <w:r w:rsidRPr="00521DF2">
        <w:rPr>
          <w:b/>
          <w:sz w:val="28"/>
          <w:szCs w:val="28"/>
        </w:rPr>
        <w:t xml:space="preserve"> Respondent</w:t>
      </w:r>
    </w:p>
    <w:p w:rsidR="008618F3" w:rsidRPr="00521DF2" w:rsidRDefault="008618F3" w:rsidP="008618F3">
      <w:pPr>
        <w:spacing w:after="0"/>
        <w:jc w:val="both"/>
        <w:rPr>
          <w:b/>
          <w:sz w:val="28"/>
          <w:szCs w:val="28"/>
        </w:rPr>
      </w:pPr>
    </w:p>
    <w:p w:rsidR="00146F8B" w:rsidRPr="00521DF2" w:rsidRDefault="00146F8B" w:rsidP="00146F8B">
      <w:pPr>
        <w:spacing w:line="360" w:lineRule="auto"/>
        <w:jc w:val="both"/>
        <w:rPr>
          <w:sz w:val="28"/>
          <w:szCs w:val="28"/>
        </w:rPr>
      </w:pPr>
      <w:r w:rsidRPr="00521DF2">
        <w:rPr>
          <w:sz w:val="28"/>
          <w:szCs w:val="28"/>
        </w:rPr>
        <w:t>Before The Honourable G Musariri, Judge</w:t>
      </w:r>
    </w:p>
    <w:p w:rsidR="00146F8B" w:rsidRPr="00521DF2" w:rsidRDefault="00146F8B" w:rsidP="00146F8B">
      <w:pPr>
        <w:spacing w:line="360" w:lineRule="auto"/>
        <w:jc w:val="both"/>
        <w:rPr>
          <w:b/>
          <w:sz w:val="28"/>
          <w:szCs w:val="28"/>
        </w:rPr>
      </w:pPr>
      <w:r w:rsidRPr="00521DF2">
        <w:rPr>
          <w:b/>
          <w:sz w:val="28"/>
          <w:szCs w:val="28"/>
        </w:rPr>
        <w:t>For Appellant</w:t>
      </w:r>
      <w:r w:rsidRPr="00521DF2">
        <w:rPr>
          <w:b/>
          <w:sz w:val="28"/>
          <w:szCs w:val="28"/>
        </w:rPr>
        <w:tab/>
      </w:r>
      <w:r w:rsidRPr="00521DF2">
        <w:rPr>
          <w:b/>
          <w:sz w:val="28"/>
          <w:szCs w:val="28"/>
        </w:rPr>
        <w:tab/>
      </w:r>
      <w:r w:rsidRPr="00521DF2">
        <w:rPr>
          <w:b/>
          <w:sz w:val="28"/>
          <w:szCs w:val="28"/>
        </w:rPr>
        <w:tab/>
        <w:t xml:space="preserve">Ms P </w:t>
      </w:r>
      <w:proofErr w:type="spellStart"/>
      <w:r w:rsidRPr="00521DF2">
        <w:rPr>
          <w:b/>
          <w:sz w:val="28"/>
          <w:szCs w:val="28"/>
        </w:rPr>
        <w:t>Ncube</w:t>
      </w:r>
      <w:proofErr w:type="spellEnd"/>
      <w:proofErr w:type="gramStart"/>
      <w:r w:rsidRPr="00521DF2">
        <w:rPr>
          <w:b/>
          <w:sz w:val="28"/>
          <w:szCs w:val="28"/>
        </w:rPr>
        <w:t>,  Attorney</w:t>
      </w:r>
      <w:proofErr w:type="gramEnd"/>
    </w:p>
    <w:p w:rsidR="00146F8B" w:rsidRPr="00521DF2" w:rsidRDefault="00146F8B" w:rsidP="00146F8B">
      <w:pPr>
        <w:spacing w:line="360" w:lineRule="auto"/>
        <w:jc w:val="both"/>
        <w:rPr>
          <w:b/>
          <w:sz w:val="28"/>
          <w:szCs w:val="28"/>
        </w:rPr>
      </w:pPr>
      <w:r w:rsidRPr="00521DF2">
        <w:rPr>
          <w:b/>
          <w:sz w:val="28"/>
          <w:szCs w:val="28"/>
        </w:rPr>
        <w:t>For Respondents</w:t>
      </w:r>
      <w:r w:rsidRPr="00521DF2">
        <w:rPr>
          <w:b/>
          <w:sz w:val="28"/>
          <w:szCs w:val="28"/>
        </w:rPr>
        <w:tab/>
      </w:r>
      <w:r w:rsidRPr="00521DF2">
        <w:rPr>
          <w:b/>
          <w:sz w:val="28"/>
          <w:szCs w:val="28"/>
        </w:rPr>
        <w:tab/>
      </w:r>
      <w:r w:rsidR="00521DF2">
        <w:rPr>
          <w:b/>
          <w:sz w:val="28"/>
          <w:szCs w:val="28"/>
        </w:rPr>
        <w:tab/>
      </w:r>
      <w:r w:rsidRPr="00521DF2">
        <w:rPr>
          <w:b/>
          <w:sz w:val="28"/>
          <w:szCs w:val="28"/>
        </w:rPr>
        <w:t xml:space="preserve">Mr B </w:t>
      </w:r>
      <w:proofErr w:type="spellStart"/>
      <w:r w:rsidRPr="00521DF2">
        <w:rPr>
          <w:b/>
          <w:sz w:val="28"/>
          <w:szCs w:val="28"/>
        </w:rPr>
        <w:t>Makururu</w:t>
      </w:r>
      <w:proofErr w:type="spellEnd"/>
      <w:r w:rsidRPr="00521DF2">
        <w:rPr>
          <w:b/>
          <w:sz w:val="28"/>
          <w:szCs w:val="28"/>
        </w:rPr>
        <w:t>, Attorney</w:t>
      </w:r>
    </w:p>
    <w:p w:rsidR="00146F8B" w:rsidRPr="00521DF2" w:rsidRDefault="00146F8B" w:rsidP="00146F8B">
      <w:pPr>
        <w:spacing w:line="360" w:lineRule="auto"/>
        <w:jc w:val="both"/>
        <w:rPr>
          <w:b/>
          <w:sz w:val="28"/>
          <w:szCs w:val="28"/>
        </w:rPr>
      </w:pPr>
    </w:p>
    <w:p w:rsidR="00146F8B" w:rsidRPr="00521DF2" w:rsidRDefault="00146F8B" w:rsidP="00146F8B">
      <w:pPr>
        <w:spacing w:line="360" w:lineRule="auto"/>
        <w:jc w:val="both"/>
        <w:rPr>
          <w:b/>
          <w:sz w:val="28"/>
          <w:szCs w:val="28"/>
        </w:rPr>
      </w:pPr>
      <w:r w:rsidRPr="00521DF2">
        <w:rPr>
          <w:b/>
          <w:sz w:val="28"/>
          <w:szCs w:val="28"/>
        </w:rPr>
        <w:t>MUSARIRI, G:</w:t>
      </w:r>
    </w:p>
    <w:p w:rsidR="00146F8B" w:rsidRPr="00521DF2" w:rsidRDefault="00146F8B" w:rsidP="00146F8B">
      <w:pPr>
        <w:spacing w:line="360" w:lineRule="auto"/>
        <w:rPr>
          <w:sz w:val="28"/>
          <w:szCs w:val="28"/>
        </w:rPr>
      </w:pPr>
      <w:r w:rsidRPr="00521DF2">
        <w:rPr>
          <w:sz w:val="28"/>
          <w:szCs w:val="28"/>
        </w:rPr>
        <w:t xml:space="preserve">On 30 August 2013 the NEC for the Engineering &amp; Iron </w:t>
      </w:r>
      <w:proofErr w:type="gramStart"/>
      <w:r w:rsidR="008618F3">
        <w:rPr>
          <w:sz w:val="28"/>
          <w:szCs w:val="28"/>
        </w:rPr>
        <w:t>A</w:t>
      </w:r>
      <w:r w:rsidR="00ED692D">
        <w:rPr>
          <w:sz w:val="28"/>
          <w:szCs w:val="28"/>
        </w:rPr>
        <w:t>nd</w:t>
      </w:r>
      <w:proofErr w:type="gramEnd"/>
      <w:r w:rsidRPr="00521DF2">
        <w:rPr>
          <w:sz w:val="28"/>
          <w:szCs w:val="28"/>
        </w:rPr>
        <w:t xml:space="preserve"> Steel Industry made a d</w:t>
      </w:r>
      <w:r w:rsidR="00ED692D">
        <w:rPr>
          <w:sz w:val="28"/>
          <w:szCs w:val="28"/>
        </w:rPr>
        <w:t>etermination.  It ordered that Appellant should reinstate R</w:t>
      </w:r>
      <w:r w:rsidRPr="00521DF2">
        <w:rPr>
          <w:sz w:val="28"/>
          <w:szCs w:val="28"/>
        </w:rPr>
        <w:t xml:space="preserve">espondents’ employment. </w:t>
      </w:r>
      <w:r w:rsidR="00ED692D">
        <w:rPr>
          <w:sz w:val="28"/>
          <w:szCs w:val="28"/>
        </w:rPr>
        <w:t>It further ordered that the matter</w:t>
      </w:r>
      <w:r w:rsidRPr="00521DF2">
        <w:rPr>
          <w:sz w:val="28"/>
          <w:szCs w:val="28"/>
        </w:rPr>
        <w:t xml:space="preserve"> should be reheard</w:t>
      </w:r>
      <w:r w:rsidR="00490DEA" w:rsidRPr="00521DF2">
        <w:rPr>
          <w:sz w:val="28"/>
          <w:szCs w:val="28"/>
        </w:rPr>
        <w:t xml:space="preserve"> by a “properly composed” disciplinary committee.  </w:t>
      </w:r>
      <w:proofErr w:type="gramStart"/>
      <w:r w:rsidR="00490DEA" w:rsidRPr="00521DF2">
        <w:rPr>
          <w:sz w:val="28"/>
          <w:szCs w:val="28"/>
        </w:rPr>
        <w:t>Appellant  then</w:t>
      </w:r>
      <w:proofErr w:type="gramEnd"/>
      <w:r w:rsidR="00490DEA" w:rsidRPr="00521DF2">
        <w:rPr>
          <w:sz w:val="28"/>
          <w:szCs w:val="28"/>
        </w:rPr>
        <w:t xml:space="preserve"> appealed to this Court against the determination.  Respondents opposed the appeal.  The appeal raised both procedural and substantive issues.</w:t>
      </w:r>
    </w:p>
    <w:p w:rsidR="00490DEA" w:rsidRPr="00521DF2" w:rsidRDefault="00490DEA" w:rsidP="00146F8B">
      <w:pPr>
        <w:spacing w:line="360" w:lineRule="auto"/>
        <w:rPr>
          <w:b/>
          <w:sz w:val="28"/>
          <w:szCs w:val="28"/>
          <w:u w:val="single"/>
        </w:rPr>
      </w:pPr>
      <w:r w:rsidRPr="00521DF2">
        <w:rPr>
          <w:b/>
          <w:sz w:val="28"/>
          <w:szCs w:val="28"/>
          <w:u w:val="single"/>
        </w:rPr>
        <w:t>Procedure</w:t>
      </w:r>
    </w:p>
    <w:p w:rsidR="00490DEA" w:rsidRPr="00521DF2" w:rsidRDefault="00490DEA" w:rsidP="004D51D4">
      <w:pPr>
        <w:spacing w:after="0" w:line="360" w:lineRule="auto"/>
        <w:rPr>
          <w:sz w:val="28"/>
          <w:szCs w:val="28"/>
          <w:u w:val="single"/>
        </w:rPr>
      </w:pPr>
      <w:r w:rsidRPr="00521DF2">
        <w:rPr>
          <w:sz w:val="28"/>
          <w:szCs w:val="28"/>
          <w:u w:val="single"/>
        </w:rPr>
        <w:t>Whether the disciplinary committee was properly constituted?</w:t>
      </w:r>
    </w:p>
    <w:p w:rsidR="00ED692D" w:rsidRDefault="00490DEA" w:rsidP="004D51D4">
      <w:pPr>
        <w:spacing w:after="0" w:line="360" w:lineRule="auto"/>
        <w:rPr>
          <w:sz w:val="28"/>
          <w:szCs w:val="28"/>
        </w:rPr>
      </w:pPr>
      <w:r w:rsidRPr="00521DF2">
        <w:rPr>
          <w:sz w:val="28"/>
          <w:szCs w:val="28"/>
        </w:rPr>
        <w:t>The applicable Code of Conduct is incorporate</w:t>
      </w:r>
      <w:r w:rsidR="00ED692D">
        <w:rPr>
          <w:sz w:val="28"/>
          <w:szCs w:val="28"/>
        </w:rPr>
        <w:t>d</w:t>
      </w:r>
      <w:r w:rsidRPr="00521DF2">
        <w:rPr>
          <w:sz w:val="28"/>
          <w:szCs w:val="28"/>
        </w:rPr>
        <w:t xml:space="preserve"> in the </w:t>
      </w:r>
      <w:r w:rsidRPr="00521DF2">
        <w:rPr>
          <w:sz w:val="28"/>
          <w:szCs w:val="28"/>
          <w:u w:val="single"/>
        </w:rPr>
        <w:t>Collective Bargaining Agreement: Engineering and Iron and Steel Industry</w:t>
      </w:r>
      <w:r w:rsidRPr="00521DF2">
        <w:rPr>
          <w:sz w:val="28"/>
          <w:szCs w:val="28"/>
        </w:rPr>
        <w:t xml:space="preserve"> S.I. 301/96.  Section 3 of the Code provides that a disciplinary committee shall comprise four (4) </w:t>
      </w:r>
    </w:p>
    <w:p w:rsidR="00ED692D" w:rsidRDefault="00ED692D" w:rsidP="00146F8B">
      <w:pPr>
        <w:spacing w:line="360" w:lineRule="auto"/>
        <w:rPr>
          <w:sz w:val="28"/>
          <w:szCs w:val="28"/>
        </w:rPr>
      </w:pPr>
    </w:p>
    <w:p w:rsidR="00490DEA" w:rsidRPr="00521DF2" w:rsidRDefault="00490DEA" w:rsidP="00146F8B">
      <w:pPr>
        <w:spacing w:line="360" w:lineRule="auto"/>
        <w:rPr>
          <w:sz w:val="28"/>
          <w:szCs w:val="28"/>
        </w:rPr>
      </w:pPr>
      <w:proofErr w:type="gramStart"/>
      <w:r w:rsidRPr="00521DF2">
        <w:rPr>
          <w:sz w:val="28"/>
          <w:szCs w:val="28"/>
        </w:rPr>
        <w:lastRenderedPageBreak/>
        <w:t>members</w:t>
      </w:r>
      <w:proofErr w:type="gramEnd"/>
      <w:r w:rsidRPr="00521DF2">
        <w:rPr>
          <w:sz w:val="28"/>
          <w:szCs w:val="28"/>
        </w:rPr>
        <w:t xml:space="preserve"> of whom 2 are appointed by management and 2 are appointed by the workers.  The minutes of the initial hearing on 10 April 2013 at Telco are filed of record.  A perusal thereof shows that the hearing panel comprised 2 management </w:t>
      </w:r>
      <w:r w:rsidR="00DE22C0" w:rsidRPr="00521DF2">
        <w:rPr>
          <w:sz w:val="28"/>
          <w:szCs w:val="28"/>
        </w:rPr>
        <w:t xml:space="preserve">representatives and 2 worker representatives.  Thus </w:t>
      </w:r>
      <w:r w:rsidR="00DE22C0" w:rsidRPr="00521DF2">
        <w:rPr>
          <w:sz w:val="28"/>
          <w:szCs w:val="28"/>
          <w:u w:val="single"/>
        </w:rPr>
        <w:t>ex</w:t>
      </w:r>
      <w:r w:rsidR="00DE22C0" w:rsidRPr="00521DF2">
        <w:rPr>
          <w:sz w:val="28"/>
          <w:szCs w:val="28"/>
        </w:rPr>
        <w:t xml:space="preserve"> </w:t>
      </w:r>
      <w:r w:rsidR="00DE22C0" w:rsidRPr="00521DF2">
        <w:rPr>
          <w:sz w:val="28"/>
          <w:szCs w:val="28"/>
          <w:u w:val="single"/>
        </w:rPr>
        <w:t>facie</w:t>
      </w:r>
      <w:r w:rsidR="00DE22C0" w:rsidRPr="00521DF2">
        <w:rPr>
          <w:sz w:val="28"/>
          <w:szCs w:val="28"/>
        </w:rPr>
        <w:t xml:space="preserve"> the minutes, the panel complied with the requirements of the Code.  Respondents conceded that much.  However they then argued that the worker representatives were neither elected by the workers committee or the worker</w:t>
      </w:r>
      <w:r w:rsidR="00ED692D">
        <w:rPr>
          <w:sz w:val="28"/>
          <w:szCs w:val="28"/>
        </w:rPr>
        <w:t>s themselves.  The point was not</w:t>
      </w:r>
      <w:r w:rsidR="00DE22C0" w:rsidRPr="00521DF2">
        <w:rPr>
          <w:sz w:val="28"/>
          <w:szCs w:val="28"/>
        </w:rPr>
        <w:t xml:space="preserve"> raised at the hearing.  It was only raised at the appeal before the NEC.  I consider that the point should have been raised at the</w:t>
      </w:r>
      <w:r w:rsidR="00000B5F" w:rsidRPr="00521DF2">
        <w:rPr>
          <w:sz w:val="28"/>
          <w:szCs w:val="28"/>
        </w:rPr>
        <w:t xml:space="preserve"> initial hearing.  In any event it is absurd for any employee to complain about the presence of employee representatives on a disciplinary panel.</w:t>
      </w:r>
    </w:p>
    <w:p w:rsidR="00000B5F" w:rsidRPr="00521DF2" w:rsidRDefault="00000B5F" w:rsidP="00146F8B">
      <w:pPr>
        <w:spacing w:line="360" w:lineRule="auto"/>
        <w:rPr>
          <w:sz w:val="28"/>
          <w:szCs w:val="28"/>
          <w:u w:val="single"/>
        </w:rPr>
      </w:pPr>
      <w:r w:rsidRPr="00521DF2">
        <w:rPr>
          <w:sz w:val="28"/>
          <w:szCs w:val="28"/>
          <w:u w:val="single"/>
        </w:rPr>
        <w:t>Whether Respondents were given the opportunity to cross-examine witnesses?</w:t>
      </w:r>
    </w:p>
    <w:p w:rsidR="00000B5F" w:rsidRPr="00521DF2" w:rsidRDefault="00000B5F" w:rsidP="00146F8B">
      <w:pPr>
        <w:spacing w:line="360" w:lineRule="auto"/>
        <w:rPr>
          <w:sz w:val="28"/>
          <w:szCs w:val="28"/>
        </w:rPr>
      </w:pPr>
      <w:r w:rsidRPr="00521DF2">
        <w:rPr>
          <w:sz w:val="28"/>
          <w:szCs w:val="28"/>
        </w:rPr>
        <w:t xml:space="preserve">The witnesses initially gave evidence in the absence of Respondents.  They were later asked to repeat their </w:t>
      </w:r>
      <w:r w:rsidR="00ED692D">
        <w:rPr>
          <w:sz w:val="28"/>
          <w:szCs w:val="28"/>
        </w:rPr>
        <w:t>evidence in the presence of R</w:t>
      </w:r>
      <w:r w:rsidRPr="00521DF2">
        <w:rPr>
          <w:sz w:val="28"/>
          <w:szCs w:val="28"/>
        </w:rPr>
        <w:t>espondents.  The minutes record the encounter thus,</w:t>
      </w:r>
    </w:p>
    <w:p w:rsidR="00000B5F" w:rsidRPr="00521DF2" w:rsidRDefault="00000B5F" w:rsidP="00000B5F">
      <w:pPr>
        <w:spacing w:line="240" w:lineRule="auto"/>
        <w:ind w:left="1440"/>
        <w:rPr>
          <w:i/>
          <w:sz w:val="24"/>
          <w:szCs w:val="24"/>
        </w:rPr>
      </w:pPr>
      <w:r w:rsidRPr="00521DF2">
        <w:rPr>
          <w:i/>
          <w:sz w:val="24"/>
          <w:szCs w:val="24"/>
        </w:rPr>
        <w:t>“Isaac and Daniel were then called in to hear what Gumbo had just told the committee.  Isaac and Daniel denied ever going to the storeroom.   Gumbo was then asked to step out.”</w:t>
      </w:r>
    </w:p>
    <w:p w:rsidR="00000B5F" w:rsidRPr="00521DF2" w:rsidRDefault="00000B5F" w:rsidP="00000B5F">
      <w:pPr>
        <w:spacing w:line="360" w:lineRule="auto"/>
        <w:rPr>
          <w:sz w:val="28"/>
          <w:szCs w:val="28"/>
        </w:rPr>
      </w:pPr>
      <w:r w:rsidRPr="00521DF2">
        <w:rPr>
          <w:sz w:val="28"/>
          <w:szCs w:val="28"/>
        </w:rPr>
        <w:t xml:space="preserve">The same process happened with the other witness named </w:t>
      </w:r>
      <w:proofErr w:type="spellStart"/>
      <w:r w:rsidRPr="00521DF2">
        <w:rPr>
          <w:sz w:val="28"/>
          <w:szCs w:val="28"/>
        </w:rPr>
        <w:t>Munyaradzi</w:t>
      </w:r>
      <w:proofErr w:type="spellEnd"/>
      <w:r w:rsidRPr="00521DF2">
        <w:rPr>
          <w:sz w:val="28"/>
          <w:szCs w:val="28"/>
        </w:rPr>
        <w:t xml:space="preserve">.  Cross-examination is </w:t>
      </w:r>
      <w:proofErr w:type="gramStart"/>
      <w:r w:rsidRPr="00521DF2">
        <w:rPr>
          <w:sz w:val="28"/>
          <w:szCs w:val="28"/>
        </w:rPr>
        <w:t>essentially  a</w:t>
      </w:r>
      <w:proofErr w:type="gramEnd"/>
      <w:r w:rsidRPr="00521DF2">
        <w:rPr>
          <w:sz w:val="28"/>
          <w:szCs w:val="28"/>
        </w:rPr>
        <w:t xml:space="preserve"> confrontation between the accused and his accuser/s.  Respondents were given the opportunity to confront their accusers.  They simply denied the </w:t>
      </w:r>
      <w:r w:rsidR="00ED692D">
        <w:rPr>
          <w:sz w:val="28"/>
          <w:szCs w:val="28"/>
        </w:rPr>
        <w:t>accusation/s</w:t>
      </w:r>
      <w:r w:rsidRPr="00521DF2">
        <w:rPr>
          <w:sz w:val="28"/>
          <w:szCs w:val="28"/>
        </w:rPr>
        <w:t>.  They did not put specific questions to the witnesses.  I consider</w:t>
      </w:r>
      <w:r w:rsidR="008A41F7" w:rsidRPr="00521DF2">
        <w:rPr>
          <w:sz w:val="28"/>
          <w:szCs w:val="28"/>
        </w:rPr>
        <w:t xml:space="preserve"> that this does not amount to a denial of cross-examination.  Their simple </w:t>
      </w:r>
      <w:proofErr w:type="gramStart"/>
      <w:r w:rsidR="008A41F7" w:rsidRPr="00521DF2">
        <w:rPr>
          <w:sz w:val="28"/>
          <w:szCs w:val="28"/>
        </w:rPr>
        <w:t>denials was</w:t>
      </w:r>
      <w:proofErr w:type="gramEnd"/>
      <w:r w:rsidR="008A41F7" w:rsidRPr="00521DF2">
        <w:rPr>
          <w:sz w:val="28"/>
          <w:szCs w:val="28"/>
        </w:rPr>
        <w:t xml:space="preserve"> their way of putting their case to their accusers.  That in my view complies with the right to confront one’s accuser/s.  </w:t>
      </w:r>
      <w:proofErr w:type="spellStart"/>
      <w:proofErr w:type="gramStart"/>
      <w:r w:rsidR="008A41F7" w:rsidRPr="00521DF2">
        <w:rPr>
          <w:sz w:val="28"/>
          <w:szCs w:val="28"/>
        </w:rPr>
        <w:lastRenderedPageBreak/>
        <w:t>Moreso</w:t>
      </w:r>
      <w:proofErr w:type="spellEnd"/>
      <w:r w:rsidR="008A41F7" w:rsidRPr="00521DF2">
        <w:rPr>
          <w:sz w:val="28"/>
          <w:szCs w:val="28"/>
        </w:rPr>
        <w:t xml:space="preserve"> in the context of a quasi-judicial tribunal which does not have formal rules covering the examination of witnesses.</w:t>
      </w:r>
      <w:proofErr w:type="gramEnd"/>
    </w:p>
    <w:p w:rsidR="00521DF2" w:rsidRDefault="008A41F7" w:rsidP="00521DF2">
      <w:pPr>
        <w:spacing w:after="0" w:line="360" w:lineRule="auto"/>
        <w:rPr>
          <w:b/>
          <w:sz w:val="28"/>
          <w:szCs w:val="28"/>
          <w:u w:val="single"/>
        </w:rPr>
      </w:pPr>
      <w:r w:rsidRPr="00521DF2">
        <w:rPr>
          <w:b/>
          <w:sz w:val="28"/>
          <w:szCs w:val="28"/>
          <w:u w:val="single"/>
        </w:rPr>
        <w:t>Merits</w:t>
      </w:r>
    </w:p>
    <w:p w:rsidR="008A41F7" w:rsidRPr="00521DF2" w:rsidRDefault="008A41F7" w:rsidP="00521DF2">
      <w:pPr>
        <w:spacing w:after="0" w:line="360" w:lineRule="auto"/>
        <w:rPr>
          <w:b/>
          <w:sz w:val="28"/>
          <w:szCs w:val="28"/>
          <w:u w:val="single"/>
        </w:rPr>
      </w:pPr>
      <w:r w:rsidRPr="00521DF2">
        <w:rPr>
          <w:sz w:val="28"/>
          <w:szCs w:val="28"/>
        </w:rPr>
        <w:t xml:space="preserve">A security chain went missing from a storeroom.  After a search it was recovered under a passenger seat in a </w:t>
      </w:r>
      <w:r w:rsidR="00ED692D">
        <w:rPr>
          <w:sz w:val="28"/>
          <w:szCs w:val="28"/>
        </w:rPr>
        <w:t>vehicle that was being used by R</w:t>
      </w:r>
      <w:r w:rsidRPr="00521DF2">
        <w:rPr>
          <w:sz w:val="28"/>
          <w:szCs w:val="28"/>
        </w:rPr>
        <w:t xml:space="preserve">espondents.  One of the witnesses </w:t>
      </w:r>
      <w:proofErr w:type="spellStart"/>
      <w:r w:rsidRPr="00521DF2">
        <w:rPr>
          <w:sz w:val="28"/>
          <w:szCs w:val="28"/>
        </w:rPr>
        <w:t>Munyaradzi’s</w:t>
      </w:r>
      <w:proofErr w:type="spellEnd"/>
      <w:r w:rsidRPr="00521DF2">
        <w:rPr>
          <w:sz w:val="28"/>
          <w:szCs w:val="28"/>
        </w:rPr>
        <w:t xml:space="preserve"> evidence was recorded thus,</w:t>
      </w:r>
    </w:p>
    <w:p w:rsidR="008A41F7" w:rsidRPr="00521DF2" w:rsidRDefault="008A41F7" w:rsidP="008A41F7">
      <w:pPr>
        <w:spacing w:line="240" w:lineRule="auto"/>
        <w:ind w:left="1440"/>
        <w:rPr>
          <w:i/>
          <w:sz w:val="24"/>
          <w:szCs w:val="24"/>
        </w:rPr>
      </w:pPr>
      <w:r w:rsidRPr="00521DF2">
        <w:rPr>
          <w:i/>
          <w:sz w:val="24"/>
          <w:szCs w:val="24"/>
        </w:rPr>
        <w:t xml:space="preserve">“Whilst in storeroom Daniel picked the chain and put it into his pocket and they went out to the </w:t>
      </w:r>
      <w:proofErr w:type="gramStart"/>
      <w:r w:rsidRPr="00521DF2">
        <w:rPr>
          <w:i/>
          <w:sz w:val="24"/>
          <w:szCs w:val="24"/>
        </w:rPr>
        <w:t>car  together</w:t>
      </w:r>
      <w:proofErr w:type="gramEnd"/>
      <w:r w:rsidRPr="00521DF2">
        <w:rPr>
          <w:i/>
          <w:sz w:val="24"/>
          <w:szCs w:val="24"/>
        </w:rPr>
        <w:t xml:space="preserve">.  </w:t>
      </w:r>
      <w:proofErr w:type="spellStart"/>
      <w:r w:rsidRPr="00521DF2">
        <w:rPr>
          <w:i/>
          <w:sz w:val="24"/>
          <w:szCs w:val="24"/>
        </w:rPr>
        <w:t>Munyaradzi</w:t>
      </w:r>
      <w:proofErr w:type="spellEnd"/>
      <w:r w:rsidRPr="00521DF2">
        <w:rPr>
          <w:i/>
          <w:sz w:val="24"/>
          <w:szCs w:val="24"/>
        </w:rPr>
        <w:t xml:space="preserve"> said he saw Daniel putting the chain under the seat.”</w:t>
      </w:r>
    </w:p>
    <w:p w:rsidR="008A41F7" w:rsidRDefault="008A41F7" w:rsidP="008A41F7">
      <w:pPr>
        <w:spacing w:line="360" w:lineRule="auto"/>
        <w:rPr>
          <w:sz w:val="28"/>
          <w:szCs w:val="28"/>
        </w:rPr>
      </w:pPr>
      <w:proofErr w:type="spellStart"/>
      <w:r w:rsidRPr="00521DF2">
        <w:rPr>
          <w:sz w:val="28"/>
          <w:szCs w:val="28"/>
        </w:rPr>
        <w:t>Munyaradzi’s</w:t>
      </w:r>
      <w:proofErr w:type="spellEnd"/>
      <w:r w:rsidRPr="00521DF2">
        <w:rPr>
          <w:sz w:val="28"/>
          <w:szCs w:val="28"/>
        </w:rPr>
        <w:t xml:space="preserve"> evidence was corroborated by that of the guard named Gumbo who recovered the chain from respondents’ vehicle.  These facts lead to t</w:t>
      </w:r>
      <w:r w:rsidR="00ED692D">
        <w:rPr>
          <w:sz w:val="28"/>
          <w:szCs w:val="28"/>
        </w:rPr>
        <w:t>he irresistible inference that R</w:t>
      </w:r>
      <w:r w:rsidRPr="00521DF2">
        <w:rPr>
          <w:sz w:val="28"/>
          <w:szCs w:val="28"/>
        </w:rPr>
        <w:t>espondents stole the chain.  I consider that the disciplinary committee was right in returning a guilty verdict.  By</w:t>
      </w:r>
      <w:r w:rsidR="00521DF2" w:rsidRPr="00521DF2">
        <w:rPr>
          <w:sz w:val="28"/>
          <w:szCs w:val="28"/>
        </w:rPr>
        <w:t xml:space="preserve"> extension</w:t>
      </w:r>
      <w:r w:rsidR="00ED692D">
        <w:rPr>
          <w:sz w:val="28"/>
          <w:szCs w:val="28"/>
        </w:rPr>
        <w:t>,</w:t>
      </w:r>
      <w:r w:rsidR="00521DF2" w:rsidRPr="00521DF2">
        <w:rPr>
          <w:sz w:val="28"/>
          <w:szCs w:val="28"/>
        </w:rPr>
        <w:t xml:space="preserve"> I</w:t>
      </w:r>
      <w:r w:rsidRPr="00521DF2">
        <w:rPr>
          <w:sz w:val="28"/>
          <w:szCs w:val="28"/>
        </w:rPr>
        <w:t xml:space="preserve"> consider that the NEC grossly misdirected itself on the facts in discrediting </w:t>
      </w:r>
      <w:proofErr w:type="spellStart"/>
      <w:r w:rsidRPr="00521DF2">
        <w:rPr>
          <w:sz w:val="28"/>
          <w:szCs w:val="28"/>
        </w:rPr>
        <w:t>Munyara</w:t>
      </w:r>
      <w:r w:rsidR="00ED692D">
        <w:rPr>
          <w:sz w:val="28"/>
          <w:szCs w:val="28"/>
        </w:rPr>
        <w:t>dzi</w:t>
      </w:r>
      <w:r w:rsidRPr="00521DF2">
        <w:rPr>
          <w:sz w:val="28"/>
          <w:szCs w:val="28"/>
        </w:rPr>
        <w:t>’s</w:t>
      </w:r>
      <w:proofErr w:type="spellEnd"/>
      <w:r w:rsidRPr="00521DF2">
        <w:rPr>
          <w:sz w:val="28"/>
          <w:szCs w:val="28"/>
        </w:rPr>
        <w:t xml:space="preserve"> evidence.  </w:t>
      </w:r>
      <w:r w:rsidR="00ED692D">
        <w:rPr>
          <w:sz w:val="28"/>
          <w:szCs w:val="28"/>
        </w:rPr>
        <w:t>Its</w:t>
      </w:r>
      <w:r w:rsidRPr="00521DF2">
        <w:rPr>
          <w:sz w:val="28"/>
          <w:szCs w:val="28"/>
        </w:rPr>
        <w:t xml:space="preserve"> determination cannot stand.</w:t>
      </w:r>
    </w:p>
    <w:p w:rsidR="00ED692D" w:rsidRPr="00521DF2" w:rsidRDefault="00ED692D" w:rsidP="008A41F7">
      <w:pPr>
        <w:spacing w:line="360" w:lineRule="auto"/>
        <w:rPr>
          <w:sz w:val="28"/>
          <w:szCs w:val="28"/>
        </w:rPr>
      </w:pPr>
    </w:p>
    <w:p w:rsidR="00521DF2" w:rsidRPr="00521DF2" w:rsidRDefault="00521DF2" w:rsidP="008A41F7">
      <w:pPr>
        <w:spacing w:line="360" w:lineRule="auto"/>
        <w:rPr>
          <w:b/>
          <w:sz w:val="28"/>
          <w:szCs w:val="28"/>
        </w:rPr>
      </w:pPr>
      <w:r w:rsidRPr="00521DF2">
        <w:rPr>
          <w:b/>
          <w:sz w:val="28"/>
          <w:szCs w:val="28"/>
        </w:rPr>
        <w:t>Wherefore it is ordered that,</w:t>
      </w:r>
    </w:p>
    <w:p w:rsidR="00521DF2" w:rsidRPr="00521DF2" w:rsidRDefault="00521DF2" w:rsidP="00521DF2">
      <w:pPr>
        <w:pStyle w:val="ListParagraph"/>
        <w:numPr>
          <w:ilvl w:val="0"/>
          <w:numId w:val="1"/>
        </w:numPr>
        <w:spacing w:line="360" w:lineRule="auto"/>
        <w:rPr>
          <w:sz w:val="28"/>
          <w:szCs w:val="28"/>
        </w:rPr>
      </w:pPr>
      <w:r w:rsidRPr="00521DF2">
        <w:rPr>
          <w:sz w:val="28"/>
          <w:szCs w:val="28"/>
        </w:rPr>
        <w:t xml:space="preserve"> The appeal </w:t>
      </w:r>
      <w:r w:rsidR="00ED692D">
        <w:rPr>
          <w:sz w:val="28"/>
          <w:szCs w:val="28"/>
        </w:rPr>
        <w:t>be and is hereby</w:t>
      </w:r>
      <w:r w:rsidRPr="00521DF2">
        <w:rPr>
          <w:sz w:val="28"/>
          <w:szCs w:val="28"/>
        </w:rPr>
        <w:t xml:space="preserve"> allowed; and</w:t>
      </w:r>
    </w:p>
    <w:p w:rsidR="00521DF2" w:rsidRPr="00521DF2" w:rsidRDefault="00521DF2" w:rsidP="00521DF2">
      <w:pPr>
        <w:pStyle w:val="ListParagraph"/>
        <w:numPr>
          <w:ilvl w:val="0"/>
          <w:numId w:val="1"/>
        </w:numPr>
        <w:spacing w:line="360" w:lineRule="auto"/>
        <w:rPr>
          <w:sz w:val="28"/>
          <w:szCs w:val="28"/>
        </w:rPr>
      </w:pPr>
      <w:r w:rsidRPr="00521DF2">
        <w:rPr>
          <w:sz w:val="28"/>
          <w:szCs w:val="28"/>
        </w:rPr>
        <w:t>The determination of the Appeals Board of the NEC Banking Undertaking dated 30 April 2013 is hereby set aside; and</w:t>
      </w:r>
    </w:p>
    <w:p w:rsidR="00521DF2" w:rsidRPr="00521DF2" w:rsidRDefault="00521DF2" w:rsidP="00521DF2">
      <w:pPr>
        <w:pStyle w:val="ListParagraph"/>
        <w:numPr>
          <w:ilvl w:val="0"/>
          <w:numId w:val="1"/>
        </w:numPr>
        <w:spacing w:line="360" w:lineRule="auto"/>
        <w:rPr>
          <w:sz w:val="28"/>
          <w:szCs w:val="28"/>
        </w:rPr>
      </w:pPr>
      <w:r w:rsidRPr="00521DF2">
        <w:rPr>
          <w:sz w:val="28"/>
          <w:szCs w:val="28"/>
        </w:rPr>
        <w:t>Each party shall bear its own costs.</w:t>
      </w:r>
    </w:p>
    <w:p w:rsidR="00521DF2" w:rsidRPr="00521DF2" w:rsidRDefault="00521DF2" w:rsidP="00521DF2">
      <w:pPr>
        <w:spacing w:line="360" w:lineRule="auto"/>
        <w:rPr>
          <w:sz w:val="28"/>
          <w:szCs w:val="28"/>
        </w:rPr>
      </w:pPr>
    </w:p>
    <w:p w:rsidR="00521DF2" w:rsidRPr="00521DF2" w:rsidRDefault="00521DF2" w:rsidP="00521DF2">
      <w:pPr>
        <w:spacing w:after="0" w:line="240" w:lineRule="auto"/>
        <w:ind w:left="3600" w:firstLine="720"/>
        <w:rPr>
          <w:b/>
          <w:sz w:val="28"/>
          <w:szCs w:val="28"/>
        </w:rPr>
      </w:pPr>
      <w:r w:rsidRPr="00521DF2">
        <w:rPr>
          <w:b/>
          <w:sz w:val="28"/>
          <w:szCs w:val="28"/>
        </w:rPr>
        <w:t>G. MUSARIRI</w:t>
      </w:r>
    </w:p>
    <w:p w:rsidR="00521DF2" w:rsidRPr="00521DF2" w:rsidRDefault="00521DF2" w:rsidP="00521DF2">
      <w:pPr>
        <w:spacing w:after="0" w:line="240" w:lineRule="auto"/>
        <w:ind w:left="4320"/>
        <w:rPr>
          <w:b/>
          <w:sz w:val="28"/>
          <w:szCs w:val="28"/>
          <w:u w:val="single"/>
        </w:rPr>
      </w:pPr>
      <w:r w:rsidRPr="00521DF2">
        <w:rPr>
          <w:b/>
          <w:sz w:val="28"/>
          <w:szCs w:val="28"/>
          <w:u w:val="single"/>
        </w:rPr>
        <w:t>J U D G E</w:t>
      </w:r>
    </w:p>
    <w:p w:rsidR="00490DEA" w:rsidRPr="00521DF2" w:rsidRDefault="00490DEA" w:rsidP="00521DF2">
      <w:pPr>
        <w:spacing w:after="0" w:line="360" w:lineRule="auto"/>
        <w:rPr>
          <w:sz w:val="28"/>
          <w:szCs w:val="28"/>
        </w:rPr>
      </w:pPr>
    </w:p>
    <w:sectPr w:rsidR="00490DEA" w:rsidRPr="00521DF2" w:rsidSect="00DE22C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2EF" w:rsidRDefault="00C922EF" w:rsidP="00DE22C0">
      <w:pPr>
        <w:spacing w:after="0" w:line="240" w:lineRule="auto"/>
      </w:pPr>
      <w:r>
        <w:separator/>
      </w:r>
    </w:p>
  </w:endnote>
  <w:endnote w:type="continuationSeparator" w:id="0">
    <w:p w:rsidR="00C922EF" w:rsidRDefault="00C922EF" w:rsidP="00DE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662"/>
      <w:docPartObj>
        <w:docPartGallery w:val="Page Numbers (Bottom of Page)"/>
        <w:docPartUnique/>
      </w:docPartObj>
    </w:sdtPr>
    <w:sdtEndPr/>
    <w:sdtContent>
      <w:p w:rsidR="008A41F7" w:rsidRDefault="00BD6872">
        <w:pPr>
          <w:pStyle w:val="Footer"/>
          <w:jc w:val="right"/>
        </w:pPr>
        <w:r>
          <w:fldChar w:fldCharType="begin"/>
        </w:r>
        <w:r>
          <w:instrText xml:space="preserve"> PAGE   \* MERGEFORMAT </w:instrText>
        </w:r>
        <w:r>
          <w:fldChar w:fldCharType="separate"/>
        </w:r>
        <w:r w:rsidR="008618F3">
          <w:rPr>
            <w:noProof/>
          </w:rPr>
          <w:t>3</w:t>
        </w:r>
        <w:r>
          <w:rPr>
            <w:noProof/>
          </w:rPr>
          <w:fldChar w:fldCharType="end"/>
        </w:r>
      </w:p>
    </w:sdtContent>
  </w:sdt>
  <w:p w:rsidR="008A41F7" w:rsidRDefault="008A4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2EF" w:rsidRDefault="00C922EF" w:rsidP="00DE22C0">
      <w:pPr>
        <w:spacing w:after="0" w:line="240" w:lineRule="auto"/>
      </w:pPr>
      <w:r>
        <w:separator/>
      </w:r>
    </w:p>
  </w:footnote>
  <w:footnote w:type="continuationSeparator" w:id="0">
    <w:p w:rsidR="00C922EF" w:rsidRDefault="00C922EF" w:rsidP="00DE2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1F7" w:rsidRDefault="008618F3" w:rsidP="008618F3">
    <w:pPr>
      <w:spacing w:after="0" w:line="360" w:lineRule="auto"/>
      <w:ind w:left="5760"/>
      <w:jc w:val="both"/>
      <w:rPr>
        <w:b/>
        <w:sz w:val="24"/>
        <w:szCs w:val="24"/>
      </w:rPr>
    </w:pPr>
    <w:r>
      <w:rPr>
        <w:b/>
        <w:sz w:val="24"/>
        <w:szCs w:val="24"/>
      </w:rPr>
      <w:t xml:space="preserve">  </w:t>
    </w:r>
    <w:r w:rsidR="008A41F7">
      <w:rPr>
        <w:b/>
        <w:sz w:val="24"/>
        <w:szCs w:val="24"/>
      </w:rPr>
      <w:t>JUDGMENT NO LC/H/</w:t>
    </w:r>
    <w:r>
      <w:rPr>
        <w:b/>
        <w:sz w:val="24"/>
        <w:szCs w:val="24"/>
      </w:rPr>
      <w:t>292</w:t>
    </w:r>
    <w:r w:rsidR="008A41F7">
      <w:rPr>
        <w:b/>
        <w:sz w:val="24"/>
        <w:szCs w:val="24"/>
      </w:rPr>
      <w:t>/14</w:t>
    </w:r>
  </w:p>
  <w:p w:rsidR="008A41F7" w:rsidRDefault="008A4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32927"/>
    <w:multiLevelType w:val="hybridMultilevel"/>
    <w:tmpl w:val="5C1E69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8B"/>
    <w:rsid w:val="00000B5F"/>
    <w:rsid w:val="00050B8C"/>
    <w:rsid w:val="0009259B"/>
    <w:rsid w:val="000D3DD1"/>
    <w:rsid w:val="00115FB9"/>
    <w:rsid w:val="00146F8B"/>
    <w:rsid w:val="00273240"/>
    <w:rsid w:val="002F1241"/>
    <w:rsid w:val="00490DEA"/>
    <w:rsid w:val="004D51D4"/>
    <w:rsid w:val="00521DF2"/>
    <w:rsid w:val="00847CDC"/>
    <w:rsid w:val="00855282"/>
    <w:rsid w:val="008618F3"/>
    <w:rsid w:val="008A41F7"/>
    <w:rsid w:val="00BD6872"/>
    <w:rsid w:val="00C922EF"/>
    <w:rsid w:val="00CD3D01"/>
    <w:rsid w:val="00DE22C0"/>
    <w:rsid w:val="00E73BE8"/>
    <w:rsid w:val="00EC527D"/>
    <w:rsid w:val="00ED69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2C0"/>
  </w:style>
  <w:style w:type="paragraph" w:styleId="Footer">
    <w:name w:val="footer"/>
    <w:basedOn w:val="Normal"/>
    <w:link w:val="FooterChar"/>
    <w:uiPriority w:val="99"/>
    <w:unhideWhenUsed/>
    <w:rsid w:val="00DE2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2C0"/>
  </w:style>
  <w:style w:type="paragraph" w:styleId="ListParagraph">
    <w:name w:val="List Paragraph"/>
    <w:basedOn w:val="Normal"/>
    <w:uiPriority w:val="34"/>
    <w:qFormat/>
    <w:rsid w:val="00521D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2C0"/>
  </w:style>
  <w:style w:type="paragraph" w:styleId="Footer">
    <w:name w:val="footer"/>
    <w:basedOn w:val="Normal"/>
    <w:link w:val="FooterChar"/>
    <w:uiPriority w:val="99"/>
    <w:unhideWhenUsed/>
    <w:rsid w:val="00DE2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2C0"/>
  </w:style>
  <w:style w:type="paragraph" w:styleId="ListParagraph">
    <w:name w:val="List Paragraph"/>
    <w:basedOn w:val="Normal"/>
    <w:uiPriority w:val="34"/>
    <w:qFormat/>
    <w:rsid w:val="00521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Labour Court</cp:lastModifiedBy>
  <cp:revision>3</cp:revision>
  <cp:lastPrinted>2014-05-16T10:41:00Z</cp:lastPrinted>
  <dcterms:created xsi:type="dcterms:W3CDTF">2014-05-19T12:25:00Z</dcterms:created>
  <dcterms:modified xsi:type="dcterms:W3CDTF">2014-05-19T13:00:00Z</dcterms:modified>
</cp:coreProperties>
</file>