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8C5" w:rsidRPr="00D10188" w:rsidRDefault="00D148C5" w:rsidP="00D148C5">
      <w:pPr>
        <w:pStyle w:val="NoSpacing"/>
        <w:jc w:val="both"/>
        <w:rPr>
          <w:b/>
          <w:szCs w:val="24"/>
        </w:rPr>
      </w:pPr>
      <w:r>
        <w:rPr>
          <w:b/>
          <w:szCs w:val="24"/>
        </w:rPr>
        <w:t xml:space="preserve">TECHMATE ENGINEERING </w:t>
      </w:r>
      <w:r w:rsidR="00390F81">
        <w:rPr>
          <w:b/>
          <w:szCs w:val="24"/>
        </w:rPr>
        <w:t xml:space="preserve">(PVT) LTD </w:t>
      </w:r>
    </w:p>
    <w:p w:rsidR="00D148C5" w:rsidRPr="00D10188" w:rsidRDefault="00D148C5" w:rsidP="00D148C5">
      <w:pPr>
        <w:pStyle w:val="NoSpacing"/>
        <w:jc w:val="both"/>
        <w:rPr>
          <w:b/>
          <w:szCs w:val="24"/>
        </w:rPr>
      </w:pPr>
    </w:p>
    <w:p w:rsidR="00D148C5" w:rsidRPr="00D10188" w:rsidRDefault="00D148C5" w:rsidP="00D148C5">
      <w:pPr>
        <w:pStyle w:val="NoSpacing"/>
        <w:jc w:val="both"/>
        <w:rPr>
          <w:b/>
          <w:szCs w:val="24"/>
        </w:rPr>
      </w:pPr>
      <w:r w:rsidRPr="00D10188">
        <w:rPr>
          <w:b/>
          <w:szCs w:val="24"/>
        </w:rPr>
        <w:t>Versus</w:t>
      </w:r>
    </w:p>
    <w:p w:rsidR="00D148C5" w:rsidRPr="00D10188" w:rsidRDefault="00D148C5" w:rsidP="00D148C5">
      <w:pPr>
        <w:pStyle w:val="NoSpacing"/>
        <w:jc w:val="both"/>
        <w:rPr>
          <w:b/>
          <w:szCs w:val="24"/>
        </w:rPr>
      </w:pPr>
    </w:p>
    <w:p w:rsidR="00D148C5" w:rsidRDefault="00390F81" w:rsidP="00D148C5">
      <w:pPr>
        <w:pStyle w:val="NoSpacing"/>
        <w:jc w:val="both"/>
        <w:rPr>
          <w:b/>
          <w:szCs w:val="24"/>
        </w:rPr>
      </w:pPr>
      <w:r>
        <w:rPr>
          <w:b/>
          <w:szCs w:val="24"/>
        </w:rPr>
        <w:t xml:space="preserve">PROVINCIAL MINING DIRECTOR, GWANDA N.O. </w:t>
      </w:r>
    </w:p>
    <w:p w:rsidR="00390F81" w:rsidRDefault="00390F81" w:rsidP="00D148C5">
      <w:pPr>
        <w:pStyle w:val="NoSpacing"/>
        <w:jc w:val="both"/>
        <w:rPr>
          <w:b/>
          <w:szCs w:val="24"/>
        </w:rPr>
      </w:pPr>
    </w:p>
    <w:p w:rsidR="00390F81" w:rsidRDefault="00390F81" w:rsidP="00D148C5">
      <w:pPr>
        <w:pStyle w:val="NoSpacing"/>
        <w:jc w:val="both"/>
        <w:rPr>
          <w:b/>
          <w:szCs w:val="24"/>
        </w:rPr>
      </w:pPr>
      <w:r>
        <w:rPr>
          <w:b/>
          <w:szCs w:val="24"/>
        </w:rPr>
        <w:t xml:space="preserve">And </w:t>
      </w:r>
    </w:p>
    <w:p w:rsidR="00390F81" w:rsidRDefault="00390F81" w:rsidP="00D148C5">
      <w:pPr>
        <w:pStyle w:val="NoSpacing"/>
        <w:jc w:val="both"/>
        <w:rPr>
          <w:b/>
          <w:szCs w:val="24"/>
        </w:rPr>
      </w:pPr>
    </w:p>
    <w:p w:rsidR="00390F81" w:rsidRPr="00D10188" w:rsidRDefault="00390F81" w:rsidP="00D148C5">
      <w:pPr>
        <w:pStyle w:val="NoSpacing"/>
        <w:jc w:val="both"/>
        <w:rPr>
          <w:b/>
          <w:szCs w:val="24"/>
        </w:rPr>
      </w:pPr>
      <w:r>
        <w:rPr>
          <w:b/>
          <w:szCs w:val="24"/>
        </w:rPr>
        <w:t xml:space="preserve">WHITE NILE </w:t>
      </w:r>
    </w:p>
    <w:p w:rsidR="00D148C5" w:rsidRPr="00D10188" w:rsidRDefault="00D148C5" w:rsidP="00D148C5">
      <w:pPr>
        <w:pStyle w:val="NoSpacing"/>
        <w:jc w:val="both"/>
        <w:rPr>
          <w:b/>
          <w:szCs w:val="24"/>
        </w:rPr>
      </w:pPr>
    </w:p>
    <w:p w:rsidR="00D148C5" w:rsidRPr="00D10188" w:rsidRDefault="00D148C5" w:rsidP="00D148C5">
      <w:pPr>
        <w:pStyle w:val="NoSpacing"/>
        <w:jc w:val="both"/>
        <w:rPr>
          <w:szCs w:val="24"/>
        </w:rPr>
      </w:pPr>
      <w:r w:rsidRPr="00D10188">
        <w:rPr>
          <w:szCs w:val="24"/>
        </w:rPr>
        <w:t>IN THE HIGH COURT OF ZIMBABWE</w:t>
      </w:r>
    </w:p>
    <w:p w:rsidR="00D148C5" w:rsidRPr="00D10188" w:rsidRDefault="00390F81" w:rsidP="00D148C5">
      <w:pPr>
        <w:pStyle w:val="NoSpacing"/>
        <w:jc w:val="both"/>
        <w:rPr>
          <w:szCs w:val="24"/>
        </w:rPr>
      </w:pPr>
      <w:r>
        <w:rPr>
          <w:szCs w:val="24"/>
        </w:rPr>
        <w:t>DUBE-BANDA</w:t>
      </w:r>
      <w:r w:rsidR="00D148C5" w:rsidRPr="00D10188">
        <w:rPr>
          <w:szCs w:val="24"/>
        </w:rPr>
        <w:t xml:space="preserve"> J</w:t>
      </w:r>
    </w:p>
    <w:p w:rsidR="00D148C5" w:rsidRPr="00D10188" w:rsidRDefault="00C121E6" w:rsidP="00D148C5">
      <w:pPr>
        <w:pStyle w:val="NoSpacing"/>
        <w:jc w:val="both"/>
        <w:rPr>
          <w:szCs w:val="24"/>
        </w:rPr>
      </w:pPr>
      <w:r>
        <w:rPr>
          <w:szCs w:val="24"/>
        </w:rPr>
        <w:t>BULAWAYO 10 MAY 2022 &amp; 2 JUNE</w:t>
      </w:r>
      <w:r w:rsidR="0052242C">
        <w:rPr>
          <w:szCs w:val="24"/>
        </w:rPr>
        <w:t xml:space="preserve"> 2022</w:t>
      </w:r>
    </w:p>
    <w:p w:rsidR="00D148C5" w:rsidRPr="00D10188" w:rsidRDefault="00D148C5" w:rsidP="00D148C5">
      <w:pPr>
        <w:pStyle w:val="NoSpacing"/>
        <w:jc w:val="both"/>
        <w:rPr>
          <w:szCs w:val="24"/>
        </w:rPr>
      </w:pPr>
    </w:p>
    <w:p w:rsidR="00D148C5" w:rsidRPr="00D10188" w:rsidRDefault="00D148C5" w:rsidP="00D148C5">
      <w:pPr>
        <w:pStyle w:val="NoSpacing"/>
        <w:jc w:val="both"/>
        <w:rPr>
          <w:b/>
          <w:szCs w:val="24"/>
        </w:rPr>
      </w:pPr>
      <w:r w:rsidRPr="00D10188">
        <w:rPr>
          <w:b/>
          <w:szCs w:val="24"/>
        </w:rPr>
        <w:t>App</w:t>
      </w:r>
      <w:r w:rsidR="0052242C">
        <w:rPr>
          <w:b/>
          <w:szCs w:val="24"/>
        </w:rPr>
        <w:t xml:space="preserve">lication for review </w:t>
      </w:r>
    </w:p>
    <w:p w:rsidR="00D148C5" w:rsidRPr="00D10188" w:rsidRDefault="00D148C5" w:rsidP="00D148C5">
      <w:pPr>
        <w:pStyle w:val="NoSpacing"/>
        <w:jc w:val="both"/>
        <w:rPr>
          <w:szCs w:val="24"/>
        </w:rPr>
      </w:pPr>
    </w:p>
    <w:p w:rsidR="00D148C5" w:rsidRPr="00D10188" w:rsidRDefault="0052242C" w:rsidP="00D148C5">
      <w:pPr>
        <w:pStyle w:val="NoSpacing"/>
        <w:jc w:val="both"/>
        <w:rPr>
          <w:szCs w:val="24"/>
        </w:rPr>
      </w:pPr>
      <w:r>
        <w:rPr>
          <w:i/>
          <w:szCs w:val="24"/>
        </w:rPr>
        <w:t xml:space="preserve">B.C. </w:t>
      </w:r>
      <w:proofErr w:type="spellStart"/>
      <w:r>
        <w:rPr>
          <w:i/>
          <w:szCs w:val="24"/>
        </w:rPr>
        <w:t>Dube</w:t>
      </w:r>
      <w:proofErr w:type="spellEnd"/>
      <w:r w:rsidR="00252998">
        <w:rPr>
          <w:i/>
          <w:szCs w:val="24"/>
        </w:rPr>
        <w:t>,</w:t>
      </w:r>
      <w:r w:rsidR="00D148C5" w:rsidRPr="00D10188">
        <w:rPr>
          <w:szCs w:val="24"/>
        </w:rPr>
        <w:t xml:space="preserve"> for the applicant</w:t>
      </w:r>
      <w:bookmarkStart w:id="0" w:name="_GoBack"/>
      <w:bookmarkEnd w:id="0"/>
    </w:p>
    <w:p w:rsidR="00D148C5" w:rsidRDefault="0052242C" w:rsidP="00D148C5">
      <w:pPr>
        <w:pStyle w:val="NoSpacing"/>
        <w:jc w:val="both"/>
        <w:rPr>
          <w:szCs w:val="24"/>
        </w:rPr>
      </w:pPr>
      <w:r>
        <w:rPr>
          <w:i/>
          <w:szCs w:val="24"/>
        </w:rPr>
        <w:t xml:space="preserve">D. </w:t>
      </w:r>
      <w:proofErr w:type="spellStart"/>
      <w:r>
        <w:rPr>
          <w:i/>
          <w:szCs w:val="24"/>
        </w:rPr>
        <w:t>Dube</w:t>
      </w:r>
      <w:proofErr w:type="spellEnd"/>
      <w:r w:rsidR="00252998">
        <w:rPr>
          <w:i/>
          <w:szCs w:val="24"/>
        </w:rPr>
        <w:t>,</w:t>
      </w:r>
      <w:r>
        <w:rPr>
          <w:i/>
          <w:szCs w:val="24"/>
        </w:rPr>
        <w:t xml:space="preserve"> </w:t>
      </w:r>
      <w:r w:rsidR="00D148C5" w:rsidRPr="00D10188">
        <w:rPr>
          <w:szCs w:val="24"/>
        </w:rPr>
        <w:t xml:space="preserve">for the </w:t>
      </w:r>
      <w:r w:rsidR="0072267A">
        <w:rPr>
          <w:szCs w:val="24"/>
        </w:rPr>
        <w:t>2</w:t>
      </w:r>
      <w:r w:rsidR="0072267A" w:rsidRPr="0072267A">
        <w:rPr>
          <w:szCs w:val="24"/>
          <w:vertAlign w:val="superscript"/>
        </w:rPr>
        <w:t>nd</w:t>
      </w:r>
      <w:r w:rsidR="0072267A">
        <w:rPr>
          <w:szCs w:val="24"/>
        </w:rPr>
        <w:t xml:space="preserve"> </w:t>
      </w:r>
      <w:r w:rsidR="00D148C5" w:rsidRPr="00D10188">
        <w:rPr>
          <w:szCs w:val="24"/>
        </w:rPr>
        <w:t>respondent</w:t>
      </w:r>
    </w:p>
    <w:p w:rsidR="00B51966" w:rsidRDefault="00B51966" w:rsidP="00D148C5">
      <w:pPr>
        <w:pStyle w:val="NoSpacing"/>
        <w:jc w:val="both"/>
        <w:rPr>
          <w:szCs w:val="24"/>
        </w:rPr>
      </w:pPr>
    </w:p>
    <w:p w:rsidR="00B51966" w:rsidRPr="00C96DA3" w:rsidRDefault="00C96DA3" w:rsidP="00D148C5">
      <w:pPr>
        <w:pStyle w:val="NoSpacing"/>
        <w:jc w:val="both"/>
        <w:rPr>
          <w:b/>
          <w:szCs w:val="24"/>
        </w:rPr>
      </w:pPr>
      <w:r w:rsidRPr="00C96DA3">
        <w:rPr>
          <w:b/>
          <w:szCs w:val="24"/>
        </w:rPr>
        <w:t>DUBE-BANDA J</w:t>
      </w:r>
    </w:p>
    <w:p w:rsidR="00C96DA3" w:rsidRPr="00C96DA3" w:rsidRDefault="00C96DA3" w:rsidP="00D148C5">
      <w:pPr>
        <w:pStyle w:val="NoSpacing"/>
        <w:jc w:val="both"/>
        <w:rPr>
          <w:b/>
          <w:szCs w:val="24"/>
        </w:rPr>
      </w:pPr>
    </w:p>
    <w:p w:rsidR="00B51966" w:rsidRDefault="00B51966" w:rsidP="00D148C5">
      <w:pPr>
        <w:pStyle w:val="NoSpacing"/>
        <w:jc w:val="both"/>
        <w:rPr>
          <w:b/>
          <w:szCs w:val="24"/>
        </w:rPr>
      </w:pPr>
      <w:r w:rsidRPr="00B51966">
        <w:rPr>
          <w:b/>
          <w:szCs w:val="24"/>
        </w:rPr>
        <w:t xml:space="preserve">Introduction </w:t>
      </w:r>
    </w:p>
    <w:p w:rsidR="00D32039" w:rsidRDefault="00D32039" w:rsidP="00D148C5">
      <w:pPr>
        <w:pStyle w:val="NoSpacing"/>
        <w:jc w:val="both"/>
        <w:rPr>
          <w:b/>
          <w:szCs w:val="24"/>
        </w:rPr>
      </w:pPr>
    </w:p>
    <w:p w:rsidR="00B2295C" w:rsidRDefault="00D32039" w:rsidP="00B2295C">
      <w:pPr>
        <w:pStyle w:val="NoSpacing"/>
        <w:numPr>
          <w:ilvl w:val="0"/>
          <w:numId w:val="2"/>
        </w:numPr>
        <w:spacing w:line="360" w:lineRule="auto"/>
        <w:jc w:val="both"/>
        <w:rPr>
          <w:rFonts w:cs="Arial"/>
          <w:bCs/>
        </w:rPr>
      </w:pPr>
      <w:r w:rsidRPr="00D32039">
        <w:rPr>
          <w:rFonts w:cs="Arial"/>
          <w:bCs/>
          <w:szCs w:val="24"/>
        </w:rPr>
        <w:t>This is a review appl</w:t>
      </w:r>
      <w:r w:rsidR="00C76997">
        <w:rPr>
          <w:rFonts w:cs="Arial"/>
          <w:bCs/>
          <w:szCs w:val="24"/>
        </w:rPr>
        <w:t xml:space="preserve">ication, brought in terms of section 27 of the High Court Act [Chapter 7:06], as read with rule 62 of the High Court Rules, 2021. </w:t>
      </w:r>
      <w:r w:rsidR="005A37F2">
        <w:rPr>
          <w:rFonts w:cs="Arial"/>
          <w:bCs/>
          <w:szCs w:val="24"/>
        </w:rPr>
        <w:t>Applicant</w:t>
      </w:r>
      <w:r w:rsidR="001D003E">
        <w:rPr>
          <w:rFonts w:cs="Arial"/>
          <w:bCs/>
          <w:szCs w:val="24"/>
        </w:rPr>
        <w:t xml:space="preserve"> </w:t>
      </w:r>
      <w:r w:rsidR="001D003E" w:rsidRPr="002364D2">
        <w:rPr>
          <w:rFonts w:cs="Arial"/>
          <w:bCs/>
        </w:rPr>
        <w:t>seeks to chal</w:t>
      </w:r>
      <w:r w:rsidR="004069B7">
        <w:rPr>
          <w:rFonts w:cs="Arial"/>
          <w:bCs/>
        </w:rPr>
        <w:t>lenge the decision of the 1</w:t>
      </w:r>
      <w:r w:rsidR="004069B7" w:rsidRPr="004069B7">
        <w:rPr>
          <w:rFonts w:cs="Arial"/>
          <w:bCs/>
          <w:vertAlign w:val="superscript"/>
        </w:rPr>
        <w:t>st</w:t>
      </w:r>
      <w:r w:rsidR="004069B7">
        <w:rPr>
          <w:rFonts w:cs="Arial"/>
          <w:bCs/>
        </w:rPr>
        <w:t xml:space="preserve"> </w:t>
      </w:r>
      <w:r w:rsidR="001D003E" w:rsidRPr="002364D2">
        <w:rPr>
          <w:rFonts w:cs="Arial"/>
          <w:bCs/>
        </w:rPr>
        <w:t>respondent</w:t>
      </w:r>
      <w:r w:rsidR="005A37F2">
        <w:rPr>
          <w:rFonts w:cs="Arial"/>
          <w:bCs/>
        </w:rPr>
        <w:t xml:space="preserve"> made on the 19 October 2021.</w:t>
      </w:r>
    </w:p>
    <w:p w:rsidR="00381403" w:rsidRDefault="00B2295C" w:rsidP="00B2295C">
      <w:pPr>
        <w:pStyle w:val="NoSpacing"/>
        <w:spacing w:line="360" w:lineRule="auto"/>
        <w:ind w:left="720"/>
        <w:jc w:val="both"/>
        <w:rPr>
          <w:rFonts w:cs="Arial"/>
          <w:bCs/>
        </w:rPr>
      </w:pPr>
      <w:r>
        <w:rPr>
          <w:rFonts w:cs="Arial"/>
          <w:bCs/>
        </w:rPr>
        <w:t xml:space="preserve"> </w:t>
      </w:r>
    </w:p>
    <w:p w:rsidR="00381403" w:rsidRPr="004C1CCD" w:rsidRDefault="0077354D" w:rsidP="00381403">
      <w:pPr>
        <w:pStyle w:val="NoSpacing"/>
        <w:numPr>
          <w:ilvl w:val="0"/>
          <w:numId w:val="2"/>
        </w:numPr>
        <w:spacing w:line="360" w:lineRule="auto"/>
        <w:jc w:val="both"/>
        <w:rPr>
          <w:b/>
          <w:szCs w:val="24"/>
        </w:rPr>
      </w:pPr>
      <w:r>
        <w:rPr>
          <w:rFonts w:cs="Arial"/>
          <w:bCs/>
        </w:rPr>
        <w:t xml:space="preserve">Applicant seeks </w:t>
      </w:r>
      <w:r w:rsidR="0071622E">
        <w:rPr>
          <w:rFonts w:cs="Arial"/>
          <w:bCs/>
        </w:rPr>
        <w:t>an</w:t>
      </w:r>
      <w:r w:rsidR="00C121E6">
        <w:rPr>
          <w:rFonts w:cs="Arial"/>
          <w:bCs/>
        </w:rPr>
        <w:t xml:space="preserve"> order couched in the follo</w:t>
      </w:r>
      <w:r w:rsidR="00722E4A">
        <w:rPr>
          <w:rFonts w:cs="Arial"/>
          <w:bCs/>
        </w:rPr>
        <w:t xml:space="preserve">wing terms: </w:t>
      </w:r>
    </w:p>
    <w:p w:rsidR="004C1CCD" w:rsidRPr="0077354D" w:rsidRDefault="004C1CCD" w:rsidP="004C1CCD">
      <w:pPr>
        <w:pStyle w:val="NoSpacing"/>
        <w:spacing w:line="360" w:lineRule="auto"/>
        <w:ind w:left="720"/>
        <w:jc w:val="both"/>
        <w:rPr>
          <w:b/>
          <w:szCs w:val="24"/>
        </w:rPr>
      </w:pPr>
    </w:p>
    <w:p w:rsidR="0077354D" w:rsidRPr="0077354D" w:rsidRDefault="0077354D" w:rsidP="003021F4">
      <w:pPr>
        <w:pStyle w:val="NoSpacing"/>
        <w:numPr>
          <w:ilvl w:val="0"/>
          <w:numId w:val="3"/>
        </w:numPr>
        <w:spacing w:line="360" w:lineRule="auto"/>
        <w:jc w:val="both"/>
        <w:rPr>
          <w:b/>
          <w:szCs w:val="24"/>
        </w:rPr>
      </w:pPr>
      <w:r>
        <w:rPr>
          <w:rFonts w:cs="Arial"/>
          <w:bCs/>
        </w:rPr>
        <w:t xml:space="preserve">The application for review be and </w:t>
      </w:r>
      <w:r w:rsidR="004C1CCD">
        <w:rPr>
          <w:rFonts w:cs="Arial"/>
          <w:bCs/>
        </w:rPr>
        <w:t xml:space="preserve">hereby succeeds. </w:t>
      </w:r>
    </w:p>
    <w:p w:rsidR="0077354D" w:rsidRDefault="004C1CCD" w:rsidP="0077354D">
      <w:pPr>
        <w:pStyle w:val="NoSpacing"/>
        <w:numPr>
          <w:ilvl w:val="0"/>
          <w:numId w:val="3"/>
        </w:numPr>
        <w:spacing w:line="360" w:lineRule="auto"/>
        <w:jc w:val="both"/>
        <w:rPr>
          <w:szCs w:val="24"/>
        </w:rPr>
      </w:pPr>
      <w:r w:rsidRPr="004C1CCD">
        <w:rPr>
          <w:szCs w:val="24"/>
        </w:rPr>
        <w:t xml:space="preserve">The </w:t>
      </w:r>
      <w:r>
        <w:rPr>
          <w:szCs w:val="24"/>
        </w:rPr>
        <w:t>decision of the 1</w:t>
      </w:r>
      <w:r w:rsidRPr="004C1CCD">
        <w:rPr>
          <w:szCs w:val="24"/>
          <w:vertAlign w:val="superscript"/>
        </w:rPr>
        <w:t>st</w:t>
      </w:r>
      <w:r>
        <w:rPr>
          <w:szCs w:val="24"/>
        </w:rPr>
        <w:t xml:space="preserve"> respondent dated 19 October 2021, in respect of the dispute between applicant and 2</w:t>
      </w:r>
      <w:r w:rsidRPr="004C1CCD">
        <w:rPr>
          <w:szCs w:val="24"/>
          <w:vertAlign w:val="superscript"/>
        </w:rPr>
        <w:t>nd</w:t>
      </w:r>
      <w:r>
        <w:rPr>
          <w:szCs w:val="24"/>
        </w:rPr>
        <w:t xml:space="preserve"> respondent under Ref: MATSOUTH/2/619/91</w:t>
      </w:r>
      <w:r w:rsidR="00637003">
        <w:rPr>
          <w:szCs w:val="24"/>
        </w:rPr>
        <w:t>/21 be and is hereby set aside.</w:t>
      </w:r>
    </w:p>
    <w:p w:rsidR="00637003" w:rsidRDefault="00637003" w:rsidP="0077354D">
      <w:pPr>
        <w:pStyle w:val="NoSpacing"/>
        <w:numPr>
          <w:ilvl w:val="0"/>
          <w:numId w:val="3"/>
        </w:numPr>
        <w:spacing w:line="360" w:lineRule="auto"/>
        <w:jc w:val="both"/>
        <w:rPr>
          <w:szCs w:val="24"/>
        </w:rPr>
      </w:pPr>
      <w:r>
        <w:rPr>
          <w:szCs w:val="24"/>
        </w:rPr>
        <w:t>The mining shafts and workings under contest between the applicant and 2</w:t>
      </w:r>
      <w:r w:rsidRPr="00637003">
        <w:rPr>
          <w:szCs w:val="24"/>
          <w:vertAlign w:val="superscript"/>
        </w:rPr>
        <w:t>nd</w:t>
      </w:r>
      <w:r>
        <w:rPr>
          <w:szCs w:val="24"/>
        </w:rPr>
        <w:t xml:space="preserve"> respondent </w:t>
      </w:r>
      <w:r w:rsidR="006C20D3">
        <w:rPr>
          <w:szCs w:val="24"/>
        </w:rPr>
        <w:t>be declared to fall within applicant’s mining claim, that is, Goodenough 7 Reg</w:t>
      </w:r>
      <w:r w:rsidR="003D4A0E">
        <w:rPr>
          <w:szCs w:val="24"/>
        </w:rPr>
        <w:t>.</w:t>
      </w:r>
      <w:r w:rsidR="006C20D3">
        <w:rPr>
          <w:szCs w:val="24"/>
        </w:rPr>
        <w:t xml:space="preserve"> No. 34</w:t>
      </w:r>
      <w:r w:rsidR="00AF02CF">
        <w:rPr>
          <w:szCs w:val="24"/>
        </w:rPr>
        <w:t>308.</w:t>
      </w:r>
    </w:p>
    <w:p w:rsidR="00AF02CF" w:rsidRDefault="00AF02CF" w:rsidP="0077354D">
      <w:pPr>
        <w:pStyle w:val="NoSpacing"/>
        <w:numPr>
          <w:ilvl w:val="0"/>
          <w:numId w:val="3"/>
        </w:numPr>
        <w:spacing w:line="360" w:lineRule="auto"/>
        <w:jc w:val="both"/>
        <w:rPr>
          <w:szCs w:val="24"/>
        </w:rPr>
      </w:pPr>
      <w:r>
        <w:rPr>
          <w:szCs w:val="24"/>
        </w:rPr>
        <w:t>2</w:t>
      </w:r>
      <w:r w:rsidRPr="00AF02CF">
        <w:rPr>
          <w:szCs w:val="24"/>
          <w:vertAlign w:val="superscript"/>
        </w:rPr>
        <w:t>nd</w:t>
      </w:r>
      <w:r>
        <w:rPr>
          <w:szCs w:val="24"/>
        </w:rPr>
        <w:t xml:space="preserve"> respondent’s alleged special grant be and is hereby set aside to the extent that it </w:t>
      </w:r>
      <w:r w:rsidR="00281232">
        <w:rPr>
          <w:szCs w:val="24"/>
        </w:rPr>
        <w:t>encroaches on the Goodenough 7 mining claim Reg. No. 34303</w:t>
      </w:r>
      <w:r w:rsidR="00722E4A">
        <w:rPr>
          <w:szCs w:val="24"/>
        </w:rPr>
        <w:t xml:space="preserve"> as pegged in 1988.</w:t>
      </w:r>
    </w:p>
    <w:p w:rsidR="00722E4A" w:rsidRDefault="00722E4A" w:rsidP="0077354D">
      <w:pPr>
        <w:pStyle w:val="NoSpacing"/>
        <w:numPr>
          <w:ilvl w:val="0"/>
          <w:numId w:val="3"/>
        </w:numPr>
        <w:spacing w:line="360" w:lineRule="auto"/>
        <w:jc w:val="both"/>
        <w:rPr>
          <w:szCs w:val="24"/>
        </w:rPr>
      </w:pPr>
      <w:r>
        <w:rPr>
          <w:szCs w:val="24"/>
        </w:rPr>
        <w:t xml:space="preserve">Costs of suit at </w:t>
      </w:r>
      <w:r w:rsidR="00172F9B">
        <w:rPr>
          <w:szCs w:val="24"/>
        </w:rPr>
        <w:t xml:space="preserve">an </w:t>
      </w:r>
      <w:r>
        <w:rPr>
          <w:szCs w:val="24"/>
        </w:rPr>
        <w:t xml:space="preserve">attorney-client scale. </w:t>
      </w:r>
    </w:p>
    <w:p w:rsidR="00EB12A6" w:rsidRDefault="00EB12A6" w:rsidP="00EB12A6">
      <w:pPr>
        <w:pStyle w:val="NoSpacing"/>
        <w:spacing w:line="360" w:lineRule="auto"/>
        <w:ind w:left="1440"/>
        <w:jc w:val="both"/>
        <w:rPr>
          <w:szCs w:val="24"/>
        </w:rPr>
      </w:pPr>
    </w:p>
    <w:p w:rsidR="005B3BD6" w:rsidRPr="005B3BD6" w:rsidRDefault="00EB12A6" w:rsidP="005B3BD6">
      <w:pPr>
        <w:pStyle w:val="NoSpacing"/>
        <w:numPr>
          <w:ilvl w:val="0"/>
          <w:numId w:val="2"/>
        </w:numPr>
        <w:spacing w:line="360" w:lineRule="auto"/>
        <w:jc w:val="both"/>
        <w:rPr>
          <w:szCs w:val="24"/>
        </w:rPr>
      </w:pPr>
      <w:r>
        <w:rPr>
          <w:szCs w:val="24"/>
        </w:rPr>
        <w:t>The application is opposed by the 2</w:t>
      </w:r>
      <w:r w:rsidRPr="00EB12A6">
        <w:rPr>
          <w:szCs w:val="24"/>
          <w:vertAlign w:val="superscript"/>
        </w:rPr>
        <w:t>nd</w:t>
      </w:r>
      <w:r>
        <w:rPr>
          <w:szCs w:val="24"/>
        </w:rPr>
        <w:t xml:space="preserve"> respondent. </w:t>
      </w:r>
      <w:r w:rsidR="005B3BD6">
        <w:rPr>
          <w:szCs w:val="24"/>
        </w:rPr>
        <w:t>1</w:t>
      </w:r>
      <w:r w:rsidR="005B3BD6" w:rsidRPr="005B3BD6">
        <w:rPr>
          <w:szCs w:val="24"/>
          <w:vertAlign w:val="superscript"/>
        </w:rPr>
        <w:t>st</w:t>
      </w:r>
      <w:r w:rsidR="005B3BD6">
        <w:rPr>
          <w:szCs w:val="24"/>
        </w:rPr>
        <w:t xml:space="preserve"> </w:t>
      </w:r>
      <w:r w:rsidR="005B3BD6" w:rsidRPr="005B3BD6">
        <w:rPr>
          <w:rFonts w:cs="Times New Roman"/>
        </w:rPr>
        <w:t xml:space="preserve">respondent neither filed opposing papers nor participated in the hearing of this matter. </w:t>
      </w:r>
      <w:r w:rsidR="005B3BD6">
        <w:rPr>
          <w:rFonts w:cs="Times New Roman"/>
        </w:rPr>
        <w:t>I take the view that</w:t>
      </w:r>
      <w:r w:rsidR="005B3BD6" w:rsidRPr="005B3BD6">
        <w:rPr>
          <w:rFonts w:cs="Times New Roman"/>
        </w:rPr>
        <w:t xml:space="preserve"> </w:t>
      </w:r>
      <w:r w:rsidR="002914A0">
        <w:rPr>
          <w:rFonts w:cs="Times New Roman"/>
        </w:rPr>
        <w:t>1</w:t>
      </w:r>
      <w:r w:rsidR="002914A0" w:rsidRPr="002914A0">
        <w:rPr>
          <w:rFonts w:cs="Times New Roman"/>
          <w:vertAlign w:val="superscript"/>
        </w:rPr>
        <w:t>st</w:t>
      </w:r>
      <w:r w:rsidR="002914A0">
        <w:rPr>
          <w:rFonts w:cs="Times New Roman"/>
        </w:rPr>
        <w:t xml:space="preserve"> </w:t>
      </w:r>
      <w:r w:rsidR="005B3BD6">
        <w:rPr>
          <w:rFonts w:cs="Times New Roman"/>
        </w:rPr>
        <w:t>respondent having been cited in his official capacity</w:t>
      </w:r>
      <w:r w:rsidR="005B3BD6" w:rsidRPr="005B3BD6">
        <w:rPr>
          <w:rFonts w:cs="Times New Roman"/>
        </w:rPr>
        <w:t xml:space="preserve"> h</w:t>
      </w:r>
      <w:r w:rsidR="003D4A0E">
        <w:rPr>
          <w:rFonts w:cs="Times New Roman"/>
        </w:rPr>
        <w:t>as</w:t>
      </w:r>
      <w:r w:rsidR="005B3BD6">
        <w:rPr>
          <w:rFonts w:cs="Times New Roman"/>
        </w:rPr>
        <w:t xml:space="preserve"> taken the position that it</w:t>
      </w:r>
      <w:r w:rsidR="005B3BD6" w:rsidRPr="005B3BD6">
        <w:rPr>
          <w:rFonts w:cs="Times New Roman"/>
        </w:rPr>
        <w:t xml:space="preserve"> will abide by the decision of this court. </w:t>
      </w:r>
    </w:p>
    <w:p w:rsidR="005B3BD6" w:rsidRPr="00166D7D" w:rsidRDefault="00166D7D" w:rsidP="00166D7D">
      <w:pPr>
        <w:spacing w:line="360" w:lineRule="auto"/>
        <w:jc w:val="both"/>
        <w:rPr>
          <w:rFonts w:ascii="Times New Roman" w:hAnsi="Times New Roman"/>
          <w:b/>
        </w:rPr>
      </w:pPr>
      <w:r w:rsidRPr="00166D7D">
        <w:rPr>
          <w:rFonts w:ascii="Times New Roman" w:hAnsi="Times New Roman"/>
          <w:b/>
        </w:rPr>
        <w:t xml:space="preserve">Factual background </w:t>
      </w:r>
    </w:p>
    <w:p w:rsidR="009320BF" w:rsidRDefault="00330436" w:rsidP="00CF6A78">
      <w:pPr>
        <w:pStyle w:val="NoSpacing"/>
        <w:numPr>
          <w:ilvl w:val="0"/>
          <w:numId w:val="2"/>
        </w:numPr>
        <w:spacing w:line="360" w:lineRule="auto"/>
        <w:jc w:val="both"/>
        <w:rPr>
          <w:rFonts w:cs="Times New Roman"/>
        </w:rPr>
      </w:pPr>
      <w:r w:rsidRPr="00336857">
        <w:rPr>
          <w:rFonts w:cs="Times New Roman"/>
        </w:rPr>
        <w:t>This application will be better understood against the background that follows.</w:t>
      </w:r>
      <w:r>
        <w:rPr>
          <w:rFonts w:cs="Times New Roman"/>
        </w:rPr>
        <w:t xml:space="preserve"> </w:t>
      </w:r>
      <w:r w:rsidR="004109FB">
        <w:rPr>
          <w:rFonts w:cs="Times New Roman"/>
        </w:rPr>
        <w:t xml:space="preserve">According to the applicant it holds title to the mining claims Goodenough 7-8 claims Reg. No. 34 308-9 registered on the 5 May 2021. </w:t>
      </w:r>
      <w:r w:rsidR="006541BA">
        <w:rPr>
          <w:rFonts w:cs="Times New Roman"/>
        </w:rPr>
        <w:t>The applicant lodged a complaint with 1</w:t>
      </w:r>
      <w:r w:rsidR="006541BA" w:rsidRPr="00336857">
        <w:rPr>
          <w:rFonts w:cs="Times New Roman"/>
          <w:vertAlign w:val="superscript"/>
        </w:rPr>
        <w:t>st</w:t>
      </w:r>
      <w:r w:rsidR="006541BA">
        <w:rPr>
          <w:rFonts w:cs="Times New Roman"/>
        </w:rPr>
        <w:t xml:space="preserve"> respondent alleging that 2</w:t>
      </w:r>
      <w:r w:rsidR="006541BA" w:rsidRPr="00336857">
        <w:rPr>
          <w:rFonts w:cs="Times New Roman"/>
          <w:vertAlign w:val="superscript"/>
        </w:rPr>
        <w:t>nd</w:t>
      </w:r>
      <w:r w:rsidR="006541BA">
        <w:rPr>
          <w:rFonts w:cs="Times New Roman"/>
        </w:rPr>
        <w:t xml:space="preserve"> respondent had encroached onto its mining claims </w:t>
      </w:r>
      <w:r w:rsidR="004109FB">
        <w:rPr>
          <w:rFonts w:cs="Times New Roman"/>
        </w:rPr>
        <w:t xml:space="preserve">Goodenough 7-8. </w:t>
      </w:r>
      <w:r w:rsidR="00023C5D">
        <w:rPr>
          <w:rFonts w:cs="Times New Roman"/>
        </w:rPr>
        <w:t>According to 2</w:t>
      </w:r>
      <w:r w:rsidR="00023C5D" w:rsidRPr="00023C5D">
        <w:rPr>
          <w:rFonts w:cs="Times New Roman"/>
          <w:vertAlign w:val="superscript"/>
        </w:rPr>
        <w:t>nd</w:t>
      </w:r>
      <w:r w:rsidR="00023C5D">
        <w:rPr>
          <w:rFonts w:cs="Times New Roman"/>
        </w:rPr>
        <w:t xml:space="preserve"> respondent the shafts under contest fall within </w:t>
      </w:r>
      <w:r w:rsidR="0055402A">
        <w:rPr>
          <w:rFonts w:cs="Times New Roman"/>
        </w:rPr>
        <w:t xml:space="preserve">White Nile Special Grant Reg. No. </w:t>
      </w:r>
      <w:r w:rsidR="00023C5D">
        <w:rPr>
          <w:rFonts w:cs="Times New Roman"/>
        </w:rPr>
        <w:t>SG 8565</w:t>
      </w:r>
      <w:r w:rsidR="0055402A">
        <w:rPr>
          <w:rFonts w:cs="Times New Roman"/>
        </w:rPr>
        <w:t xml:space="preserve"> (SG 8565) </w:t>
      </w:r>
      <w:r w:rsidR="00023C5D">
        <w:rPr>
          <w:rFonts w:cs="Times New Roman"/>
        </w:rPr>
        <w:t xml:space="preserve">and outside Goodenough boundaries. </w:t>
      </w:r>
      <w:r w:rsidR="00971173">
        <w:rPr>
          <w:rFonts w:cs="Times New Roman"/>
        </w:rPr>
        <w:t>1</w:t>
      </w:r>
      <w:r w:rsidR="00971173" w:rsidRPr="00971173">
        <w:rPr>
          <w:rFonts w:cs="Times New Roman"/>
          <w:vertAlign w:val="superscript"/>
        </w:rPr>
        <w:t>st</w:t>
      </w:r>
      <w:r w:rsidR="00971173">
        <w:rPr>
          <w:rFonts w:cs="Times New Roman"/>
        </w:rPr>
        <w:t xml:space="preserve"> respondent was asked to establish each </w:t>
      </w:r>
      <w:r w:rsidR="00B13C25">
        <w:rPr>
          <w:rFonts w:cs="Times New Roman"/>
        </w:rPr>
        <w:t>party’s</w:t>
      </w:r>
      <w:r w:rsidR="00971173">
        <w:rPr>
          <w:rFonts w:cs="Times New Roman"/>
        </w:rPr>
        <w:t xml:space="preserve"> boundaries. </w:t>
      </w:r>
    </w:p>
    <w:p w:rsidR="00336857" w:rsidRDefault="00336857" w:rsidP="00336857">
      <w:pPr>
        <w:pStyle w:val="NoSpacing"/>
        <w:spacing w:line="360" w:lineRule="auto"/>
        <w:ind w:left="720"/>
        <w:jc w:val="both"/>
        <w:rPr>
          <w:rFonts w:cs="Times New Roman"/>
        </w:rPr>
      </w:pPr>
    </w:p>
    <w:p w:rsidR="005823B2" w:rsidRDefault="00A908E3" w:rsidP="00083007">
      <w:pPr>
        <w:pStyle w:val="NoSpacing"/>
        <w:numPr>
          <w:ilvl w:val="0"/>
          <w:numId w:val="2"/>
        </w:numPr>
        <w:spacing w:line="360" w:lineRule="auto"/>
        <w:jc w:val="both"/>
        <w:rPr>
          <w:rFonts w:cs="Times New Roman"/>
        </w:rPr>
      </w:pPr>
      <w:r>
        <w:rPr>
          <w:rFonts w:cs="Times New Roman"/>
        </w:rPr>
        <w:t>O</w:t>
      </w:r>
      <w:r w:rsidR="00D51AAF">
        <w:rPr>
          <w:rFonts w:cs="Times New Roman"/>
        </w:rPr>
        <w:t xml:space="preserve">n the 8 September 2021, </w:t>
      </w:r>
      <w:r>
        <w:rPr>
          <w:rFonts w:cs="Times New Roman"/>
        </w:rPr>
        <w:t>applicant complained to the 1</w:t>
      </w:r>
      <w:r w:rsidRPr="00A908E3">
        <w:rPr>
          <w:rFonts w:cs="Times New Roman"/>
          <w:vertAlign w:val="superscript"/>
        </w:rPr>
        <w:t>st</w:t>
      </w:r>
      <w:r w:rsidR="004A2082">
        <w:rPr>
          <w:rFonts w:cs="Times New Roman"/>
        </w:rPr>
        <w:t xml:space="preserve"> respondent </w:t>
      </w:r>
      <w:r w:rsidR="00A95CDD">
        <w:rPr>
          <w:rFonts w:cs="Times New Roman"/>
        </w:rPr>
        <w:t xml:space="preserve">that one Brian </w:t>
      </w:r>
      <w:proofErr w:type="spellStart"/>
      <w:r w:rsidR="00A95CDD">
        <w:rPr>
          <w:rFonts w:cs="Times New Roman"/>
        </w:rPr>
        <w:t>Samuriwo</w:t>
      </w:r>
      <w:proofErr w:type="spellEnd"/>
      <w:r w:rsidR="00A95CDD">
        <w:rPr>
          <w:rFonts w:cs="Times New Roman"/>
        </w:rPr>
        <w:t xml:space="preserve"> was conducting</w:t>
      </w:r>
      <w:r w:rsidR="004A2082">
        <w:rPr>
          <w:rFonts w:cs="Times New Roman"/>
        </w:rPr>
        <w:t xml:space="preserve"> illegal mining at Goodenough mine 7 registration </w:t>
      </w:r>
      <w:r w:rsidR="00A95CDD">
        <w:rPr>
          <w:rFonts w:cs="Times New Roman"/>
        </w:rPr>
        <w:t xml:space="preserve">number 34 308. </w:t>
      </w:r>
      <w:r w:rsidR="008A2699">
        <w:rPr>
          <w:rFonts w:cs="Times New Roman"/>
        </w:rPr>
        <w:t xml:space="preserve">In the letter of complaint, applicant said Brian </w:t>
      </w:r>
      <w:proofErr w:type="spellStart"/>
      <w:r w:rsidR="008A2699">
        <w:rPr>
          <w:rFonts w:cs="Times New Roman"/>
        </w:rPr>
        <w:t>Samuriwo</w:t>
      </w:r>
      <w:proofErr w:type="spellEnd"/>
      <w:r w:rsidR="008A2699">
        <w:rPr>
          <w:rFonts w:cs="Times New Roman"/>
        </w:rPr>
        <w:t xml:space="preserve"> was insisting that </w:t>
      </w:r>
      <w:r w:rsidR="0097051F">
        <w:rPr>
          <w:rFonts w:cs="Times New Roman"/>
        </w:rPr>
        <w:t xml:space="preserve">he was mining within the confines of his Special Grant named White Nile. </w:t>
      </w:r>
      <w:r w:rsidR="002E1145">
        <w:rPr>
          <w:rFonts w:cs="Times New Roman"/>
        </w:rPr>
        <w:t>Applicant asked 1</w:t>
      </w:r>
      <w:r w:rsidR="002E1145" w:rsidRPr="002E1145">
        <w:rPr>
          <w:rFonts w:cs="Times New Roman"/>
          <w:vertAlign w:val="superscript"/>
        </w:rPr>
        <w:t>st</w:t>
      </w:r>
      <w:r w:rsidR="002E1145">
        <w:rPr>
          <w:rFonts w:cs="Times New Roman"/>
        </w:rPr>
        <w:t xml:space="preserve"> respondent </w:t>
      </w:r>
      <w:r w:rsidR="00735AE9">
        <w:rPr>
          <w:rFonts w:cs="Times New Roman"/>
        </w:rPr>
        <w:t>t</w:t>
      </w:r>
      <w:r w:rsidR="00894B86">
        <w:rPr>
          <w:rFonts w:cs="Times New Roman"/>
        </w:rPr>
        <w:t>o stop operations and processing</w:t>
      </w:r>
      <w:r w:rsidR="00735AE9">
        <w:rPr>
          <w:rFonts w:cs="Times New Roman"/>
        </w:rPr>
        <w:t xml:space="preserve"> of gold from Goodenough 7 mine pending a determination of the matter. </w:t>
      </w:r>
      <w:r w:rsidR="00087787">
        <w:rPr>
          <w:rFonts w:cs="Times New Roman"/>
        </w:rPr>
        <w:t>Applicant informed 1</w:t>
      </w:r>
      <w:r w:rsidR="00087787" w:rsidRPr="00087787">
        <w:rPr>
          <w:rFonts w:cs="Times New Roman"/>
          <w:vertAlign w:val="superscript"/>
        </w:rPr>
        <w:t>st</w:t>
      </w:r>
      <w:r w:rsidR="00087787">
        <w:rPr>
          <w:rFonts w:cs="Times New Roman"/>
          <w:vertAlign w:val="superscript"/>
        </w:rPr>
        <w:t xml:space="preserve"> </w:t>
      </w:r>
      <w:r w:rsidR="00894B86">
        <w:rPr>
          <w:rFonts w:cs="Times New Roman"/>
        </w:rPr>
        <w:t xml:space="preserve">respondent that the parties held </w:t>
      </w:r>
      <w:r w:rsidR="00DF7792">
        <w:rPr>
          <w:rFonts w:cs="Times New Roman"/>
        </w:rPr>
        <w:t xml:space="preserve">an onsite meeting and failed to agree and both resolved that </w:t>
      </w:r>
      <w:r w:rsidR="0087227A">
        <w:rPr>
          <w:rFonts w:cs="Times New Roman"/>
        </w:rPr>
        <w:t>the dispute be resolved by his office</w:t>
      </w:r>
      <w:r w:rsidR="00DF7792">
        <w:rPr>
          <w:rFonts w:cs="Times New Roman"/>
        </w:rPr>
        <w:t xml:space="preserve">. </w:t>
      </w:r>
      <w:r w:rsidR="006B1F4A">
        <w:rPr>
          <w:rFonts w:cs="Times New Roman"/>
        </w:rPr>
        <w:t>Following the complaint, the parties were invited for a hearing before 1</w:t>
      </w:r>
      <w:r w:rsidR="006B1F4A" w:rsidRPr="006B1F4A">
        <w:rPr>
          <w:rFonts w:cs="Times New Roman"/>
          <w:vertAlign w:val="superscript"/>
        </w:rPr>
        <w:t>st</w:t>
      </w:r>
      <w:r w:rsidR="00516EDE">
        <w:rPr>
          <w:rFonts w:cs="Times New Roman"/>
          <w:vertAlign w:val="superscript"/>
        </w:rPr>
        <w:t xml:space="preserve"> </w:t>
      </w:r>
      <w:r w:rsidR="006B1F4A">
        <w:rPr>
          <w:rFonts w:cs="Times New Roman"/>
        </w:rPr>
        <w:t xml:space="preserve">respondent. </w:t>
      </w:r>
    </w:p>
    <w:p w:rsidR="00083007" w:rsidRPr="00083007" w:rsidRDefault="00083007" w:rsidP="00083007">
      <w:pPr>
        <w:pStyle w:val="NoSpacing"/>
        <w:spacing w:line="360" w:lineRule="auto"/>
        <w:jc w:val="both"/>
        <w:rPr>
          <w:rFonts w:cs="Times New Roman"/>
        </w:rPr>
      </w:pPr>
    </w:p>
    <w:p w:rsidR="000F474A" w:rsidRPr="00380370" w:rsidRDefault="00566A31" w:rsidP="00380370">
      <w:pPr>
        <w:pStyle w:val="NoSpacing"/>
        <w:numPr>
          <w:ilvl w:val="0"/>
          <w:numId w:val="2"/>
        </w:numPr>
        <w:spacing w:line="360" w:lineRule="auto"/>
        <w:jc w:val="both"/>
        <w:rPr>
          <w:rFonts w:cs="Times New Roman"/>
        </w:rPr>
      </w:pPr>
      <w:r>
        <w:rPr>
          <w:rFonts w:cs="Times New Roman"/>
        </w:rPr>
        <w:lastRenderedPageBreak/>
        <w:t>S</w:t>
      </w:r>
      <w:r w:rsidR="00963194">
        <w:rPr>
          <w:rFonts w:cs="Times New Roman"/>
        </w:rPr>
        <w:t>urveyors from the 1</w:t>
      </w:r>
      <w:r w:rsidR="00963194" w:rsidRPr="00963194">
        <w:rPr>
          <w:rFonts w:cs="Times New Roman"/>
          <w:vertAlign w:val="superscript"/>
        </w:rPr>
        <w:t>st</w:t>
      </w:r>
      <w:r w:rsidR="00963194">
        <w:rPr>
          <w:rFonts w:cs="Times New Roman"/>
        </w:rPr>
        <w:t xml:space="preserve"> respondent’s office in the presence of the </w:t>
      </w:r>
      <w:r>
        <w:rPr>
          <w:rFonts w:cs="Times New Roman"/>
        </w:rPr>
        <w:t xml:space="preserve">both parties and /or their representatives </w:t>
      </w:r>
      <w:r w:rsidR="000821D5">
        <w:rPr>
          <w:rFonts w:cs="Times New Roman"/>
        </w:rPr>
        <w:t>v</w:t>
      </w:r>
      <w:r w:rsidR="00AD259C">
        <w:rPr>
          <w:rFonts w:cs="Times New Roman"/>
        </w:rPr>
        <w:t xml:space="preserve">isited the disputed claims. On the basis of information from ground observations and office records the </w:t>
      </w:r>
      <w:r w:rsidR="000821D5">
        <w:rPr>
          <w:rFonts w:cs="Times New Roman"/>
        </w:rPr>
        <w:t xml:space="preserve">surveyors produced </w:t>
      </w:r>
      <w:r w:rsidR="00AD259C">
        <w:rPr>
          <w:rFonts w:cs="Times New Roman"/>
        </w:rPr>
        <w:t xml:space="preserve">a report. </w:t>
      </w:r>
      <w:r w:rsidR="002C3484">
        <w:rPr>
          <w:rFonts w:cs="Times New Roman"/>
        </w:rPr>
        <w:t>According to the report, as it appears in the decision of the 1</w:t>
      </w:r>
      <w:r w:rsidR="002C3484" w:rsidRPr="002C3484">
        <w:rPr>
          <w:rFonts w:cs="Times New Roman"/>
          <w:vertAlign w:val="superscript"/>
        </w:rPr>
        <w:t>st</w:t>
      </w:r>
      <w:r w:rsidR="002C3484">
        <w:rPr>
          <w:rFonts w:cs="Times New Roman"/>
        </w:rPr>
        <w:t xml:space="preserve"> respondent</w:t>
      </w:r>
      <w:r w:rsidR="00B01525">
        <w:rPr>
          <w:rFonts w:cs="Times New Roman"/>
        </w:rPr>
        <w:t>,</w:t>
      </w:r>
      <w:r w:rsidR="002C3484">
        <w:rPr>
          <w:rFonts w:cs="Times New Roman"/>
        </w:rPr>
        <w:t xml:space="preserve"> </w:t>
      </w:r>
      <w:r w:rsidR="00380370" w:rsidRPr="00380370">
        <w:rPr>
          <w:rFonts w:cs="Times New Roman"/>
        </w:rPr>
        <w:t>Goodenough 7-8 mine claims, Reg. No. 34 308-9, were registered on the 5</w:t>
      </w:r>
      <w:r w:rsidR="00380370" w:rsidRPr="00380370">
        <w:rPr>
          <w:rFonts w:cs="Times New Roman"/>
          <w:vertAlign w:val="superscript"/>
        </w:rPr>
        <w:t>th</w:t>
      </w:r>
      <w:r w:rsidR="00380370" w:rsidRPr="00380370">
        <w:rPr>
          <w:rFonts w:cs="Times New Roman"/>
        </w:rPr>
        <w:t xml:space="preserve"> May 1988. The White Nile Special Grant mine claim, Reg. No. SG 8565 was granted on the 19 May 2021. Goodenough 7-8 cla</w:t>
      </w:r>
      <w:r w:rsidR="00662F7A">
        <w:rPr>
          <w:rFonts w:cs="Times New Roman"/>
        </w:rPr>
        <w:t>ims were pegged earlier than</w:t>
      </w:r>
      <w:r w:rsidR="00380370" w:rsidRPr="00380370">
        <w:rPr>
          <w:rFonts w:cs="Times New Roman"/>
        </w:rPr>
        <w:t xml:space="preserve"> SG 8565. </w:t>
      </w:r>
      <w:r w:rsidR="00380370">
        <w:rPr>
          <w:rFonts w:cs="Times New Roman"/>
        </w:rPr>
        <w:t>O</w:t>
      </w:r>
      <w:r w:rsidR="002C3484" w:rsidRPr="00380370">
        <w:rPr>
          <w:rFonts w:cs="Times New Roman"/>
        </w:rPr>
        <w:t xml:space="preserve">n </w:t>
      </w:r>
      <w:r w:rsidR="00E269A8" w:rsidRPr="00380370">
        <w:rPr>
          <w:rFonts w:cs="Times New Roman"/>
        </w:rPr>
        <w:t xml:space="preserve">the ground the boundaries of Goodenough 7 and SG </w:t>
      </w:r>
      <w:r w:rsidR="00F213A5" w:rsidRPr="00380370">
        <w:rPr>
          <w:rFonts w:cs="Times New Roman"/>
        </w:rPr>
        <w:t xml:space="preserve">8565 overlap as per indications. At </w:t>
      </w:r>
      <w:r w:rsidR="000F474A" w:rsidRPr="00380370">
        <w:rPr>
          <w:rFonts w:cs="Times New Roman"/>
        </w:rPr>
        <w:t>registration the SG 8565</w:t>
      </w:r>
      <w:r w:rsidR="00F213A5" w:rsidRPr="00380370">
        <w:rPr>
          <w:rFonts w:cs="Times New Roman"/>
        </w:rPr>
        <w:t xml:space="preserve"> has partial overlaps over Goodenough 8 and minor overlap over Goodenough 7. </w:t>
      </w:r>
      <w:r w:rsidR="00CB0EE6" w:rsidRPr="00380370">
        <w:rPr>
          <w:rFonts w:cs="Times New Roman"/>
        </w:rPr>
        <w:t xml:space="preserve">There is a deviation from ground indicated positions with those as at registration for Goodenough 7. </w:t>
      </w:r>
      <w:r w:rsidR="00AC459C" w:rsidRPr="00380370">
        <w:rPr>
          <w:rFonts w:cs="Times New Roman"/>
        </w:rPr>
        <w:t>There is a minor deviation from ground indicated positions with those as at registration for SG 8565 mine claim. The shafts working under contest fall within SG</w:t>
      </w:r>
      <w:r w:rsidR="00022083" w:rsidRPr="00380370">
        <w:rPr>
          <w:rFonts w:cs="Times New Roman"/>
        </w:rPr>
        <w:t xml:space="preserve"> 8565 boundary.</w:t>
      </w:r>
    </w:p>
    <w:p w:rsidR="00022083" w:rsidRPr="00022083" w:rsidRDefault="000F474A" w:rsidP="000F474A">
      <w:pPr>
        <w:pStyle w:val="NoSpacing"/>
        <w:spacing w:line="360" w:lineRule="auto"/>
        <w:jc w:val="both"/>
        <w:rPr>
          <w:rFonts w:cs="Times New Roman"/>
        </w:rPr>
      </w:pPr>
      <w:r w:rsidRPr="00022083">
        <w:rPr>
          <w:rFonts w:cs="Times New Roman"/>
        </w:rPr>
        <w:t xml:space="preserve"> </w:t>
      </w:r>
    </w:p>
    <w:p w:rsidR="00B2295C" w:rsidRPr="00B01525" w:rsidRDefault="00B01525" w:rsidP="00B01525">
      <w:pPr>
        <w:pStyle w:val="NoSpacing"/>
        <w:numPr>
          <w:ilvl w:val="0"/>
          <w:numId w:val="2"/>
        </w:numPr>
        <w:spacing w:line="360" w:lineRule="auto"/>
        <w:jc w:val="both"/>
        <w:rPr>
          <w:rFonts w:cs="Times New Roman"/>
        </w:rPr>
      </w:pPr>
      <w:r>
        <w:rPr>
          <w:rFonts w:cs="Times New Roman"/>
        </w:rPr>
        <w:t xml:space="preserve">On the basis of the </w:t>
      </w:r>
      <w:r w:rsidR="00E91314">
        <w:rPr>
          <w:rFonts w:cs="Times New Roman"/>
        </w:rPr>
        <w:t xml:space="preserve">submissions by the parties and the report compiled by the surveyors, </w:t>
      </w:r>
      <w:r w:rsidR="00B2295C" w:rsidRPr="00B01525">
        <w:rPr>
          <w:rFonts w:cs="Arial"/>
          <w:bCs/>
        </w:rPr>
        <w:t>1</w:t>
      </w:r>
      <w:r w:rsidR="00B2295C" w:rsidRPr="00B01525">
        <w:rPr>
          <w:rFonts w:cs="Arial"/>
          <w:bCs/>
          <w:vertAlign w:val="superscript"/>
        </w:rPr>
        <w:t>st</w:t>
      </w:r>
      <w:r w:rsidR="00B2295C" w:rsidRPr="00B01525">
        <w:rPr>
          <w:rFonts w:cs="Arial"/>
          <w:bCs/>
        </w:rPr>
        <w:t xml:space="preserve"> respondent ruled that: </w:t>
      </w:r>
    </w:p>
    <w:p w:rsidR="00B2295C" w:rsidRPr="004A6098" w:rsidRDefault="00B2295C" w:rsidP="00B2295C">
      <w:pPr>
        <w:pStyle w:val="NoSpacing"/>
        <w:spacing w:line="360" w:lineRule="auto"/>
        <w:ind w:left="720"/>
        <w:jc w:val="both"/>
        <w:rPr>
          <w:b/>
          <w:szCs w:val="24"/>
        </w:rPr>
      </w:pPr>
    </w:p>
    <w:p w:rsidR="00B2295C" w:rsidRDefault="00B2295C" w:rsidP="00B2295C">
      <w:pPr>
        <w:pStyle w:val="NoSpacing"/>
        <w:spacing w:line="360" w:lineRule="auto"/>
        <w:ind w:left="1440"/>
        <w:jc w:val="both"/>
        <w:rPr>
          <w:rFonts w:cs="Arial"/>
          <w:bCs/>
        </w:rPr>
      </w:pPr>
      <w:r>
        <w:rPr>
          <w:rFonts w:cs="Arial"/>
          <w:bCs/>
        </w:rPr>
        <w:t xml:space="preserve">According to section 177, it is hereby deemed Special Grant title for SG 8565, was issued subject to that any portion of it overlapping Goodenough 7-8 registration numbers 3408-9 is subordinated to Goodenough 7-8. Brian </w:t>
      </w:r>
      <w:proofErr w:type="spellStart"/>
      <w:r>
        <w:rPr>
          <w:rFonts w:cs="Arial"/>
          <w:bCs/>
        </w:rPr>
        <w:t>Samuriwo</w:t>
      </w:r>
      <w:proofErr w:type="spellEnd"/>
      <w:r>
        <w:rPr>
          <w:rFonts w:cs="Arial"/>
          <w:bCs/>
        </w:rPr>
        <w:t xml:space="preserve">, of SG 8565 is hereby ordered to adjust SG 8565 boundaries outside   Goodenough 7-8 boundaries with immediate effect and submit adjusted </w:t>
      </w:r>
      <w:r w:rsidR="00EA7202">
        <w:rPr>
          <w:rFonts w:cs="Arial"/>
          <w:bCs/>
        </w:rPr>
        <w:t xml:space="preserve">the </w:t>
      </w:r>
      <w:r>
        <w:rPr>
          <w:rFonts w:cs="Arial"/>
          <w:bCs/>
        </w:rPr>
        <w:t xml:space="preserve">map for survey verification. </w:t>
      </w:r>
      <w:proofErr w:type="spellStart"/>
      <w:r>
        <w:rPr>
          <w:rFonts w:cs="Arial"/>
          <w:bCs/>
        </w:rPr>
        <w:t>Techmate</w:t>
      </w:r>
      <w:proofErr w:type="spellEnd"/>
      <w:r>
        <w:rPr>
          <w:rFonts w:cs="Arial"/>
          <w:bCs/>
        </w:rPr>
        <w:t xml:space="preserve"> Engineering P/L of Goodenough 7 is hereby ordered to revert to their boundary position as at registration with immediate effect and request surveyors to verify. </w:t>
      </w:r>
      <w:r w:rsidRPr="000D1D0E">
        <w:rPr>
          <w:rFonts w:cs="Arial"/>
          <w:bCs/>
          <w:u w:val="single"/>
        </w:rPr>
        <w:t>The workings and workings under contest are hereby confirmed as falling within SG 8586 and outside Goodenough boundaries.</w:t>
      </w:r>
      <w:r>
        <w:rPr>
          <w:rFonts w:cs="Arial"/>
          <w:bCs/>
        </w:rPr>
        <w:t xml:space="preserve"> Any suspension of operations is hereby uplifted. Any party no</w:t>
      </w:r>
      <w:r w:rsidR="00C84E18">
        <w:rPr>
          <w:rFonts w:cs="Arial"/>
          <w:bCs/>
        </w:rPr>
        <w:t>t</w:t>
      </w:r>
      <w:r>
        <w:rPr>
          <w:rFonts w:cs="Arial"/>
          <w:bCs/>
        </w:rPr>
        <w:t xml:space="preserve"> concurring with the above may appeal to the High Court. </w:t>
      </w:r>
    </w:p>
    <w:p w:rsidR="00D51AAF" w:rsidRDefault="00D51AAF" w:rsidP="00E91314">
      <w:pPr>
        <w:pStyle w:val="NoSpacing"/>
        <w:spacing w:line="360" w:lineRule="auto"/>
        <w:ind w:left="720"/>
        <w:jc w:val="both"/>
        <w:rPr>
          <w:rFonts w:cs="Times New Roman"/>
        </w:rPr>
      </w:pPr>
    </w:p>
    <w:p w:rsidR="00330436" w:rsidRPr="00D27DAB" w:rsidRDefault="00330436" w:rsidP="00FD5AD4">
      <w:pPr>
        <w:pStyle w:val="NoSpacing"/>
        <w:numPr>
          <w:ilvl w:val="0"/>
          <w:numId w:val="2"/>
        </w:numPr>
        <w:spacing w:line="360" w:lineRule="auto"/>
        <w:jc w:val="both"/>
        <w:rPr>
          <w:rFonts w:cs="Times New Roman"/>
        </w:rPr>
      </w:pPr>
      <w:r w:rsidRPr="00D27DAB">
        <w:rPr>
          <w:rFonts w:cs="Times New Roman"/>
        </w:rPr>
        <w:t>It is against this background that applicant has launched this application seeking the relief mentioned above.</w:t>
      </w:r>
    </w:p>
    <w:p w:rsidR="00330436" w:rsidRPr="00D27DAB" w:rsidRDefault="00330436" w:rsidP="00330436">
      <w:pPr>
        <w:pStyle w:val="ListParagraph"/>
        <w:spacing w:line="360" w:lineRule="auto"/>
        <w:ind w:left="1440"/>
        <w:jc w:val="both"/>
        <w:rPr>
          <w:rFonts w:ascii="Times New Roman" w:hAnsi="Times New Roman" w:cs="Times New Roman"/>
        </w:rPr>
      </w:pPr>
    </w:p>
    <w:p w:rsidR="00330436" w:rsidRPr="004C1CCD" w:rsidRDefault="00305DE4" w:rsidP="00200BCA">
      <w:pPr>
        <w:pStyle w:val="NoSpacing"/>
        <w:numPr>
          <w:ilvl w:val="0"/>
          <w:numId w:val="2"/>
        </w:numPr>
        <w:spacing w:line="360" w:lineRule="auto"/>
        <w:jc w:val="both"/>
        <w:rPr>
          <w:szCs w:val="24"/>
        </w:rPr>
      </w:pPr>
      <w:r>
        <w:rPr>
          <w:szCs w:val="24"/>
        </w:rPr>
        <w:lastRenderedPageBreak/>
        <w:t>In its papers 2</w:t>
      </w:r>
      <w:r w:rsidRPr="00305DE4">
        <w:rPr>
          <w:szCs w:val="24"/>
          <w:vertAlign w:val="superscript"/>
        </w:rPr>
        <w:t>nd</w:t>
      </w:r>
      <w:r>
        <w:rPr>
          <w:szCs w:val="24"/>
        </w:rPr>
        <w:t xml:space="preserve"> respondent raised two preliminary points, being that applicant has no </w:t>
      </w:r>
      <w:r w:rsidRPr="00185C48">
        <w:rPr>
          <w:i/>
          <w:szCs w:val="24"/>
        </w:rPr>
        <w:t xml:space="preserve">locus standi </w:t>
      </w:r>
      <w:r>
        <w:rPr>
          <w:szCs w:val="24"/>
        </w:rPr>
        <w:t xml:space="preserve">to institute this application, and that </w:t>
      </w:r>
      <w:r w:rsidR="00D3176C">
        <w:rPr>
          <w:szCs w:val="24"/>
        </w:rPr>
        <w:t>the form used is not provided in</w:t>
      </w:r>
      <w:r w:rsidR="00EB3287">
        <w:rPr>
          <w:szCs w:val="24"/>
        </w:rPr>
        <w:t xml:space="preserve"> the rules of this court. </w:t>
      </w:r>
      <w:r w:rsidR="002C2575">
        <w:rPr>
          <w:szCs w:val="24"/>
        </w:rPr>
        <w:t xml:space="preserve">At the commencement of the hearing </w:t>
      </w:r>
      <w:proofErr w:type="spellStart"/>
      <w:r w:rsidR="00575A73">
        <w:rPr>
          <w:szCs w:val="24"/>
        </w:rPr>
        <w:t>Mr</w:t>
      </w:r>
      <w:proofErr w:type="spellEnd"/>
      <w:r w:rsidR="00575A73">
        <w:rPr>
          <w:szCs w:val="24"/>
        </w:rPr>
        <w:t xml:space="preserve"> </w:t>
      </w:r>
      <w:r w:rsidR="00575A73" w:rsidRPr="002C2575">
        <w:rPr>
          <w:i/>
          <w:szCs w:val="24"/>
        </w:rPr>
        <w:t xml:space="preserve">D. </w:t>
      </w:r>
      <w:proofErr w:type="spellStart"/>
      <w:r w:rsidR="00575A73" w:rsidRPr="002C2575">
        <w:rPr>
          <w:i/>
          <w:szCs w:val="24"/>
        </w:rPr>
        <w:t>Dube</w:t>
      </w:r>
      <w:proofErr w:type="spellEnd"/>
      <w:r w:rsidR="00575A73">
        <w:rPr>
          <w:szCs w:val="24"/>
        </w:rPr>
        <w:t xml:space="preserve"> counsel </w:t>
      </w:r>
      <w:r w:rsidR="002C2575">
        <w:rPr>
          <w:szCs w:val="24"/>
        </w:rPr>
        <w:t>for the 2</w:t>
      </w:r>
      <w:r w:rsidR="002C2575" w:rsidRPr="002C2575">
        <w:rPr>
          <w:szCs w:val="24"/>
          <w:vertAlign w:val="superscript"/>
        </w:rPr>
        <w:t>nd</w:t>
      </w:r>
      <w:r w:rsidR="002C2575">
        <w:rPr>
          <w:szCs w:val="24"/>
        </w:rPr>
        <w:t xml:space="preserve"> respondent abandoned the preliminary points. No further reference shall be </w:t>
      </w:r>
      <w:r w:rsidR="00E75AF5">
        <w:rPr>
          <w:szCs w:val="24"/>
        </w:rPr>
        <w:t>made to these preliminary objections</w:t>
      </w:r>
      <w:r w:rsidR="002C2575">
        <w:rPr>
          <w:szCs w:val="24"/>
        </w:rPr>
        <w:t xml:space="preserve">. </w:t>
      </w:r>
    </w:p>
    <w:p w:rsidR="00D148C5" w:rsidRDefault="002E3847" w:rsidP="003236AD">
      <w:pPr>
        <w:tabs>
          <w:tab w:val="left" w:pos="567"/>
        </w:tabs>
        <w:spacing w:after="0" w:line="360" w:lineRule="auto"/>
        <w:jc w:val="both"/>
        <w:rPr>
          <w:rFonts w:ascii="Times New Roman" w:hAnsi="Times New Roman"/>
          <w:b/>
          <w:sz w:val="24"/>
          <w:szCs w:val="24"/>
        </w:rPr>
      </w:pPr>
      <w:r>
        <w:rPr>
          <w:rFonts w:ascii="Times New Roman" w:hAnsi="Times New Roman"/>
          <w:b/>
          <w:sz w:val="24"/>
          <w:szCs w:val="24"/>
        </w:rPr>
        <w:t xml:space="preserve">Grounds of review </w:t>
      </w:r>
    </w:p>
    <w:p w:rsidR="002E3847" w:rsidRDefault="002E3847" w:rsidP="003236AD">
      <w:pPr>
        <w:tabs>
          <w:tab w:val="left" w:pos="567"/>
        </w:tabs>
        <w:spacing w:after="0" w:line="360" w:lineRule="auto"/>
        <w:jc w:val="both"/>
        <w:rPr>
          <w:rFonts w:ascii="Times New Roman" w:hAnsi="Times New Roman"/>
          <w:b/>
          <w:sz w:val="24"/>
          <w:szCs w:val="24"/>
        </w:rPr>
      </w:pPr>
    </w:p>
    <w:p w:rsidR="00200A4A" w:rsidRPr="00833E99" w:rsidRDefault="00833E99" w:rsidP="00200A4A">
      <w:pPr>
        <w:pStyle w:val="ListParagraph"/>
        <w:numPr>
          <w:ilvl w:val="0"/>
          <w:numId w:val="2"/>
        </w:numPr>
        <w:spacing w:line="360" w:lineRule="auto"/>
        <w:jc w:val="both"/>
        <w:rPr>
          <w:rFonts w:ascii="Times New Roman" w:hAnsi="Times New Roman" w:cs="Times New Roman"/>
          <w:bCs/>
        </w:rPr>
      </w:pPr>
      <w:r>
        <w:rPr>
          <w:rFonts w:cs="Arial"/>
          <w:bCs/>
        </w:rPr>
        <w:t>I</w:t>
      </w:r>
      <w:r w:rsidRPr="00833E99">
        <w:rPr>
          <w:rFonts w:ascii="Times New Roman" w:hAnsi="Times New Roman" w:cs="Times New Roman"/>
          <w:bCs/>
        </w:rPr>
        <w:t>n essence, the</w:t>
      </w:r>
      <w:r w:rsidR="00200A4A" w:rsidRPr="00833E99">
        <w:rPr>
          <w:rFonts w:ascii="Times New Roman" w:hAnsi="Times New Roman" w:cs="Times New Roman"/>
          <w:bCs/>
        </w:rPr>
        <w:t xml:space="preserve"> grounds on which the applica</w:t>
      </w:r>
      <w:r w:rsidRPr="00833E99">
        <w:rPr>
          <w:rFonts w:ascii="Times New Roman" w:hAnsi="Times New Roman" w:cs="Times New Roman"/>
          <w:bCs/>
        </w:rPr>
        <w:t xml:space="preserve">nt seeks to review the </w:t>
      </w:r>
      <w:r w:rsidR="00200A4A" w:rsidRPr="00833E99">
        <w:rPr>
          <w:rFonts w:ascii="Times New Roman" w:hAnsi="Times New Roman" w:cs="Times New Roman"/>
          <w:bCs/>
        </w:rPr>
        <w:t>decision</w:t>
      </w:r>
      <w:r w:rsidRPr="00833E99">
        <w:rPr>
          <w:rFonts w:ascii="Times New Roman" w:hAnsi="Times New Roman" w:cs="Times New Roman"/>
          <w:bCs/>
        </w:rPr>
        <w:t xml:space="preserve"> of the 1</w:t>
      </w:r>
      <w:r w:rsidRPr="00833E99">
        <w:rPr>
          <w:rFonts w:ascii="Times New Roman" w:hAnsi="Times New Roman" w:cs="Times New Roman"/>
          <w:bCs/>
          <w:vertAlign w:val="superscript"/>
        </w:rPr>
        <w:t>st</w:t>
      </w:r>
      <w:r w:rsidRPr="00833E99">
        <w:rPr>
          <w:rFonts w:ascii="Times New Roman" w:hAnsi="Times New Roman" w:cs="Times New Roman"/>
          <w:bCs/>
        </w:rPr>
        <w:t xml:space="preserve"> respondent are these:</w:t>
      </w:r>
    </w:p>
    <w:p w:rsidR="00200A4A" w:rsidRPr="00833E99" w:rsidRDefault="00200A4A" w:rsidP="00200A4A">
      <w:pPr>
        <w:pStyle w:val="ListParagraph"/>
        <w:spacing w:line="360" w:lineRule="auto"/>
        <w:ind w:left="0"/>
        <w:jc w:val="both"/>
        <w:rPr>
          <w:rFonts w:ascii="Times New Roman" w:hAnsi="Times New Roman" w:cs="Times New Roman"/>
          <w:bCs/>
        </w:rPr>
      </w:pPr>
    </w:p>
    <w:p w:rsidR="002E3847" w:rsidRDefault="001A34FF" w:rsidP="00833E99">
      <w:pPr>
        <w:pStyle w:val="ListParagraph"/>
        <w:numPr>
          <w:ilvl w:val="0"/>
          <w:numId w:val="8"/>
        </w:numPr>
        <w:tabs>
          <w:tab w:val="left" w:pos="567"/>
        </w:tabs>
        <w:spacing w:line="360" w:lineRule="auto"/>
        <w:jc w:val="both"/>
        <w:rPr>
          <w:rFonts w:ascii="Times New Roman" w:hAnsi="Times New Roman"/>
        </w:rPr>
      </w:pPr>
      <w:r w:rsidRPr="001A34FF">
        <w:rPr>
          <w:rFonts w:ascii="Times New Roman" w:hAnsi="Times New Roman"/>
        </w:rPr>
        <w:t xml:space="preserve">The </w:t>
      </w:r>
      <w:r>
        <w:rPr>
          <w:rFonts w:ascii="Times New Roman" w:hAnsi="Times New Roman"/>
        </w:rPr>
        <w:t>proceedings conducted by the 1</w:t>
      </w:r>
      <w:r w:rsidRPr="001A34FF">
        <w:rPr>
          <w:rFonts w:ascii="Times New Roman" w:hAnsi="Times New Roman"/>
          <w:vertAlign w:val="superscript"/>
        </w:rPr>
        <w:t>st</w:t>
      </w:r>
      <w:r>
        <w:rPr>
          <w:rFonts w:ascii="Times New Roman" w:hAnsi="Times New Roman"/>
        </w:rPr>
        <w:t xml:space="preserve"> respondent were biased in that he gave the 2</w:t>
      </w:r>
      <w:r w:rsidRPr="001A34FF">
        <w:rPr>
          <w:rFonts w:ascii="Times New Roman" w:hAnsi="Times New Roman"/>
          <w:vertAlign w:val="superscript"/>
        </w:rPr>
        <w:t>nd</w:t>
      </w:r>
      <w:r>
        <w:rPr>
          <w:rFonts w:ascii="Times New Roman" w:hAnsi="Times New Roman"/>
        </w:rPr>
        <w:t xml:space="preserve"> respondent the right of audience when 2</w:t>
      </w:r>
      <w:r w:rsidRPr="001A34FF">
        <w:rPr>
          <w:rFonts w:ascii="Times New Roman" w:hAnsi="Times New Roman"/>
          <w:vertAlign w:val="superscript"/>
        </w:rPr>
        <w:t>nd</w:t>
      </w:r>
      <w:r>
        <w:rPr>
          <w:rFonts w:ascii="Times New Roman" w:hAnsi="Times New Roman"/>
        </w:rPr>
        <w:t xml:space="preserve"> respondent had failed to produce any documentation, during the hearing and upon request, for mining at the disputed mining claim, that is Goodenough 1 and Goodenough 8 held under Reg. No. 34 308-9. </w:t>
      </w:r>
      <w:r w:rsidR="00703045">
        <w:rPr>
          <w:rFonts w:ascii="Times New Roman" w:hAnsi="Times New Roman"/>
        </w:rPr>
        <w:t>1</w:t>
      </w:r>
      <w:r w:rsidR="00703045" w:rsidRPr="00703045">
        <w:rPr>
          <w:rFonts w:ascii="Times New Roman" w:hAnsi="Times New Roman"/>
          <w:vertAlign w:val="superscript"/>
        </w:rPr>
        <w:t>st</w:t>
      </w:r>
      <w:r w:rsidR="00703045">
        <w:rPr>
          <w:rFonts w:ascii="Times New Roman" w:hAnsi="Times New Roman"/>
        </w:rPr>
        <w:t xml:space="preserve"> respondent’s decision to proceed with the hearing in such circumstances also amounted to a glaring gross irregularity in the proceedings.  </w:t>
      </w:r>
    </w:p>
    <w:p w:rsidR="00703045" w:rsidRDefault="00703045" w:rsidP="00703045">
      <w:pPr>
        <w:pStyle w:val="ListParagraph"/>
        <w:tabs>
          <w:tab w:val="left" w:pos="567"/>
        </w:tabs>
        <w:spacing w:line="360" w:lineRule="auto"/>
        <w:ind w:left="1440"/>
        <w:jc w:val="both"/>
        <w:rPr>
          <w:rFonts w:ascii="Times New Roman" w:hAnsi="Times New Roman"/>
        </w:rPr>
      </w:pPr>
    </w:p>
    <w:p w:rsidR="00AA0280" w:rsidRDefault="00781B48" w:rsidP="00703045">
      <w:pPr>
        <w:pStyle w:val="ListParagraph"/>
        <w:numPr>
          <w:ilvl w:val="0"/>
          <w:numId w:val="8"/>
        </w:numPr>
        <w:tabs>
          <w:tab w:val="left" w:pos="567"/>
        </w:tabs>
        <w:spacing w:line="360" w:lineRule="auto"/>
        <w:jc w:val="both"/>
        <w:rPr>
          <w:rFonts w:ascii="Times New Roman" w:hAnsi="Times New Roman"/>
        </w:rPr>
      </w:pPr>
      <w:r>
        <w:rPr>
          <w:rFonts w:ascii="Times New Roman" w:hAnsi="Times New Roman"/>
        </w:rPr>
        <w:t>The determination of the 1</w:t>
      </w:r>
      <w:r w:rsidRPr="00781B48">
        <w:rPr>
          <w:rFonts w:ascii="Times New Roman" w:hAnsi="Times New Roman"/>
          <w:vertAlign w:val="superscript"/>
        </w:rPr>
        <w:t>st</w:t>
      </w:r>
      <w:r>
        <w:rPr>
          <w:rFonts w:ascii="Times New Roman" w:hAnsi="Times New Roman"/>
        </w:rPr>
        <w:t xml:space="preserve"> respondent was grossly irregular in that it was at complete variance with the survey that was conducted and thus ignored the fact that the applicant was the prior peg</w:t>
      </w:r>
      <w:r w:rsidR="0050722B">
        <w:rPr>
          <w:rFonts w:ascii="Times New Roman" w:hAnsi="Times New Roman"/>
        </w:rPr>
        <w:t>g</w:t>
      </w:r>
      <w:r>
        <w:rPr>
          <w:rFonts w:ascii="Times New Roman" w:hAnsi="Times New Roman"/>
        </w:rPr>
        <w:t>ers</w:t>
      </w:r>
      <w:r w:rsidR="0050722B">
        <w:rPr>
          <w:rFonts w:ascii="Times New Roman" w:hAnsi="Times New Roman"/>
        </w:rPr>
        <w:t xml:space="preserve"> of the mining claim under dispute and ought to have been given priority in terms of section 177 of the Mines &amp; Minerals Act [Chapter 21:05]. </w:t>
      </w:r>
    </w:p>
    <w:p w:rsidR="00AA0280" w:rsidRPr="00AA0280" w:rsidRDefault="00AA0280" w:rsidP="00AA0280">
      <w:pPr>
        <w:pStyle w:val="ListParagraph"/>
        <w:rPr>
          <w:rFonts w:ascii="Times New Roman" w:hAnsi="Times New Roman"/>
        </w:rPr>
      </w:pPr>
    </w:p>
    <w:p w:rsidR="00B449D7" w:rsidRDefault="00AA0280" w:rsidP="00AA0280">
      <w:pPr>
        <w:pStyle w:val="ListParagraph"/>
        <w:tabs>
          <w:tab w:val="left" w:pos="567"/>
        </w:tabs>
        <w:spacing w:line="360" w:lineRule="auto"/>
        <w:ind w:left="1440"/>
        <w:jc w:val="both"/>
        <w:rPr>
          <w:rFonts w:ascii="Times New Roman" w:hAnsi="Times New Roman"/>
        </w:rPr>
      </w:pPr>
      <w:r>
        <w:rPr>
          <w:rFonts w:ascii="Times New Roman" w:hAnsi="Times New Roman"/>
        </w:rPr>
        <w:t xml:space="preserve">A </w:t>
      </w:r>
      <w:r w:rsidRPr="00AA0280">
        <w:rPr>
          <w:rFonts w:ascii="Times New Roman" w:hAnsi="Times New Roman"/>
          <w:i/>
        </w:rPr>
        <w:t>fortiori</w:t>
      </w:r>
      <w:r>
        <w:rPr>
          <w:rFonts w:ascii="Times New Roman" w:hAnsi="Times New Roman"/>
        </w:rPr>
        <w:t xml:space="preserve">, </w:t>
      </w:r>
      <w:r w:rsidR="00781B48">
        <w:rPr>
          <w:rFonts w:ascii="Times New Roman" w:hAnsi="Times New Roman"/>
        </w:rPr>
        <w:t xml:space="preserve">  </w:t>
      </w:r>
      <w:r>
        <w:rPr>
          <w:rFonts w:ascii="Times New Roman" w:hAnsi="Times New Roman"/>
        </w:rPr>
        <w:t>the interpretation and application of section 177 of the Mines and Minerals Act by the 1</w:t>
      </w:r>
      <w:r w:rsidRPr="00AA0280">
        <w:rPr>
          <w:rFonts w:ascii="Times New Roman" w:hAnsi="Times New Roman"/>
          <w:vertAlign w:val="superscript"/>
        </w:rPr>
        <w:t>st</w:t>
      </w:r>
      <w:r>
        <w:rPr>
          <w:rFonts w:ascii="Times New Roman" w:hAnsi="Times New Roman"/>
        </w:rPr>
        <w:t xml:space="preserve"> respondent was so outrageous in its defiance of logic that no reasonable or right minded person seized with the similar facts and circumstances</w:t>
      </w:r>
      <w:r w:rsidR="00B449D7">
        <w:rPr>
          <w:rFonts w:ascii="Times New Roman" w:hAnsi="Times New Roman"/>
        </w:rPr>
        <w:t xml:space="preserve"> would have arrived at a similar decision.</w:t>
      </w:r>
    </w:p>
    <w:p w:rsidR="00B449D7" w:rsidRDefault="00B449D7" w:rsidP="00AA0280">
      <w:pPr>
        <w:pStyle w:val="ListParagraph"/>
        <w:tabs>
          <w:tab w:val="left" w:pos="567"/>
        </w:tabs>
        <w:spacing w:line="360" w:lineRule="auto"/>
        <w:ind w:left="1440"/>
        <w:jc w:val="both"/>
        <w:rPr>
          <w:rFonts w:ascii="Times New Roman" w:hAnsi="Times New Roman"/>
        </w:rPr>
      </w:pPr>
    </w:p>
    <w:p w:rsidR="00703045" w:rsidRPr="001A34FF" w:rsidRDefault="00B449D7" w:rsidP="00B449D7">
      <w:pPr>
        <w:pStyle w:val="ListParagraph"/>
        <w:numPr>
          <w:ilvl w:val="0"/>
          <w:numId w:val="8"/>
        </w:numPr>
        <w:tabs>
          <w:tab w:val="left" w:pos="567"/>
        </w:tabs>
        <w:spacing w:line="360" w:lineRule="auto"/>
        <w:jc w:val="both"/>
        <w:rPr>
          <w:rFonts w:ascii="Times New Roman" w:hAnsi="Times New Roman"/>
        </w:rPr>
      </w:pPr>
      <w:r>
        <w:rPr>
          <w:rFonts w:ascii="Times New Roman" w:hAnsi="Times New Roman"/>
        </w:rPr>
        <w:t>The 1</w:t>
      </w:r>
      <w:r w:rsidRPr="00B449D7">
        <w:rPr>
          <w:rFonts w:ascii="Times New Roman" w:hAnsi="Times New Roman"/>
          <w:vertAlign w:val="superscript"/>
        </w:rPr>
        <w:t>st</w:t>
      </w:r>
      <w:r>
        <w:rPr>
          <w:rFonts w:ascii="Times New Roman" w:hAnsi="Times New Roman"/>
        </w:rPr>
        <w:t xml:space="preserve"> respondent finding that the workings under contest fell outside Goodenough boundaries as pegged in 1988 is so outrageous and irrational and grossly irregular as it is </w:t>
      </w:r>
      <w:r w:rsidR="00EE1FC5">
        <w:rPr>
          <w:rFonts w:ascii="Times New Roman" w:hAnsi="Times New Roman"/>
        </w:rPr>
        <w:t xml:space="preserve">contradictory to the survey diagram attached to the </w:t>
      </w:r>
      <w:r w:rsidR="00EE1FC5">
        <w:rPr>
          <w:rFonts w:ascii="Times New Roman" w:hAnsi="Times New Roman"/>
        </w:rPr>
        <w:lastRenderedPageBreak/>
        <w:t>determination of the 1</w:t>
      </w:r>
      <w:r w:rsidR="00EE1FC5" w:rsidRPr="00EE1FC5">
        <w:rPr>
          <w:rFonts w:ascii="Times New Roman" w:hAnsi="Times New Roman"/>
          <w:vertAlign w:val="superscript"/>
        </w:rPr>
        <w:t>st</w:t>
      </w:r>
      <w:r w:rsidR="00EE1FC5">
        <w:rPr>
          <w:rFonts w:ascii="Times New Roman" w:hAnsi="Times New Roman"/>
        </w:rPr>
        <w:t xml:space="preserve"> respondent and also the 1</w:t>
      </w:r>
      <w:r w:rsidR="00EE1FC5" w:rsidRPr="00EE1FC5">
        <w:rPr>
          <w:rFonts w:ascii="Times New Roman" w:hAnsi="Times New Roman"/>
          <w:vertAlign w:val="superscript"/>
        </w:rPr>
        <w:t>st</w:t>
      </w:r>
      <w:r w:rsidR="00EE1FC5">
        <w:rPr>
          <w:rFonts w:ascii="Times New Roman" w:hAnsi="Times New Roman"/>
        </w:rPr>
        <w:t xml:space="preserve"> respondent’s admission that the applicant’s claims were pegged prior </w:t>
      </w:r>
      <w:r w:rsidR="00997240">
        <w:rPr>
          <w:rFonts w:ascii="Times New Roman" w:hAnsi="Times New Roman"/>
        </w:rPr>
        <w:t>the 2</w:t>
      </w:r>
      <w:r w:rsidR="00997240" w:rsidRPr="00997240">
        <w:rPr>
          <w:rFonts w:ascii="Times New Roman" w:hAnsi="Times New Roman"/>
          <w:vertAlign w:val="superscript"/>
        </w:rPr>
        <w:t>nd</w:t>
      </w:r>
      <w:r w:rsidR="00997240">
        <w:rPr>
          <w:rFonts w:ascii="Times New Roman" w:hAnsi="Times New Roman"/>
        </w:rPr>
        <w:t xml:space="preserve"> respondent’s special grant. </w:t>
      </w:r>
      <w:r w:rsidR="00AA0280">
        <w:rPr>
          <w:rFonts w:ascii="Times New Roman" w:hAnsi="Times New Roman"/>
        </w:rPr>
        <w:t xml:space="preserve"> </w:t>
      </w:r>
    </w:p>
    <w:p w:rsidR="00AF4037" w:rsidRDefault="00AF4037" w:rsidP="00D866E5">
      <w:pPr>
        <w:tabs>
          <w:tab w:val="left" w:pos="567"/>
        </w:tabs>
        <w:spacing w:after="0" w:line="480" w:lineRule="auto"/>
        <w:jc w:val="both"/>
        <w:rPr>
          <w:rFonts w:ascii="Times New Roman" w:hAnsi="Times New Roman"/>
          <w:b/>
          <w:sz w:val="24"/>
          <w:szCs w:val="24"/>
        </w:rPr>
      </w:pPr>
    </w:p>
    <w:p w:rsidR="00FE4306" w:rsidRDefault="00FE4306" w:rsidP="00D866E5">
      <w:pPr>
        <w:tabs>
          <w:tab w:val="left" w:pos="567"/>
        </w:tabs>
        <w:spacing w:after="0" w:line="480" w:lineRule="auto"/>
        <w:jc w:val="both"/>
        <w:rPr>
          <w:rFonts w:ascii="Times New Roman" w:hAnsi="Times New Roman"/>
          <w:b/>
          <w:sz w:val="24"/>
          <w:szCs w:val="24"/>
        </w:rPr>
      </w:pPr>
      <w:r>
        <w:rPr>
          <w:rFonts w:ascii="Times New Roman" w:hAnsi="Times New Roman"/>
          <w:b/>
          <w:sz w:val="24"/>
          <w:szCs w:val="24"/>
        </w:rPr>
        <w:t>Submissions by the parties</w:t>
      </w:r>
    </w:p>
    <w:p w:rsidR="00233F09" w:rsidRDefault="009A5B12" w:rsidP="000B70E5">
      <w:pPr>
        <w:pStyle w:val="ListParagraph"/>
        <w:numPr>
          <w:ilvl w:val="0"/>
          <w:numId w:val="2"/>
        </w:numPr>
        <w:tabs>
          <w:tab w:val="left" w:pos="567"/>
        </w:tabs>
        <w:spacing w:line="360" w:lineRule="auto"/>
        <w:jc w:val="both"/>
        <w:rPr>
          <w:rFonts w:ascii="Times New Roman" w:hAnsi="Times New Roman"/>
        </w:rPr>
      </w:pPr>
      <w:r w:rsidRPr="009A5B12">
        <w:rPr>
          <w:rFonts w:ascii="Times New Roman" w:hAnsi="Times New Roman"/>
        </w:rPr>
        <w:t xml:space="preserve">Applicant contends that the disputed claims </w:t>
      </w:r>
      <w:r w:rsidR="000B70E5">
        <w:rPr>
          <w:rFonts w:ascii="Times New Roman" w:hAnsi="Times New Roman"/>
        </w:rPr>
        <w:t xml:space="preserve">fall within the mining claims that it acquired </w:t>
      </w:r>
      <w:r w:rsidR="00D13F11">
        <w:rPr>
          <w:rFonts w:ascii="Times New Roman" w:hAnsi="Times New Roman"/>
        </w:rPr>
        <w:t xml:space="preserve">particularly those under Goodenough 7 and 8. </w:t>
      </w:r>
      <w:r w:rsidR="00B4617A">
        <w:rPr>
          <w:rFonts w:ascii="Times New Roman" w:hAnsi="Times New Roman"/>
        </w:rPr>
        <w:t>It is submitted that 2</w:t>
      </w:r>
      <w:r w:rsidR="00B4617A" w:rsidRPr="00B4617A">
        <w:rPr>
          <w:rFonts w:ascii="Times New Roman" w:hAnsi="Times New Roman"/>
          <w:vertAlign w:val="superscript"/>
        </w:rPr>
        <w:t>nd</w:t>
      </w:r>
      <w:r w:rsidR="00B4617A">
        <w:rPr>
          <w:rFonts w:ascii="Times New Roman" w:hAnsi="Times New Roman"/>
        </w:rPr>
        <w:t xml:space="preserve"> respondent does not hold title to the</w:t>
      </w:r>
      <w:r w:rsidR="00D14BE3">
        <w:rPr>
          <w:rFonts w:ascii="Times New Roman" w:hAnsi="Times New Roman"/>
        </w:rPr>
        <w:t xml:space="preserve">se mining claims. It does not even possess a special grant that it alleges </w:t>
      </w:r>
      <w:r w:rsidR="001C45D8">
        <w:rPr>
          <w:rFonts w:ascii="Times New Roman" w:hAnsi="Times New Roman"/>
        </w:rPr>
        <w:t>it was given by 1</w:t>
      </w:r>
      <w:r w:rsidR="001C45D8" w:rsidRPr="001C45D8">
        <w:rPr>
          <w:rFonts w:ascii="Times New Roman" w:hAnsi="Times New Roman"/>
          <w:vertAlign w:val="superscript"/>
        </w:rPr>
        <w:t>st</w:t>
      </w:r>
      <w:r w:rsidR="001C45D8">
        <w:rPr>
          <w:rFonts w:ascii="Times New Roman" w:hAnsi="Times New Roman"/>
        </w:rPr>
        <w:t xml:space="preserve"> respondent. It is submitted that </w:t>
      </w:r>
      <w:r w:rsidR="00D54B26">
        <w:rPr>
          <w:rFonts w:ascii="Times New Roman" w:hAnsi="Times New Roman"/>
        </w:rPr>
        <w:t xml:space="preserve">during the hearing of the matter, applicant produced its mining papers </w:t>
      </w:r>
      <w:r w:rsidR="00EE710E">
        <w:rPr>
          <w:rFonts w:ascii="Times New Roman" w:hAnsi="Times New Roman"/>
        </w:rPr>
        <w:t>and 2</w:t>
      </w:r>
      <w:r w:rsidR="00EE710E" w:rsidRPr="00EE710E">
        <w:rPr>
          <w:rFonts w:ascii="Times New Roman" w:hAnsi="Times New Roman"/>
          <w:vertAlign w:val="superscript"/>
        </w:rPr>
        <w:t>nd</w:t>
      </w:r>
      <w:r w:rsidR="00EE710E">
        <w:rPr>
          <w:rFonts w:ascii="Times New Roman" w:hAnsi="Times New Roman"/>
        </w:rPr>
        <w:t xml:space="preserve"> res</w:t>
      </w:r>
      <w:r w:rsidR="000F11D8">
        <w:rPr>
          <w:rFonts w:ascii="Times New Roman" w:hAnsi="Times New Roman"/>
        </w:rPr>
        <w:t xml:space="preserve">pondent failed to produce a copy of the special grant to the mining claims in question. </w:t>
      </w:r>
      <w:r w:rsidR="009A0326">
        <w:rPr>
          <w:rFonts w:ascii="Times New Roman" w:hAnsi="Times New Roman"/>
        </w:rPr>
        <w:t xml:space="preserve">It is further submitted that </w:t>
      </w:r>
      <w:r w:rsidR="00057F49">
        <w:rPr>
          <w:rFonts w:ascii="Times New Roman" w:hAnsi="Times New Roman"/>
        </w:rPr>
        <w:t>2</w:t>
      </w:r>
      <w:r w:rsidR="00057F49" w:rsidRPr="00057F49">
        <w:rPr>
          <w:rFonts w:ascii="Times New Roman" w:hAnsi="Times New Roman"/>
          <w:vertAlign w:val="superscript"/>
        </w:rPr>
        <w:t>nd</w:t>
      </w:r>
      <w:r w:rsidR="00057F49">
        <w:rPr>
          <w:rFonts w:ascii="Times New Roman" w:hAnsi="Times New Roman"/>
        </w:rPr>
        <w:t xml:space="preserve"> respondent is an illegal miner who encroached into applicant’s claims </w:t>
      </w:r>
      <w:r w:rsidR="001A4A30">
        <w:rPr>
          <w:rFonts w:ascii="Times New Roman" w:hAnsi="Times New Roman"/>
        </w:rPr>
        <w:t>without any supporting paper work. It is argued that 2</w:t>
      </w:r>
      <w:r w:rsidR="001A4A30" w:rsidRPr="001A4A30">
        <w:rPr>
          <w:rFonts w:ascii="Times New Roman" w:hAnsi="Times New Roman"/>
          <w:vertAlign w:val="superscript"/>
        </w:rPr>
        <w:t>nd</w:t>
      </w:r>
      <w:r w:rsidR="001A4A30">
        <w:rPr>
          <w:rFonts w:ascii="Times New Roman" w:hAnsi="Times New Roman"/>
        </w:rPr>
        <w:t xml:space="preserve"> respondent is not entitled to carry out any mining activities</w:t>
      </w:r>
      <w:r w:rsidR="00AD1224">
        <w:rPr>
          <w:rFonts w:ascii="Times New Roman" w:hAnsi="Times New Roman"/>
        </w:rPr>
        <w:t xml:space="preserve"> at the disputed mining claims. </w:t>
      </w:r>
    </w:p>
    <w:p w:rsidR="000A0D22" w:rsidRDefault="000A0D22" w:rsidP="000A0D22">
      <w:pPr>
        <w:pStyle w:val="ListParagraph"/>
        <w:tabs>
          <w:tab w:val="left" w:pos="567"/>
        </w:tabs>
        <w:spacing w:line="360" w:lineRule="auto"/>
        <w:jc w:val="both"/>
        <w:rPr>
          <w:rFonts w:ascii="Times New Roman" w:hAnsi="Times New Roman"/>
        </w:rPr>
      </w:pPr>
    </w:p>
    <w:p w:rsidR="000A0D22" w:rsidRDefault="000A0D22" w:rsidP="000A0D22">
      <w:pPr>
        <w:pStyle w:val="ListParagraph"/>
        <w:numPr>
          <w:ilvl w:val="0"/>
          <w:numId w:val="2"/>
        </w:numPr>
        <w:tabs>
          <w:tab w:val="left" w:pos="567"/>
        </w:tabs>
        <w:spacing w:line="360" w:lineRule="auto"/>
        <w:jc w:val="both"/>
        <w:rPr>
          <w:rFonts w:ascii="Times New Roman" w:hAnsi="Times New Roman"/>
        </w:rPr>
      </w:pPr>
      <w:r>
        <w:rPr>
          <w:rFonts w:ascii="Times New Roman" w:hAnsi="Times New Roman"/>
        </w:rPr>
        <w:t>According to the applicant 1</w:t>
      </w:r>
      <w:r w:rsidRPr="000A0D22">
        <w:rPr>
          <w:rFonts w:ascii="Times New Roman" w:hAnsi="Times New Roman"/>
          <w:vertAlign w:val="superscript"/>
        </w:rPr>
        <w:t>st</w:t>
      </w:r>
      <w:r>
        <w:rPr>
          <w:rFonts w:ascii="Times New Roman" w:hAnsi="Times New Roman"/>
        </w:rPr>
        <w:t xml:space="preserve"> respondent was biased in favour of the 2</w:t>
      </w:r>
      <w:r w:rsidRPr="000A0D22">
        <w:rPr>
          <w:rFonts w:ascii="Times New Roman" w:hAnsi="Times New Roman"/>
          <w:vertAlign w:val="superscript"/>
        </w:rPr>
        <w:t>nd</w:t>
      </w:r>
      <w:r>
        <w:rPr>
          <w:rFonts w:ascii="Times New Roman" w:hAnsi="Times New Roman"/>
        </w:rPr>
        <w:t xml:space="preserve"> respondent. </w:t>
      </w:r>
      <w:r w:rsidR="003C3EB0">
        <w:rPr>
          <w:rFonts w:ascii="Times New Roman" w:hAnsi="Times New Roman"/>
        </w:rPr>
        <w:t xml:space="preserve">This contention is anchored on the allegation that </w:t>
      </w:r>
      <w:r w:rsidR="007228E6">
        <w:rPr>
          <w:rFonts w:ascii="Times New Roman" w:hAnsi="Times New Roman"/>
        </w:rPr>
        <w:t>1</w:t>
      </w:r>
      <w:r w:rsidR="007228E6" w:rsidRPr="007228E6">
        <w:rPr>
          <w:rFonts w:ascii="Times New Roman" w:hAnsi="Times New Roman"/>
          <w:vertAlign w:val="superscript"/>
        </w:rPr>
        <w:t>st</w:t>
      </w:r>
      <w:r w:rsidR="007228E6">
        <w:rPr>
          <w:rFonts w:ascii="Times New Roman" w:hAnsi="Times New Roman"/>
        </w:rPr>
        <w:t xml:space="preserve"> respondent said 2</w:t>
      </w:r>
      <w:r w:rsidR="007228E6" w:rsidRPr="007228E6">
        <w:rPr>
          <w:rFonts w:ascii="Times New Roman" w:hAnsi="Times New Roman"/>
          <w:vertAlign w:val="superscript"/>
        </w:rPr>
        <w:t>nd</w:t>
      </w:r>
      <w:r w:rsidR="007228E6">
        <w:rPr>
          <w:rFonts w:ascii="Times New Roman" w:hAnsi="Times New Roman"/>
        </w:rPr>
        <w:t xml:space="preserve"> respondent has a special grant when none exists. </w:t>
      </w:r>
      <w:r w:rsidR="003942CB">
        <w:rPr>
          <w:rFonts w:ascii="Times New Roman" w:hAnsi="Times New Roman"/>
        </w:rPr>
        <w:t>1</w:t>
      </w:r>
      <w:r w:rsidR="003942CB" w:rsidRPr="003942CB">
        <w:rPr>
          <w:rFonts w:ascii="Times New Roman" w:hAnsi="Times New Roman"/>
          <w:vertAlign w:val="superscript"/>
        </w:rPr>
        <w:t>st</w:t>
      </w:r>
      <w:r w:rsidR="003942CB">
        <w:rPr>
          <w:rFonts w:ascii="Times New Roman" w:hAnsi="Times New Roman"/>
        </w:rPr>
        <w:t xml:space="preserve"> respondent is criticized for having continued with the hearing </w:t>
      </w:r>
      <w:r w:rsidR="007404D3">
        <w:rPr>
          <w:rFonts w:ascii="Times New Roman" w:hAnsi="Times New Roman"/>
        </w:rPr>
        <w:t>and found in favour of the 2</w:t>
      </w:r>
      <w:r w:rsidR="007404D3" w:rsidRPr="007404D3">
        <w:rPr>
          <w:rFonts w:ascii="Times New Roman" w:hAnsi="Times New Roman"/>
          <w:vertAlign w:val="superscript"/>
        </w:rPr>
        <w:t>nd</w:t>
      </w:r>
      <w:r w:rsidR="00760EDE">
        <w:rPr>
          <w:rFonts w:ascii="Times New Roman" w:hAnsi="Times New Roman"/>
        </w:rPr>
        <w:t xml:space="preserve"> respondent, when the latter failed to produce any documents in support of its claim. </w:t>
      </w:r>
    </w:p>
    <w:p w:rsidR="00FF5001" w:rsidRPr="00FF5001" w:rsidRDefault="00FF5001" w:rsidP="00FF5001">
      <w:pPr>
        <w:pStyle w:val="ListParagraph"/>
        <w:rPr>
          <w:rFonts w:ascii="Times New Roman" w:hAnsi="Times New Roman"/>
        </w:rPr>
      </w:pPr>
    </w:p>
    <w:p w:rsidR="00FF5001" w:rsidRDefault="001414A1" w:rsidP="000A0D22">
      <w:pPr>
        <w:pStyle w:val="ListParagraph"/>
        <w:numPr>
          <w:ilvl w:val="0"/>
          <w:numId w:val="2"/>
        </w:numPr>
        <w:tabs>
          <w:tab w:val="left" w:pos="567"/>
        </w:tabs>
        <w:spacing w:line="360" w:lineRule="auto"/>
        <w:jc w:val="both"/>
        <w:rPr>
          <w:rFonts w:ascii="Times New Roman" w:hAnsi="Times New Roman"/>
        </w:rPr>
      </w:pPr>
      <w:r>
        <w:rPr>
          <w:rFonts w:ascii="Times New Roman" w:hAnsi="Times New Roman"/>
        </w:rPr>
        <w:t xml:space="preserve">Applicants contends </w:t>
      </w:r>
      <w:r w:rsidR="00BE43C6">
        <w:rPr>
          <w:rFonts w:ascii="Times New Roman" w:hAnsi="Times New Roman"/>
        </w:rPr>
        <w:t xml:space="preserve">further </w:t>
      </w:r>
      <w:r>
        <w:rPr>
          <w:rFonts w:ascii="Times New Roman" w:hAnsi="Times New Roman"/>
        </w:rPr>
        <w:t xml:space="preserve">that </w:t>
      </w:r>
      <w:r w:rsidR="00A67243">
        <w:rPr>
          <w:rFonts w:ascii="Times New Roman" w:hAnsi="Times New Roman"/>
        </w:rPr>
        <w:t>the determination of the 1</w:t>
      </w:r>
      <w:r w:rsidR="00A67243" w:rsidRPr="00A67243">
        <w:rPr>
          <w:rFonts w:ascii="Times New Roman" w:hAnsi="Times New Roman"/>
          <w:vertAlign w:val="superscript"/>
        </w:rPr>
        <w:t>st</w:t>
      </w:r>
      <w:r w:rsidR="000A6E5B">
        <w:rPr>
          <w:rFonts w:ascii="Times New Roman" w:hAnsi="Times New Roman"/>
        </w:rPr>
        <w:t xml:space="preserve"> respondent is grossly irregular and ought to be set aside. In support of this contention it is argued that applicant’s </w:t>
      </w:r>
      <w:r>
        <w:rPr>
          <w:rFonts w:ascii="Times New Roman" w:hAnsi="Times New Roman"/>
        </w:rPr>
        <w:t xml:space="preserve">mining claims were pegged and registered in 1988. The alleged special grant was </w:t>
      </w:r>
      <w:r w:rsidR="00200AF6">
        <w:rPr>
          <w:rFonts w:ascii="Times New Roman" w:hAnsi="Times New Roman"/>
        </w:rPr>
        <w:t>allegedly issued to the 2</w:t>
      </w:r>
      <w:r w:rsidR="00200AF6" w:rsidRPr="00200AF6">
        <w:rPr>
          <w:rFonts w:ascii="Times New Roman" w:hAnsi="Times New Roman"/>
          <w:vertAlign w:val="superscript"/>
        </w:rPr>
        <w:t>nd</w:t>
      </w:r>
      <w:r w:rsidR="00200AF6">
        <w:rPr>
          <w:rFonts w:ascii="Times New Roman" w:hAnsi="Times New Roman"/>
        </w:rPr>
        <w:t xml:space="preserve"> respondent in May 2021. </w:t>
      </w:r>
      <w:r w:rsidR="00306617">
        <w:rPr>
          <w:rFonts w:ascii="Times New Roman" w:hAnsi="Times New Roman"/>
        </w:rPr>
        <w:t xml:space="preserve">It is submitted that </w:t>
      </w:r>
      <w:r w:rsidR="00BE43C6">
        <w:rPr>
          <w:rFonts w:ascii="Times New Roman" w:hAnsi="Times New Roman"/>
        </w:rPr>
        <w:t xml:space="preserve">when </w:t>
      </w:r>
      <w:r w:rsidR="00306617">
        <w:rPr>
          <w:rFonts w:ascii="Times New Roman" w:hAnsi="Times New Roman"/>
        </w:rPr>
        <w:t>the applicant’s claims were pegged there was no GPS system</w:t>
      </w:r>
      <w:r w:rsidR="00784334">
        <w:rPr>
          <w:rFonts w:ascii="Times New Roman" w:hAnsi="Times New Roman"/>
        </w:rPr>
        <w:t xml:space="preserve"> so its bounda</w:t>
      </w:r>
      <w:r w:rsidR="005D2F57">
        <w:rPr>
          <w:rFonts w:ascii="Times New Roman" w:hAnsi="Times New Roman"/>
        </w:rPr>
        <w:t>ry was</w:t>
      </w:r>
      <w:r w:rsidR="00812ED2">
        <w:rPr>
          <w:rFonts w:ascii="Times New Roman" w:hAnsi="Times New Roman"/>
        </w:rPr>
        <w:t xml:space="preserve"> established by the pegs that exists on the ground. </w:t>
      </w:r>
    </w:p>
    <w:p w:rsidR="00CB0036" w:rsidRPr="00CB0036" w:rsidRDefault="00CB0036" w:rsidP="00CB0036">
      <w:pPr>
        <w:pStyle w:val="ListParagraph"/>
        <w:rPr>
          <w:rFonts w:ascii="Times New Roman" w:hAnsi="Times New Roman"/>
        </w:rPr>
      </w:pPr>
    </w:p>
    <w:p w:rsidR="00CB0036" w:rsidRDefault="00CB0036" w:rsidP="000A0D22">
      <w:pPr>
        <w:pStyle w:val="ListParagraph"/>
        <w:numPr>
          <w:ilvl w:val="0"/>
          <w:numId w:val="2"/>
        </w:numPr>
        <w:tabs>
          <w:tab w:val="left" w:pos="567"/>
        </w:tabs>
        <w:spacing w:line="360" w:lineRule="auto"/>
        <w:jc w:val="both"/>
        <w:rPr>
          <w:rFonts w:ascii="Times New Roman" w:hAnsi="Times New Roman"/>
        </w:rPr>
      </w:pPr>
      <w:r>
        <w:rPr>
          <w:rFonts w:ascii="Times New Roman" w:hAnsi="Times New Roman"/>
        </w:rPr>
        <w:t xml:space="preserve">It is contended for the applicant that </w:t>
      </w:r>
      <w:r w:rsidR="008700FB">
        <w:rPr>
          <w:rFonts w:ascii="Times New Roman" w:hAnsi="Times New Roman"/>
        </w:rPr>
        <w:t>the survey diagram clearly established the pegs that were in existence as far ba</w:t>
      </w:r>
      <w:r w:rsidR="00161253">
        <w:rPr>
          <w:rFonts w:ascii="Times New Roman" w:hAnsi="Times New Roman"/>
        </w:rPr>
        <w:t xml:space="preserve">ck as 1988 on the mining claims and </w:t>
      </w:r>
      <w:r w:rsidR="00C178A3">
        <w:rPr>
          <w:rFonts w:ascii="Times New Roman" w:hAnsi="Times New Roman"/>
        </w:rPr>
        <w:t>the mining shafts in question fa</w:t>
      </w:r>
      <w:r w:rsidR="00161253">
        <w:rPr>
          <w:rFonts w:ascii="Times New Roman" w:hAnsi="Times New Roman"/>
        </w:rPr>
        <w:t xml:space="preserve">ll within the pegged area of the applicant. </w:t>
      </w:r>
      <w:r w:rsidR="00BE5B62">
        <w:rPr>
          <w:rFonts w:ascii="Times New Roman" w:hAnsi="Times New Roman"/>
        </w:rPr>
        <w:t xml:space="preserve">It is argued </w:t>
      </w:r>
      <w:r w:rsidR="00C178A3">
        <w:rPr>
          <w:rFonts w:ascii="Times New Roman" w:hAnsi="Times New Roman"/>
        </w:rPr>
        <w:t xml:space="preserve">further </w:t>
      </w:r>
      <w:r w:rsidR="00BE5B62">
        <w:rPr>
          <w:rFonts w:ascii="Times New Roman" w:hAnsi="Times New Roman"/>
        </w:rPr>
        <w:t>that the 1</w:t>
      </w:r>
      <w:r w:rsidR="00BE5B62" w:rsidRPr="00BE5B62">
        <w:rPr>
          <w:rFonts w:ascii="Times New Roman" w:hAnsi="Times New Roman"/>
          <w:vertAlign w:val="superscript"/>
        </w:rPr>
        <w:t>st</w:t>
      </w:r>
      <w:r w:rsidR="00BE5B62">
        <w:rPr>
          <w:rFonts w:ascii="Times New Roman" w:hAnsi="Times New Roman"/>
        </w:rPr>
        <w:t xml:space="preserve"> respondent was obliged to give effect to the first peggers and deal with the pegs </w:t>
      </w:r>
      <w:r w:rsidR="00A00C33">
        <w:rPr>
          <w:rFonts w:ascii="Times New Roman" w:hAnsi="Times New Roman"/>
        </w:rPr>
        <w:t>on the ground as they were pegged without the GPS system then. It is submitted that the 1</w:t>
      </w:r>
      <w:r w:rsidR="00A00C33" w:rsidRPr="00A00C33">
        <w:rPr>
          <w:rFonts w:ascii="Times New Roman" w:hAnsi="Times New Roman"/>
          <w:vertAlign w:val="superscript"/>
        </w:rPr>
        <w:t>st</w:t>
      </w:r>
      <w:r w:rsidR="00A00C33">
        <w:rPr>
          <w:rFonts w:ascii="Times New Roman" w:hAnsi="Times New Roman"/>
        </w:rPr>
        <w:t xml:space="preserve"> </w:t>
      </w:r>
      <w:r w:rsidR="00A00C33">
        <w:rPr>
          <w:rFonts w:ascii="Times New Roman" w:hAnsi="Times New Roman"/>
        </w:rPr>
        <w:lastRenderedPageBreak/>
        <w:t xml:space="preserve">respondent was in error in seeking to determine the dispute using GPS system </w:t>
      </w:r>
      <w:r w:rsidR="00B913BD">
        <w:rPr>
          <w:rFonts w:ascii="Times New Roman" w:hAnsi="Times New Roman"/>
        </w:rPr>
        <w:t xml:space="preserve">when applicant’s claims were pegged before the GPS system. </w:t>
      </w:r>
      <w:r w:rsidR="00643E2F">
        <w:rPr>
          <w:rFonts w:ascii="Times New Roman" w:hAnsi="Times New Roman"/>
        </w:rPr>
        <w:tab/>
      </w:r>
    </w:p>
    <w:p w:rsidR="000C7FFB" w:rsidRPr="000C7FFB" w:rsidRDefault="000C7FFB" w:rsidP="000C7FFB">
      <w:pPr>
        <w:pStyle w:val="ListParagraph"/>
        <w:rPr>
          <w:rFonts w:ascii="Times New Roman" w:hAnsi="Times New Roman"/>
        </w:rPr>
      </w:pPr>
    </w:p>
    <w:p w:rsidR="000C7FFB" w:rsidRDefault="000C7FFB" w:rsidP="000A0D22">
      <w:pPr>
        <w:pStyle w:val="ListParagraph"/>
        <w:numPr>
          <w:ilvl w:val="0"/>
          <w:numId w:val="2"/>
        </w:numPr>
        <w:tabs>
          <w:tab w:val="left" w:pos="567"/>
        </w:tabs>
        <w:spacing w:line="360" w:lineRule="auto"/>
        <w:jc w:val="both"/>
        <w:rPr>
          <w:rFonts w:ascii="Times New Roman" w:hAnsi="Times New Roman"/>
        </w:rPr>
      </w:pPr>
      <w:r>
        <w:rPr>
          <w:rFonts w:ascii="Times New Roman" w:hAnsi="Times New Roman"/>
        </w:rPr>
        <w:t>According to 2</w:t>
      </w:r>
      <w:r w:rsidRPr="000C7FFB">
        <w:rPr>
          <w:rFonts w:ascii="Times New Roman" w:hAnsi="Times New Roman"/>
          <w:vertAlign w:val="superscript"/>
        </w:rPr>
        <w:t>nd</w:t>
      </w:r>
      <w:r>
        <w:rPr>
          <w:rFonts w:ascii="Times New Roman" w:hAnsi="Times New Roman"/>
        </w:rPr>
        <w:t xml:space="preserve"> respondent applicant’s 1</w:t>
      </w:r>
      <w:r w:rsidRPr="000C7FFB">
        <w:rPr>
          <w:rFonts w:ascii="Times New Roman" w:hAnsi="Times New Roman"/>
          <w:vertAlign w:val="superscript"/>
        </w:rPr>
        <w:t>st</w:t>
      </w:r>
      <w:r>
        <w:rPr>
          <w:rFonts w:ascii="Times New Roman" w:hAnsi="Times New Roman"/>
        </w:rPr>
        <w:t xml:space="preserve"> ground of review is ill-conceived in that nothing arises from the none production of papers as 1</w:t>
      </w:r>
      <w:r w:rsidRPr="000C7FFB">
        <w:rPr>
          <w:rFonts w:ascii="Times New Roman" w:hAnsi="Times New Roman"/>
          <w:vertAlign w:val="superscript"/>
        </w:rPr>
        <w:t>st</w:t>
      </w:r>
      <w:r>
        <w:rPr>
          <w:rFonts w:ascii="Times New Roman" w:hAnsi="Times New Roman"/>
        </w:rPr>
        <w:t xml:space="preserve"> respondent can proceed </w:t>
      </w:r>
      <w:r w:rsidR="00B74CDD">
        <w:rPr>
          <w:rFonts w:ascii="Times New Roman" w:hAnsi="Times New Roman"/>
        </w:rPr>
        <w:t xml:space="preserve">on the verbal submissions made by the papers before checking records at his office. </w:t>
      </w:r>
      <w:r>
        <w:rPr>
          <w:rFonts w:ascii="Times New Roman" w:hAnsi="Times New Roman"/>
        </w:rPr>
        <w:t xml:space="preserve"> </w:t>
      </w:r>
      <w:r w:rsidR="00AB2973">
        <w:rPr>
          <w:rFonts w:ascii="Times New Roman" w:hAnsi="Times New Roman"/>
        </w:rPr>
        <w:t>It is contended that 1</w:t>
      </w:r>
      <w:r w:rsidR="00AB2973" w:rsidRPr="00AB2973">
        <w:rPr>
          <w:rFonts w:ascii="Times New Roman" w:hAnsi="Times New Roman"/>
          <w:vertAlign w:val="superscript"/>
        </w:rPr>
        <w:t>st</w:t>
      </w:r>
      <w:r w:rsidR="00AB2973">
        <w:rPr>
          <w:rFonts w:ascii="Times New Roman" w:hAnsi="Times New Roman"/>
        </w:rPr>
        <w:t xml:space="preserve"> respondent holds both parties’ titles </w:t>
      </w:r>
      <w:r w:rsidR="0079708D">
        <w:rPr>
          <w:rFonts w:ascii="Times New Roman" w:hAnsi="Times New Roman"/>
        </w:rPr>
        <w:t xml:space="preserve">and thus does not rely entirely on documents submitted at a hearing. </w:t>
      </w:r>
      <w:r w:rsidR="00DC7AA1">
        <w:rPr>
          <w:rFonts w:ascii="Times New Roman" w:hAnsi="Times New Roman"/>
        </w:rPr>
        <w:t>It is argued that the 1</w:t>
      </w:r>
      <w:r w:rsidR="00DC7AA1" w:rsidRPr="00DC7AA1">
        <w:rPr>
          <w:rFonts w:ascii="Times New Roman" w:hAnsi="Times New Roman"/>
          <w:vertAlign w:val="superscript"/>
        </w:rPr>
        <w:t>st</w:t>
      </w:r>
      <w:r w:rsidR="00DC7AA1">
        <w:rPr>
          <w:rFonts w:ascii="Times New Roman" w:hAnsi="Times New Roman"/>
        </w:rPr>
        <w:t xml:space="preserve"> respondent is the holder of a special grant SG 8565 which was granted </w:t>
      </w:r>
      <w:r w:rsidR="00BE1940">
        <w:rPr>
          <w:rFonts w:ascii="Times New Roman" w:hAnsi="Times New Roman"/>
        </w:rPr>
        <w:t xml:space="preserve">on the 19 May 2021. </w:t>
      </w:r>
    </w:p>
    <w:p w:rsidR="0079708D" w:rsidRPr="0079708D" w:rsidRDefault="0079708D" w:rsidP="0079708D">
      <w:pPr>
        <w:pStyle w:val="ListParagraph"/>
        <w:rPr>
          <w:rFonts w:ascii="Times New Roman" w:hAnsi="Times New Roman"/>
        </w:rPr>
      </w:pPr>
    </w:p>
    <w:p w:rsidR="0079708D" w:rsidRPr="009A5B12" w:rsidRDefault="00BE1940" w:rsidP="000A0D22">
      <w:pPr>
        <w:pStyle w:val="ListParagraph"/>
        <w:numPr>
          <w:ilvl w:val="0"/>
          <w:numId w:val="2"/>
        </w:numPr>
        <w:tabs>
          <w:tab w:val="left" w:pos="567"/>
        </w:tabs>
        <w:spacing w:line="360" w:lineRule="auto"/>
        <w:jc w:val="both"/>
        <w:rPr>
          <w:rFonts w:ascii="Times New Roman" w:hAnsi="Times New Roman"/>
        </w:rPr>
      </w:pPr>
      <w:r>
        <w:rPr>
          <w:rFonts w:ascii="Times New Roman" w:hAnsi="Times New Roman"/>
        </w:rPr>
        <w:t xml:space="preserve">It is submitted </w:t>
      </w:r>
      <w:r w:rsidR="00966A08">
        <w:rPr>
          <w:rFonts w:ascii="Times New Roman" w:hAnsi="Times New Roman"/>
        </w:rPr>
        <w:t xml:space="preserve">further </w:t>
      </w:r>
      <w:r>
        <w:rPr>
          <w:rFonts w:ascii="Times New Roman" w:hAnsi="Times New Roman"/>
        </w:rPr>
        <w:t xml:space="preserve">that </w:t>
      </w:r>
      <w:r w:rsidR="00011953">
        <w:rPr>
          <w:rFonts w:ascii="Times New Roman" w:hAnsi="Times New Roman"/>
        </w:rPr>
        <w:t>the second</w:t>
      </w:r>
      <w:r w:rsidR="00945862">
        <w:rPr>
          <w:rFonts w:ascii="Times New Roman" w:hAnsi="Times New Roman"/>
        </w:rPr>
        <w:t xml:space="preserve"> and third grounds of review is</w:t>
      </w:r>
      <w:r w:rsidR="00011953">
        <w:rPr>
          <w:rFonts w:ascii="Times New Roman" w:hAnsi="Times New Roman"/>
        </w:rPr>
        <w:t xml:space="preserve"> also devoid of merit in that applicant seeks </w:t>
      </w:r>
      <w:r w:rsidR="00945862">
        <w:rPr>
          <w:rFonts w:ascii="Times New Roman" w:hAnsi="Times New Roman"/>
        </w:rPr>
        <w:t>to incorporate workings falling</w:t>
      </w:r>
      <w:r w:rsidR="00011953">
        <w:rPr>
          <w:rFonts w:ascii="Times New Roman" w:hAnsi="Times New Roman"/>
        </w:rPr>
        <w:t xml:space="preserve"> outside its boundaries </w:t>
      </w:r>
      <w:r w:rsidR="00AD1833">
        <w:rPr>
          <w:rFonts w:ascii="Times New Roman" w:hAnsi="Times New Roman"/>
        </w:rPr>
        <w:t xml:space="preserve">by virtue of being an earlier </w:t>
      </w:r>
      <w:proofErr w:type="spellStart"/>
      <w:r w:rsidR="00AD1833">
        <w:rPr>
          <w:rFonts w:ascii="Times New Roman" w:hAnsi="Times New Roman"/>
        </w:rPr>
        <w:t>pegger</w:t>
      </w:r>
      <w:proofErr w:type="spellEnd"/>
      <w:r w:rsidR="00AD1833">
        <w:rPr>
          <w:rFonts w:ascii="Times New Roman" w:hAnsi="Times New Roman"/>
        </w:rPr>
        <w:t xml:space="preserve">. </w:t>
      </w:r>
      <w:r w:rsidR="00DE320B">
        <w:rPr>
          <w:rFonts w:ascii="Times New Roman" w:hAnsi="Times New Roman"/>
        </w:rPr>
        <w:t xml:space="preserve">It is argued that section 177 (3) of the Mines and Minerals Act is not applicable in this instance in view of the fact </w:t>
      </w:r>
      <w:r w:rsidR="00AD4B91">
        <w:rPr>
          <w:rFonts w:ascii="Times New Roman" w:hAnsi="Times New Roman"/>
        </w:rPr>
        <w:t>that the shafts in contention fe</w:t>
      </w:r>
      <w:r w:rsidR="00DE320B">
        <w:rPr>
          <w:rFonts w:ascii="Times New Roman" w:hAnsi="Times New Roman"/>
        </w:rPr>
        <w:t xml:space="preserve">ll outside </w:t>
      </w:r>
      <w:r w:rsidR="009D175C">
        <w:rPr>
          <w:rFonts w:ascii="Times New Roman" w:hAnsi="Times New Roman"/>
        </w:rPr>
        <w:t xml:space="preserve">applicant’s boundaries at registration. </w:t>
      </w:r>
    </w:p>
    <w:p w:rsidR="00FE4306" w:rsidRDefault="00FE4306" w:rsidP="000B70E5">
      <w:pPr>
        <w:tabs>
          <w:tab w:val="left" w:pos="567"/>
        </w:tabs>
        <w:spacing w:after="0" w:line="360" w:lineRule="auto"/>
        <w:jc w:val="both"/>
        <w:rPr>
          <w:rFonts w:ascii="Times New Roman" w:hAnsi="Times New Roman"/>
          <w:b/>
          <w:sz w:val="24"/>
          <w:szCs w:val="24"/>
        </w:rPr>
      </w:pPr>
    </w:p>
    <w:p w:rsidR="00D866E5" w:rsidRDefault="00AF4037" w:rsidP="00D866E5">
      <w:pPr>
        <w:tabs>
          <w:tab w:val="left" w:pos="567"/>
        </w:tabs>
        <w:spacing w:after="0" w:line="480" w:lineRule="auto"/>
        <w:jc w:val="both"/>
        <w:rPr>
          <w:rFonts w:ascii="Times New Roman" w:hAnsi="Times New Roman"/>
          <w:b/>
          <w:sz w:val="24"/>
          <w:szCs w:val="24"/>
        </w:rPr>
      </w:pPr>
      <w:r>
        <w:rPr>
          <w:rFonts w:ascii="Times New Roman" w:hAnsi="Times New Roman"/>
          <w:b/>
          <w:sz w:val="24"/>
          <w:szCs w:val="24"/>
        </w:rPr>
        <w:t xml:space="preserve">The law </w:t>
      </w:r>
    </w:p>
    <w:p w:rsidR="00E411A3" w:rsidRDefault="002B0DC7" w:rsidP="007566A1">
      <w:pPr>
        <w:pStyle w:val="ListParagraph"/>
        <w:numPr>
          <w:ilvl w:val="0"/>
          <w:numId w:val="2"/>
        </w:numPr>
        <w:tabs>
          <w:tab w:val="left" w:pos="567"/>
        </w:tabs>
        <w:spacing w:line="360" w:lineRule="auto"/>
        <w:jc w:val="both"/>
        <w:rPr>
          <w:rFonts w:ascii="Times New Roman" w:hAnsi="Times New Roman"/>
        </w:rPr>
      </w:pPr>
      <w:r>
        <w:rPr>
          <w:rFonts w:ascii="Times New Roman" w:hAnsi="Times New Roman"/>
        </w:rPr>
        <w:t xml:space="preserve">The </w:t>
      </w:r>
      <w:r w:rsidR="00D627E7">
        <w:rPr>
          <w:rFonts w:ascii="Times New Roman" w:hAnsi="Times New Roman"/>
        </w:rPr>
        <w:t xml:space="preserve">facts and submissions made by counsel in </w:t>
      </w:r>
      <w:r>
        <w:rPr>
          <w:rFonts w:ascii="Times New Roman" w:hAnsi="Times New Roman"/>
        </w:rPr>
        <w:t xml:space="preserve">this matter require this court to revisit the </w:t>
      </w:r>
      <w:r w:rsidR="005821B6">
        <w:rPr>
          <w:rFonts w:ascii="Times New Roman" w:hAnsi="Times New Roman"/>
        </w:rPr>
        <w:t>distinction</w:t>
      </w:r>
      <w:r>
        <w:rPr>
          <w:rFonts w:ascii="Times New Roman" w:hAnsi="Times New Roman"/>
        </w:rPr>
        <w:t xml:space="preserve"> between a review and </w:t>
      </w:r>
      <w:r w:rsidR="00D627E7">
        <w:rPr>
          <w:rFonts w:ascii="Times New Roman" w:hAnsi="Times New Roman"/>
        </w:rPr>
        <w:t xml:space="preserve">an </w:t>
      </w:r>
      <w:r>
        <w:rPr>
          <w:rFonts w:ascii="Times New Roman" w:hAnsi="Times New Roman"/>
        </w:rPr>
        <w:t xml:space="preserve">appeal. </w:t>
      </w:r>
      <w:r w:rsidR="009F4B4E">
        <w:rPr>
          <w:rFonts w:ascii="Times New Roman" w:hAnsi="Times New Roman"/>
        </w:rPr>
        <w:t xml:space="preserve">This application turns </w:t>
      </w:r>
      <w:r w:rsidR="00D467CF">
        <w:rPr>
          <w:rFonts w:ascii="Times New Roman" w:hAnsi="Times New Roman"/>
        </w:rPr>
        <w:t xml:space="preserve">on the distinction between an appeal and review. </w:t>
      </w:r>
    </w:p>
    <w:p w:rsidR="00E411A3" w:rsidRDefault="00E411A3" w:rsidP="00E411A3">
      <w:pPr>
        <w:pStyle w:val="ListParagraph"/>
        <w:tabs>
          <w:tab w:val="left" w:pos="567"/>
        </w:tabs>
        <w:spacing w:line="360" w:lineRule="auto"/>
        <w:jc w:val="both"/>
        <w:rPr>
          <w:rFonts w:ascii="Times New Roman" w:hAnsi="Times New Roman"/>
        </w:rPr>
      </w:pPr>
    </w:p>
    <w:p w:rsidR="00AF4037" w:rsidRDefault="00AF4037" w:rsidP="007566A1">
      <w:pPr>
        <w:pStyle w:val="ListParagraph"/>
        <w:numPr>
          <w:ilvl w:val="0"/>
          <w:numId w:val="2"/>
        </w:numPr>
        <w:tabs>
          <w:tab w:val="left" w:pos="567"/>
        </w:tabs>
        <w:spacing w:line="360" w:lineRule="auto"/>
        <w:jc w:val="both"/>
        <w:rPr>
          <w:rFonts w:ascii="Times New Roman" w:hAnsi="Times New Roman"/>
        </w:rPr>
      </w:pPr>
      <w:r w:rsidRPr="00AF4037">
        <w:rPr>
          <w:rFonts w:ascii="Times New Roman" w:hAnsi="Times New Roman"/>
        </w:rPr>
        <w:t xml:space="preserve">Appeal </w:t>
      </w:r>
      <w:r w:rsidR="00CA4E03">
        <w:rPr>
          <w:rFonts w:ascii="Times New Roman" w:hAnsi="Times New Roman"/>
        </w:rPr>
        <w:t xml:space="preserve">and review are both ways of reconsidering a decision. While the reason for seeking one or the other will usually be the sale – that is, dissatisfaction with the result- </w:t>
      </w:r>
      <w:r w:rsidR="007566A1">
        <w:rPr>
          <w:rFonts w:ascii="Times New Roman" w:hAnsi="Times New Roman"/>
        </w:rPr>
        <w:t xml:space="preserve">appeal and review perform different functions. Appeal is appropriate where </w:t>
      </w:r>
      <w:r w:rsidR="00A55575">
        <w:rPr>
          <w:rFonts w:ascii="Times New Roman" w:hAnsi="Times New Roman"/>
        </w:rPr>
        <w:t xml:space="preserve">it is thought that the decision-maker came to a wrong decision on the facts or the law. It is concerned </w:t>
      </w:r>
      <w:r w:rsidR="001E5553">
        <w:rPr>
          <w:rFonts w:ascii="Times New Roman" w:hAnsi="Times New Roman"/>
        </w:rPr>
        <w:t xml:space="preserve">with the merits of the case, meaning that on appeal the second decision-maker is entitled to declare the first decision right or wrong. </w:t>
      </w:r>
      <w:r w:rsidR="00E6587B">
        <w:rPr>
          <w:rFonts w:ascii="Times New Roman" w:hAnsi="Times New Roman"/>
        </w:rPr>
        <w:t xml:space="preserve">See: </w:t>
      </w:r>
      <w:proofErr w:type="spellStart"/>
      <w:r w:rsidR="00E6587B" w:rsidRPr="00E6587B">
        <w:rPr>
          <w:rFonts w:ascii="Times New Roman" w:hAnsi="Times New Roman"/>
          <w:i/>
        </w:rPr>
        <w:t>Tikly</w:t>
      </w:r>
      <w:proofErr w:type="spellEnd"/>
      <w:r w:rsidR="00E6587B" w:rsidRPr="00E6587B">
        <w:rPr>
          <w:rFonts w:ascii="Times New Roman" w:hAnsi="Times New Roman"/>
          <w:i/>
        </w:rPr>
        <w:t xml:space="preserve"> v Johannes NO </w:t>
      </w:r>
      <w:r w:rsidR="00E6587B">
        <w:rPr>
          <w:rFonts w:ascii="Times New Roman" w:hAnsi="Times New Roman"/>
        </w:rPr>
        <w:t xml:space="preserve">1963 (SA) 588 (T) @ 590 G-H. </w:t>
      </w:r>
    </w:p>
    <w:p w:rsidR="00E6587B" w:rsidRDefault="00E6587B" w:rsidP="00E6587B">
      <w:pPr>
        <w:pStyle w:val="ListParagraph"/>
        <w:tabs>
          <w:tab w:val="left" w:pos="567"/>
        </w:tabs>
        <w:spacing w:line="360" w:lineRule="auto"/>
        <w:jc w:val="both"/>
        <w:rPr>
          <w:rFonts w:ascii="Times New Roman" w:hAnsi="Times New Roman"/>
        </w:rPr>
      </w:pPr>
    </w:p>
    <w:p w:rsidR="00FD56B6" w:rsidRPr="005366AF" w:rsidRDefault="00D505A7" w:rsidP="00FD56B6">
      <w:pPr>
        <w:pStyle w:val="ListParagraph"/>
        <w:numPr>
          <w:ilvl w:val="0"/>
          <w:numId w:val="2"/>
        </w:numPr>
        <w:tabs>
          <w:tab w:val="left" w:pos="567"/>
        </w:tabs>
        <w:spacing w:line="360" w:lineRule="auto"/>
        <w:jc w:val="both"/>
        <w:rPr>
          <w:rFonts w:ascii="Times New Roman" w:hAnsi="Times New Roman"/>
        </w:rPr>
      </w:pPr>
      <w:r>
        <w:rPr>
          <w:rFonts w:ascii="Times New Roman" w:hAnsi="Times New Roman"/>
        </w:rPr>
        <w:t>Review</w:t>
      </w:r>
      <w:r w:rsidR="00E411A3">
        <w:rPr>
          <w:rFonts w:ascii="Times New Roman" w:hAnsi="Times New Roman"/>
        </w:rPr>
        <w:t xml:space="preserve"> b</w:t>
      </w:r>
      <w:r>
        <w:rPr>
          <w:rFonts w:ascii="Times New Roman" w:hAnsi="Times New Roman"/>
        </w:rPr>
        <w:t xml:space="preserve">y contrast, is not concerned with the merits of the decision but whether it was arrived at in an acceptable fashion. </w:t>
      </w:r>
      <w:r w:rsidR="00D3558D">
        <w:rPr>
          <w:rFonts w:ascii="Times New Roman" w:hAnsi="Times New Roman"/>
        </w:rPr>
        <w:t>The focus is on the process, and on the way the decision-maker came to the challenged decision.</w:t>
      </w:r>
      <w:r w:rsidR="00D3558D" w:rsidRPr="00815EBB">
        <w:rPr>
          <w:rFonts w:ascii="Times New Roman" w:hAnsi="Times New Roman"/>
        </w:rPr>
        <w:t xml:space="preserve"> Instead of asking whether the decision was right or wrong, </w:t>
      </w:r>
      <w:r w:rsidR="00CE2EF0" w:rsidRPr="00815EBB">
        <w:rPr>
          <w:rFonts w:ascii="Times New Roman" w:hAnsi="Times New Roman"/>
        </w:rPr>
        <w:t>a court on review con</w:t>
      </w:r>
      <w:r w:rsidR="00C50457">
        <w:rPr>
          <w:rFonts w:ascii="Times New Roman" w:hAnsi="Times New Roman"/>
        </w:rPr>
        <w:t>cerns itself with issues as</w:t>
      </w:r>
      <w:r w:rsidR="00FD56B6" w:rsidRPr="00815EBB">
        <w:rPr>
          <w:rFonts w:ascii="Times New Roman" w:hAnsi="Times New Roman"/>
        </w:rPr>
        <w:t xml:space="preserve"> </w:t>
      </w:r>
      <w:r w:rsidR="00FD56B6" w:rsidRPr="00815EBB">
        <w:rPr>
          <w:rFonts w:ascii="Times New Roman" w:eastAsiaTheme="minorHAnsi" w:hAnsi="Times New Roman"/>
        </w:rPr>
        <w:t xml:space="preserve">absence of </w:t>
      </w:r>
      <w:r w:rsidR="00FD56B6" w:rsidRPr="00815EBB">
        <w:rPr>
          <w:rFonts w:ascii="Times New Roman" w:eastAsiaTheme="minorHAnsi" w:hAnsi="Times New Roman"/>
        </w:rPr>
        <w:lastRenderedPageBreak/>
        <w:t>jurisdiction on the part of the court, tribunal or authority concerned; interest in the cause, bias, malice or corruption on the part of the person presiding over the court or tribunal concerned or on the part of the authority concerned, as the case may be; gross irregularity in the proceedings or the decision.</w:t>
      </w:r>
      <w:r w:rsidR="00815EBB">
        <w:rPr>
          <w:rFonts w:ascii="Times New Roman" w:eastAsiaTheme="minorHAnsi" w:hAnsi="Times New Roman"/>
        </w:rPr>
        <w:t xml:space="preserve"> See: High Court Act [Chapter 7:06]. </w:t>
      </w:r>
    </w:p>
    <w:p w:rsidR="005366AF" w:rsidRPr="005366AF" w:rsidRDefault="005366AF" w:rsidP="005366AF">
      <w:pPr>
        <w:pStyle w:val="ListParagraph"/>
        <w:rPr>
          <w:rFonts w:ascii="Times New Roman" w:hAnsi="Times New Roman"/>
        </w:rPr>
      </w:pPr>
    </w:p>
    <w:p w:rsidR="005366AF" w:rsidRDefault="005366AF" w:rsidP="00FD56B6">
      <w:pPr>
        <w:pStyle w:val="ListParagraph"/>
        <w:numPr>
          <w:ilvl w:val="0"/>
          <w:numId w:val="2"/>
        </w:numPr>
        <w:tabs>
          <w:tab w:val="left" w:pos="567"/>
        </w:tabs>
        <w:spacing w:line="360" w:lineRule="auto"/>
        <w:jc w:val="both"/>
        <w:rPr>
          <w:rFonts w:ascii="Times New Roman" w:hAnsi="Times New Roman"/>
        </w:rPr>
      </w:pPr>
      <w:r>
        <w:rPr>
          <w:rFonts w:ascii="Times New Roman" w:hAnsi="Times New Roman"/>
        </w:rPr>
        <w:t xml:space="preserve">Underscoring </w:t>
      </w:r>
      <w:r w:rsidR="00D52346">
        <w:rPr>
          <w:rFonts w:ascii="Times New Roman" w:hAnsi="Times New Roman"/>
        </w:rPr>
        <w:t xml:space="preserve">the distinction between review and appeal, Lord Brightman in </w:t>
      </w:r>
      <w:r w:rsidR="00D52346" w:rsidRPr="00457275">
        <w:rPr>
          <w:rFonts w:ascii="Times New Roman" w:hAnsi="Times New Roman"/>
          <w:i/>
        </w:rPr>
        <w:t xml:space="preserve">Chief Constable of the North Wales </w:t>
      </w:r>
      <w:r w:rsidR="009611F1" w:rsidRPr="00457275">
        <w:rPr>
          <w:rFonts w:ascii="Times New Roman" w:hAnsi="Times New Roman"/>
          <w:i/>
        </w:rPr>
        <w:t xml:space="preserve">Police v Evans </w:t>
      </w:r>
      <w:r w:rsidR="009611F1">
        <w:rPr>
          <w:rFonts w:ascii="Times New Roman" w:hAnsi="Times New Roman"/>
        </w:rPr>
        <w:t xml:space="preserve">[1982] 3 All ER 141 (HL) @ 154d, said: </w:t>
      </w:r>
    </w:p>
    <w:p w:rsidR="009611F1" w:rsidRPr="009611F1" w:rsidRDefault="009611F1" w:rsidP="009611F1">
      <w:pPr>
        <w:pStyle w:val="ListParagraph"/>
        <w:rPr>
          <w:rFonts w:ascii="Times New Roman" w:hAnsi="Times New Roman"/>
        </w:rPr>
      </w:pPr>
    </w:p>
    <w:p w:rsidR="009611F1" w:rsidRDefault="009611F1" w:rsidP="00D400D3">
      <w:pPr>
        <w:tabs>
          <w:tab w:val="left" w:pos="567"/>
        </w:tabs>
        <w:ind w:left="1440"/>
        <w:jc w:val="both"/>
        <w:rPr>
          <w:rFonts w:ascii="Times New Roman" w:hAnsi="Times New Roman"/>
          <w:sz w:val="24"/>
          <w:szCs w:val="24"/>
        </w:rPr>
      </w:pPr>
      <w:r w:rsidRPr="009611F1">
        <w:rPr>
          <w:rFonts w:ascii="Times New Roman" w:hAnsi="Times New Roman"/>
          <w:sz w:val="24"/>
          <w:szCs w:val="24"/>
        </w:rPr>
        <w:t xml:space="preserve">Judicial review </w:t>
      </w:r>
      <w:r w:rsidR="00D400D3">
        <w:rPr>
          <w:rFonts w:ascii="Times New Roman" w:hAnsi="Times New Roman"/>
          <w:sz w:val="24"/>
          <w:szCs w:val="24"/>
        </w:rPr>
        <w:t xml:space="preserve">is concerned, not with the decision, but with the decision-making process. Unless that restriction on power of the court is observed, the court will in my view, under the guise of preventing the abuse of power, be itself guilty of usurping power. </w:t>
      </w:r>
    </w:p>
    <w:p w:rsidR="00003B6C" w:rsidRDefault="00003B6C" w:rsidP="00D400D3">
      <w:pPr>
        <w:tabs>
          <w:tab w:val="left" w:pos="567"/>
        </w:tabs>
        <w:ind w:left="1440"/>
        <w:jc w:val="both"/>
        <w:rPr>
          <w:rFonts w:ascii="Times New Roman" w:hAnsi="Times New Roman"/>
          <w:sz w:val="24"/>
          <w:szCs w:val="24"/>
        </w:rPr>
      </w:pPr>
    </w:p>
    <w:p w:rsidR="00003B6C" w:rsidRPr="00003B6C" w:rsidRDefault="00003B6C" w:rsidP="00003B6C">
      <w:pPr>
        <w:pStyle w:val="ListParagraph"/>
        <w:numPr>
          <w:ilvl w:val="0"/>
          <w:numId w:val="2"/>
        </w:numPr>
        <w:tabs>
          <w:tab w:val="left" w:pos="567"/>
        </w:tabs>
        <w:spacing w:line="360" w:lineRule="auto"/>
        <w:jc w:val="both"/>
        <w:rPr>
          <w:rFonts w:ascii="Times New Roman" w:hAnsi="Times New Roman" w:cs="Times New Roman"/>
        </w:rPr>
      </w:pPr>
      <w:r w:rsidRPr="00003B6C">
        <w:rPr>
          <w:rFonts w:ascii="Times New Roman" w:hAnsi="Times New Roman" w:cs="Times New Roman"/>
        </w:rPr>
        <w:t xml:space="preserve">It is on the basis of these legal principles that this application must be viewed and considered. </w:t>
      </w:r>
    </w:p>
    <w:p w:rsidR="00AE1A21" w:rsidRDefault="00AE1A21" w:rsidP="00D866E5">
      <w:pPr>
        <w:tabs>
          <w:tab w:val="left" w:pos="567"/>
        </w:tabs>
        <w:spacing w:after="0" w:line="480" w:lineRule="auto"/>
        <w:jc w:val="both"/>
        <w:rPr>
          <w:rFonts w:ascii="Times New Roman" w:hAnsi="Times New Roman"/>
          <w:b/>
          <w:sz w:val="24"/>
          <w:szCs w:val="24"/>
        </w:rPr>
      </w:pPr>
      <w:r>
        <w:rPr>
          <w:rFonts w:ascii="Times New Roman" w:hAnsi="Times New Roman"/>
          <w:b/>
          <w:sz w:val="24"/>
          <w:szCs w:val="24"/>
        </w:rPr>
        <w:t xml:space="preserve"> </w:t>
      </w:r>
    </w:p>
    <w:p w:rsidR="008327F8" w:rsidRDefault="00D45F19" w:rsidP="00D866E5">
      <w:pPr>
        <w:tabs>
          <w:tab w:val="left" w:pos="567"/>
        </w:tabs>
        <w:spacing w:after="0" w:line="480" w:lineRule="auto"/>
        <w:jc w:val="both"/>
        <w:rPr>
          <w:rFonts w:ascii="Times New Roman" w:hAnsi="Times New Roman"/>
          <w:b/>
          <w:sz w:val="24"/>
          <w:szCs w:val="24"/>
        </w:rPr>
      </w:pPr>
      <w:r>
        <w:rPr>
          <w:rFonts w:ascii="Times New Roman" w:hAnsi="Times New Roman"/>
          <w:b/>
          <w:sz w:val="24"/>
          <w:szCs w:val="24"/>
        </w:rPr>
        <w:t xml:space="preserve">Allegation of bias </w:t>
      </w:r>
    </w:p>
    <w:p w:rsidR="005F1396" w:rsidRPr="00E57A1E" w:rsidRDefault="005F1396" w:rsidP="00477D71">
      <w:pPr>
        <w:pStyle w:val="ListParagraph"/>
        <w:numPr>
          <w:ilvl w:val="0"/>
          <w:numId w:val="2"/>
        </w:numPr>
        <w:tabs>
          <w:tab w:val="left" w:pos="567"/>
        </w:tabs>
        <w:spacing w:line="360" w:lineRule="auto"/>
        <w:jc w:val="both"/>
        <w:rPr>
          <w:rFonts w:ascii="Times New Roman" w:hAnsi="Times New Roman" w:cs="Times New Roman"/>
        </w:rPr>
      </w:pPr>
      <w:r w:rsidRPr="00477D71">
        <w:rPr>
          <w:rFonts w:ascii="Times New Roman" w:hAnsi="Times New Roman" w:cs="Times New Roman"/>
        </w:rPr>
        <w:t xml:space="preserve">In section 27 of the High Court Act </w:t>
      </w:r>
      <w:r w:rsidR="00345CBA">
        <w:rPr>
          <w:rFonts w:ascii="Times New Roman" w:hAnsi="Times New Roman" w:cs="Times New Roman"/>
        </w:rPr>
        <w:t>as r</w:t>
      </w:r>
      <w:r w:rsidR="00D3652F">
        <w:rPr>
          <w:rFonts w:ascii="Times New Roman" w:hAnsi="Times New Roman" w:cs="Times New Roman"/>
        </w:rPr>
        <w:t>ead with the provisions of the A</w:t>
      </w:r>
      <w:r w:rsidR="00345CBA">
        <w:rPr>
          <w:rFonts w:ascii="Times New Roman" w:hAnsi="Times New Roman" w:cs="Times New Roman"/>
        </w:rPr>
        <w:t xml:space="preserve">dministrative Justice Act [Chapter 10:28], </w:t>
      </w:r>
      <w:r w:rsidRPr="00477D71">
        <w:rPr>
          <w:rFonts w:ascii="Times New Roman" w:hAnsi="Times New Roman" w:cs="Times New Roman"/>
        </w:rPr>
        <w:t xml:space="preserve">bias is listed </w:t>
      </w:r>
      <w:r w:rsidR="00A40947">
        <w:rPr>
          <w:rFonts w:ascii="Times New Roman" w:eastAsiaTheme="minorHAnsi" w:hAnsi="Times New Roman" w:cs="Times New Roman"/>
        </w:rPr>
        <w:t>as a ground</w:t>
      </w:r>
      <w:r w:rsidRPr="00477D71">
        <w:rPr>
          <w:rFonts w:ascii="Times New Roman" w:eastAsiaTheme="minorHAnsi" w:hAnsi="Times New Roman" w:cs="Times New Roman"/>
        </w:rPr>
        <w:t xml:space="preserve"> on which any proceedings or decision may be brought</w:t>
      </w:r>
      <w:r w:rsidR="00477D71" w:rsidRPr="00477D71">
        <w:rPr>
          <w:rFonts w:ascii="Times New Roman" w:eastAsiaTheme="minorHAnsi" w:hAnsi="Times New Roman" w:cs="Times New Roman"/>
        </w:rPr>
        <w:t xml:space="preserve"> </w:t>
      </w:r>
      <w:r w:rsidRPr="00477D71">
        <w:rPr>
          <w:rFonts w:ascii="Times New Roman" w:eastAsiaTheme="minorHAnsi" w:hAnsi="Times New Roman" w:cs="Times New Roman"/>
        </w:rPr>
        <w:t>on review</w:t>
      </w:r>
      <w:r w:rsidR="00477D71" w:rsidRPr="00477D71">
        <w:rPr>
          <w:rFonts w:ascii="Times New Roman" w:eastAsiaTheme="minorHAnsi" w:hAnsi="Times New Roman" w:cs="Times New Roman"/>
        </w:rPr>
        <w:t xml:space="preserve"> before the High Court on review. </w:t>
      </w:r>
      <w:r w:rsidR="0032299C">
        <w:rPr>
          <w:rFonts w:ascii="Times New Roman" w:eastAsiaTheme="minorHAnsi" w:hAnsi="Times New Roman" w:cs="Times New Roman"/>
        </w:rPr>
        <w:t xml:space="preserve">The </w:t>
      </w:r>
      <w:r w:rsidR="0032299C" w:rsidRPr="006967D6">
        <w:rPr>
          <w:rFonts w:ascii="Times New Roman" w:eastAsiaTheme="minorHAnsi" w:hAnsi="Times New Roman" w:cs="Times New Roman"/>
          <w:i/>
        </w:rPr>
        <w:t>onus</w:t>
      </w:r>
      <w:r w:rsidR="0032299C">
        <w:rPr>
          <w:rFonts w:ascii="Times New Roman" w:eastAsiaTheme="minorHAnsi" w:hAnsi="Times New Roman" w:cs="Times New Roman"/>
        </w:rPr>
        <w:t xml:space="preserve"> of establishing bias rest on the applicant. </w:t>
      </w:r>
      <w:r w:rsidR="00B1614B">
        <w:rPr>
          <w:rFonts w:ascii="Times New Roman" w:eastAsiaTheme="minorHAnsi" w:hAnsi="Times New Roman" w:cs="Times New Roman"/>
        </w:rPr>
        <w:t xml:space="preserve">The test for bias is the following: there must be a suspicion that the </w:t>
      </w:r>
      <w:r w:rsidR="00CD50CC">
        <w:rPr>
          <w:rFonts w:ascii="Times New Roman" w:eastAsiaTheme="minorHAnsi" w:hAnsi="Times New Roman" w:cs="Times New Roman"/>
        </w:rPr>
        <w:t xml:space="preserve">decision-maker might be biased; </w:t>
      </w:r>
      <w:r w:rsidR="00567FDB">
        <w:rPr>
          <w:rFonts w:ascii="Times New Roman" w:eastAsiaTheme="minorHAnsi" w:hAnsi="Times New Roman" w:cs="Times New Roman"/>
        </w:rPr>
        <w:t>the suspicion must be that of a reasonable person in the position of the litigant; the suspicion mu</w:t>
      </w:r>
      <w:r w:rsidR="002F55E5">
        <w:rPr>
          <w:rFonts w:ascii="Times New Roman" w:eastAsiaTheme="minorHAnsi" w:hAnsi="Times New Roman" w:cs="Times New Roman"/>
        </w:rPr>
        <w:t>st</w:t>
      </w:r>
      <w:r w:rsidR="00567FDB">
        <w:rPr>
          <w:rFonts w:ascii="Times New Roman" w:eastAsiaTheme="minorHAnsi" w:hAnsi="Times New Roman" w:cs="Times New Roman"/>
        </w:rPr>
        <w:t xml:space="preserve"> be based on reasonab</w:t>
      </w:r>
      <w:r w:rsidR="004C0F35">
        <w:rPr>
          <w:rFonts w:ascii="Times New Roman" w:eastAsiaTheme="minorHAnsi" w:hAnsi="Times New Roman" w:cs="Times New Roman"/>
        </w:rPr>
        <w:t>le grounds; and the suspicion must be</w:t>
      </w:r>
      <w:r w:rsidR="00567FDB">
        <w:rPr>
          <w:rFonts w:ascii="Times New Roman" w:eastAsiaTheme="minorHAnsi" w:hAnsi="Times New Roman" w:cs="Times New Roman"/>
        </w:rPr>
        <w:t xml:space="preserve"> something that the reasonable person in the position of the litigant </w:t>
      </w:r>
      <w:r w:rsidR="00DB3739">
        <w:rPr>
          <w:rFonts w:ascii="Times New Roman" w:eastAsiaTheme="minorHAnsi" w:hAnsi="Times New Roman" w:cs="Times New Roman"/>
        </w:rPr>
        <w:t xml:space="preserve">would have. See: </w:t>
      </w:r>
      <w:r w:rsidR="00DB3739" w:rsidRPr="00DB3739">
        <w:rPr>
          <w:rFonts w:ascii="Times New Roman" w:eastAsiaTheme="minorHAnsi" w:hAnsi="Times New Roman" w:cs="Times New Roman"/>
          <w:i/>
        </w:rPr>
        <w:t>S v Roberts</w:t>
      </w:r>
      <w:r w:rsidR="00DB3739">
        <w:rPr>
          <w:rFonts w:ascii="Times New Roman" w:eastAsiaTheme="minorHAnsi" w:hAnsi="Times New Roman" w:cs="Times New Roman"/>
        </w:rPr>
        <w:t xml:space="preserve"> 1999 (4) SA 915 (SCA). </w:t>
      </w:r>
    </w:p>
    <w:p w:rsidR="00E57A1E" w:rsidRDefault="00E57A1E" w:rsidP="00E57A1E">
      <w:pPr>
        <w:pStyle w:val="ListParagraph"/>
        <w:tabs>
          <w:tab w:val="left" w:pos="567"/>
        </w:tabs>
        <w:spacing w:line="360" w:lineRule="auto"/>
        <w:jc w:val="both"/>
        <w:rPr>
          <w:rFonts w:ascii="Times New Roman" w:eastAsiaTheme="minorHAnsi" w:hAnsi="Times New Roman" w:cs="Times New Roman"/>
        </w:rPr>
      </w:pPr>
    </w:p>
    <w:p w:rsidR="00B578F3" w:rsidRPr="00B11EF7" w:rsidRDefault="00E57A1E" w:rsidP="00CD138E">
      <w:pPr>
        <w:pStyle w:val="ListParagraph"/>
        <w:numPr>
          <w:ilvl w:val="0"/>
          <w:numId w:val="2"/>
        </w:numPr>
        <w:tabs>
          <w:tab w:val="left" w:pos="567"/>
        </w:tabs>
        <w:spacing w:line="360" w:lineRule="auto"/>
        <w:jc w:val="both"/>
        <w:rPr>
          <w:rFonts w:ascii="Times New Roman" w:hAnsi="Times New Roman"/>
          <w:b/>
        </w:rPr>
      </w:pPr>
      <w:r w:rsidRPr="00CD138E">
        <w:rPr>
          <w:rFonts w:ascii="Times New Roman" w:hAnsi="Times New Roman"/>
        </w:rPr>
        <w:t xml:space="preserve"> According to applicant</w:t>
      </w:r>
      <w:r w:rsidR="00CD138E" w:rsidRPr="00CD138E">
        <w:rPr>
          <w:rFonts w:ascii="Times New Roman" w:hAnsi="Times New Roman"/>
        </w:rPr>
        <w:t xml:space="preserve"> 1</w:t>
      </w:r>
      <w:r w:rsidR="00CD138E" w:rsidRPr="00CD138E">
        <w:rPr>
          <w:rFonts w:ascii="Times New Roman" w:hAnsi="Times New Roman"/>
          <w:vertAlign w:val="superscript"/>
        </w:rPr>
        <w:t>st</w:t>
      </w:r>
      <w:r w:rsidR="00CD138E" w:rsidRPr="00CD138E">
        <w:rPr>
          <w:rFonts w:ascii="Times New Roman" w:hAnsi="Times New Roman"/>
        </w:rPr>
        <w:t xml:space="preserve"> respondent was</w:t>
      </w:r>
      <w:r w:rsidRPr="00CD138E">
        <w:rPr>
          <w:rFonts w:ascii="Times New Roman" w:hAnsi="Times New Roman"/>
        </w:rPr>
        <w:t xml:space="preserve"> biased in that he gave the 2</w:t>
      </w:r>
      <w:r w:rsidRPr="00CD138E">
        <w:rPr>
          <w:rFonts w:ascii="Times New Roman" w:hAnsi="Times New Roman"/>
          <w:vertAlign w:val="superscript"/>
        </w:rPr>
        <w:t>nd</w:t>
      </w:r>
      <w:r w:rsidRPr="00CD138E">
        <w:rPr>
          <w:rFonts w:ascii="Times New Roman" w:hAnsi="Times New Roman"/>
        </w:rPr>
        <w:t xml:space="preserve"> respond</w:t>
      </w:r>
      <w:r w:rsidR="00CD138E" w:rsidRPr="00CD138E">
        <w:rPr>
          <w:rFonts w:ascii="Times New Roman" w:hAnsi="Times New Roman"/>
        </w:rPr>
        <w:t>ent the right of audience when it</w:t>
      </w:r>
      <w:r w:rsidRPr="00CD138E">
        <w:rPr>
          <w:rFonts w:ascii="Times New Roman" w:hAnsi="Times New Roman"/>
        </w:rPr>
        <w:t xml:space="preserve"> had failed to</w:t>
      </w:r>
      <w:r w:rsidR="00CD138E" w:rsidRPr="00CD138E">
        <w:rPr>
          <w:rFonts w:ascii="Times New Roman" w:hAnsi="Times New Roman"/>
        </w:rPr>
        <w:t xml:space="preserve"> produce any documentation</w:t>
      </w:r>
      <w:r w:rsidRPr="00CD138E">
        <w:rPr>
          <w:rFonts w:ascii="Times New Roman" w:hAnsi="Times New Roman"/>
        </w:rPr>
        <w:t xml:space="preserve"> for mining at the disputed mi</w:t>
      </w:r>
      <w:r w:rsidR="00CD138E" w:rsidRPr="00CD138E">
        <w:rPr>
          <w:rFonts w:ascii="Times New Roman" w:hAnsi="Times New Roman"/>
        </w:rPr>
        <w:t>ning claims, i.e. Goodenough 7</w:t>
      </w:r>
      <w:r w:rsidRPr="00CD138E">
        <w:rPr>
          <w:rFonts w:ascii="Times New Roman" w:hAnsi="Times New Roman"/>
        </w:rPr>
        <w:t xml:space="preserve"> and Goodenough 8</w:t>
      </w:r>
      <w:r w:rsidR="00CD138E">
        <w:rPr>
          <w:rFonts w:ascii="Times New Roman" w:hAnsi="Times New Roman"/>
        </w:rPr>
        <w:t xml:space="preserve">. </w:t>
      </w:r>
      <w:r w:rsidRPr="00CD138E">
        <w:rPr>
          <w:rFonts w:ascii="Times New Roman" w:hAnsi="Times New Roman"/>
        </w:rPr>
        <w:t xml:space="preserve"> </w:t>
      </w:r>
    </w:p>
    <w:p w:rsidR="00B11EF7" w:rsidRPr="00B11EF7" w:rsidRDefault="00B11EF7" w:rsidP="00B11EF7">
      <w:pPr>
        <w:pStyle w:val="ListParagraph"/>
        <w:rPr>
          <w:rFonts w:ascii="Times New Roman" w:hAnsi="Times New Roman"/>
          <w:b/>
        </w:rPr>
      </w:pPr>
    </w:p>
    <w:p w:rsidR="007D535C" w:rsidRPr="004C1D3F" w:rsidRDefault="00B11EF7" w:rsidP="00F96A1F">
      <w:pPr>
        <w:pStyle w:val="ListParagraph"/>
        <w:numPr>
          <w:ilvl w:val="0"/>
          <w:numId w:val="2"/>
        </w:numPr>
        <w:tabs>
          <w:tab w:val="left" w:pos="567"/>
        </w:tabs>
        <w:spacing w:line="360" w:lineRule="auto"/>
        <w:jc w:val="both"/>
        <w:rPr>
          <w:rFonts w:ascii="Times New Roman" w:hAnsi="Times New Roman"/>
        </w:rPr>
      </w:pPr>
      <w:r>
        <w:rPr>
          <w:rFonts w:ascii="Times New Roman" w:hAnsi="Times New Roman"/>
        </w:rPr>
        <w:t>On t</w:t>
      </w:r>
      <w:r w:rsidRPr="00B11EF7">
        <w:rPr>
          <w:rFonts w:ascii="Times New Roman" w:hAnsi="Times New Roman"/>
        </w:rPr>
        <w:t xml:space="preserve">he </w:t>
      </w:r>
      <w:r>
        <w:rPr>
          <w:rFonts w:ascii="Times New Roman" w:hAnsi="Times New Roman"/>
        </w:rPr>
        <w:t>facts of this case the fact that 1</w:t>
      </w:r>
      <w:r w:rsidRPr="00B11EF7">
        <w:rPr>
          <w:rFonts w:ascii="Times New Roman" w:hAnsi="Times New Roman"/>
          <w:vertAlign w:val="superscript"/>
        </w:rPr>
        <w:t>st</w:t>
      </w:r>
      <w:r w:rsidR="004C0F35">
        <w:rPr>
          <w:rFonts w:ascii="Times New Roman" w:hAnsi="Times New Roman"/>
        </w:rPr>
        <w:t xml:space="preserve"> respondent gave 2</w:t>
      </w:r>
      <w:r w:rsidR="004C0F35" w:rsidRPr="004C0F35">
        <w:rPr>
          <w:rFonts w:ascii="Times New Roman" w:hAnsi="Times New Roman"/>
          <w:vertAlign w:val="superscript"/>
        </w:rPr>
        <w:t>nd</w:t>
      </w:r>
      <w:r w:rsidR="004C0F35">
        <w:rPr>
          <w:rFonts w:ascii="Times New Roman" w:hAnsi="Times New Roman"/>
        </w:rPr>
        <w:t xml:space="preserve"> </w:t>
      </w:r>
      <w:r>
        <w:rPr>
          <w:rFonts w:ascii="Times New Roman" w:hAnsi="Times New Roman"/>
        </w:rPr>
        <w:t xml:space="preserve">respondent right of audience is not </w:t>
      </w:r>
      <w:r w:rsidR="009F5BCE">
        <w:rPr>
          <w:rFonts w:ascii="Times New Roman" w:hAnsi="Times New Roman"/>
        </w:rPr>
        <w:t xml:space="preserve">indicative of bias. </w:t>
      </w:r>
      <w:r w:rsidR="00A40794">
        <w:rPr>
          <w:rFonts w:ascii="Times New Roman" w:hAnsi="Times New Roman"/>
        </w:rPr>
        <w:t>1</w:t>
      </w:r>
      <w:r w:rsidR="00A40794" w:rsidRPr="00A40794">
        <w:rPr>
          <w:rFonts w:ascii="Times New Roman" w:hAnsi="Times New Roman"/>
          <w:vertAlign w:val="superscript"/>
        </w:rPr>
        <w:t>st</w:t>
      </w:r>
      <w:r w:rsidR="00A40794">
        <w:rPr>
          <w:rFonts w:ascii="Times New Roman" w:hAnsi="Times New Roman"/>
        </w:rPr>
        <w:t xml:space="preserve"> respondent was adjudicating a dispute involving allegations of encroachment between applicant and 2</w:t>
      </w:r>
      <w:r w:rsidR="00A40794" w:rsidRPr="00A40794">
        <w:rPr>
          <w:rFonts w:ascii="Times New Roman" w:hAnsi="Times New Roman"/>
          <w:vertAlign w:val="superscript"/>
        </w:rPr>
        <w:t>nd</w:t>
      </w:r>
      <w:r w:rsidR="00A40794">
        <w:rPr>
          <w:rFonts w:ascii="Times New Roman" w:hAnsi="Times New Roman"/>
        </w:rPr>
        <w:t xml:space="preserve"> respondent, he had to give audience to both </w:t>
      </w:r>
      <w:r w:rsidR="00A40794">
        <w:rPr>
          <w:rFonts w:ascii="Times New Roman" w:hAnsi="Times New Roman"/>
        </w:rPr>
        <w:lastRenderedPageBreak/>
        <w:t xml:space="preserve">parties. </w:t>
      </w:r>
      <w:r w:rsidR="00E73BAC">
        <w:rPr>
          <w:rFonts w:ascii="Times New Roman" w:hAnsi="Times New Roman"/>
        </w:rPr>
        <w:t>Furthermore, whether he was right or wrong in giving 2</w:t>
      </w:r>
      <w:r w:rsidR="00E73BAC" w:rsidRPr="00E73BAC">
        <w:rPr>
          <w:rFonts w:ascii="Times New Roman" w:hAnsi="Times New Roman"/>
          <w:vertAlign w:val="superscript"/>
        </w:rPr>
        <w:t>nd</w:t>
      </w:r>
      <w:r w:rsidR="00E73BAC">
        <w:rPr>
          <w:rFonts w:ascii="Times New Roman" w:hAnsi="Times New Roman"/>
        </w:rPr>
        <w:t xml:space="preserve"> respondent audience is </w:t>
      </w:r>
      <w:r w:rsidR="00166F4C">
        <w:rPr>
          <w:rFonts w:ascii="Times New Roman" w:hAnsi="Times New Roman"/>
        </w:rPr>
        <w:t xml:space="preserve">not </w:t>
      </w:r>
      <w:r w:rsidR="00E73BAC">
        <w:rPr>
          <w:rFonts w:ascii="Times New Roman" w:hAnsi="Times New Roman"/>
        </w:rPr>
        <w:t xml:space="preserve">the issue, </w:t>
      </w:r>
      <w:r w:rsidR="002F55E5">
        <w:rPr>
          <w:rFonts w:ascii="Times New Roman" w:hAnsi="Times New Roman"/>
        </w:rPr>
        <w:t xml:space="preserve">the issue is </w:t>
      </w:r>
      <w:r w:rsidR="00262CD6">
        <w:rPr>
          <w:rFonts w:ascii="Times New Roman" w:hAnsi="Times New Roman"/>
        </w:rPr>
        <w:t>whether by giving such audience 1</w:t>
      </w:r>
      <w:r w:rsidR="00262CD6" w:rsidRPr="00262CD6">
        <w:rPr>
          <w:rFonts w:ascii="Times New Roman" w:hAnsi="Times New Roman"/>
          <w:vertAlign w:val="superscript"/>
        </w:rPr>
        <w:t>st</w:t>
      </w:r>
      <w:r w:rsidR="00262CD6">
        <w:rPr>
          <w:rFonts w:ascii="Times New Roman" w:hAnsi="Times New Roman"/>
        </w:rPr>
        <w:t xml:space="preserve"> respondent was showing bias? I do not agree. </w:t>
      </w:r>
      <w:r w:rsidR="002F55E5">
        <w:rPr>
          <w:rFonts w:ascii="Times New Roman" w:hAnsi="Times New Roman"/>
        </w:rPr>
        <w:t xml:space="preserve"> </w:t>
      </w:r>
      <w:r w:rsidR="001A73EE">
        <w:rPr>
          <w:rFonts w:ascii="Times New Roman" w:hAnsi="Times New Roman"/>
        </w:rPr>
        <w:t xml:space="preserve">A reasonable person in the position of applicant </w:t>
      </w:r>
      <w:r w:rsidR="00787AC4">
        <w:rPr>
          <w:rFonts w:ascii="Times New Roman" w:hAnsi="Times New Roman"/>
        </w:rPr>
        <w:t>cannot say that the 1</w:t>
      </w:r>
      <w:r w:rsidR="00787AC4" w:rsidRPr="00787AC4">
        <w:rPr>
          <w:rFonts w:ascii="Times New Roman" w:hAnsi="Times New Roman"/>
          <w:vertAlign w:val="superscript"/>
        </w:rPr>
        <w:t>st</w:t>
      </w:r>
      <w:r w:rsidR="00787AC4">
        <w:rPr>
          <w:rFonts w:ascii="Times New Roman" w:hAnsi="Times New Roman"/>
        </w:rPr>
        <w:t xml:space="preserve"> respondent was biased because he gave 2</w:t>
      </w:r>
      <w:r w:rsidR="00787AC4" w:rsidRPr="00787AC4">
        <w:rPr>
          <w:rFonts w:ascii="Times New Roman" w:hAnsi="Times New Roman"/>
          <w:vertAlign w:val="superscript"/>
        </w:rPr>
        <w:t>nd</w:t>
      </w:r>
      <w:r w:rsidR="00787AC4">
        <w:rPr>
          <w:rFonts w:ascii="Times New Roman" w:hAnsi="Times New Roman"/>
        </w:rPr>
        <w:t xml:space="preserve"> respondent the right of audience during the hearing. </w:t>
      </w:r>
      <w:r w:rsidR="00FB6117">
        <w:rPr>
          <w:rFonts w:ascii="Times New Roman" w:hAnsi="Times New Roman"/>
        </w:rPr>
        <w:t>On the facts of this case, a</w:t>
      </w:r>
      <w:r w:rsidR="00F96A1F">
        <w:rPr>
          <w:rFonts w:ascii="Times New Roman" w:hAnsi="Times New Roman"/>
        </w:rPr>
        <w:t xml:space="preserve"> </w:t>
      </w:r>
      <w:r w:rsidR="007D535C" w:rsidRPr="00F96A1F">
        <w:rPr>
          <w:rFonts w:ascii="Times New Roman" w:eastAsiaTheme="minorHAnsi" w:hAnsi="Times New Roman" w:cs="Times New Roman"/>
        </w:rPr>
        <w:t>reasonable person</w:t>
      </w:r>
      <w:r w:rsidR="00F96A1F">
        <w:rPr>
          <w:rFonts w:ascii="Times New Roman" w:eastAsiaTheme="minorHAnsi" w:hAnsi="Times New Roman" w:cs="Times New Roman"/>
        </w:rPr>
        <w:t xml:space="preserve"> in the position of the litigant in the position of the applicant</w:t>
      </w:r>
      <w:r w:rsidR="007D535C" w:rsidRPr="00F96A1F">
        <w:rPr>
          <w:rFonts w:ascii="Times New Roman" w:eastAsiaTheme="minorHAnsi" w:hAnsi="Times New Roman" w:cs="Times New Roman"/>
        </w:rPr>
        <w:t xml:space="preserve"> would </w:t>
      </w:r>
      <w:r w:rsidR="00F96A1F">
        <w:rPr>
          <w:rFonts w:ascii="Times New Roman" w:eastAsiaTheme="minorHAnsi" w:hAnsi="Times New Roman" w:cs="Times New Roman"/>
        </w:rPr>
        <w:t xml:space="preserve">not </w:t>
      </w:r>
      <w:r w:rsidR="007D535C" w:rsidRPr="00F96A1F">
        <w:rPr>
          <w:rFonts w:ascii="Times New Roman" w:eastAsiaTheme="minorHAnsi" w:hAnsi="Times New Roman" w:cs="Times New Roman"/>
        </w:rPr>
        <w:t>have</w:t>
      </w:r>
      <w:r w:rsidR="00F96A1F">
        <w:rPr>
          <w:rFonts w:ascii="Times New Roman" w:eastAsiaTheme="minorHAnsi" w:hAnsi="Times New Roman" w:cs="Times New Roman"/>
        </w:rPr>
        <w:t xml:space="preserve"> such a suspicion</w:t>
      </w:r>
      <w:r w:rsidR="007D535C" w:rsidRPr="00F96A1F">
        <w:rPr>
          <w:rFonts w:ascii="Times New Roman" w:eastAsiaTheme="minorHAnsi" w:hAnsi="Times New Roman" w:cs="Times New Roman"/>
        </w:rPr>
        <w:t>.</w:t>
      </w:r>
    </w:p>
    <w:p w:rsidR="004C1D3F" w:rsidRPr="004C1D3F" w:rsidRDefault="004C1D3F" w:rsidP="004C1D3F">
      <w:pPr>
        <w:pStyle w:val="ListParagraph"/>
        <w:rPr>
          <w:rFonts w:ascii="Times New Roman" w:hAnsi="Times New Roman"/>
        </w:rPr>
      </w:pPr>
    </w:p>
    <w:p w:rsidR="004C1D3F" w:rsidRDefault="004C1D3F" w:rsidP="00F96A1F">
      <w:pPr>
        <w:pStyle w:val="ListParagraph"/>
        <w:numPr>
          <w:ilvl w:val="0"/>
          <w:numId w:val="2"/>
        </w:numPr>
        <w:tabs>
          <w:tab w:val="left" w:pos="567"/>
        </w:tabs>
        <w:spacing w:line="360" w:lineRule="auto"/>
        <w:jc w:val="both"/>
        <w:rPr>
          <w:rFonts w:ascii="Times New Roman" w:hAnsi="Times New Roman"/>
        </w:rPr>
      </w:pPr>
      <w:r>
        <w:rPr>
          <w:rFonts w:ascii="Times New Roman" w:hAnsi="Times New Roman"/>
        </w:rPr>
        <w:t xml:space="preserve">The first ground of review has no merit. </w:t>
      </w:r>
    </w:p>
    <w:p w:rsidR="001B0B09" w:rsidRDefault="001B0B09" w:rsidP="001B0B09">
      <w:pPr>
        <w:tabs>
          <w:tab w:val="left" w:pos="567"/>
        </w:tabs>
        <w:spacing w:line="360" w:lineRule="auto"/>
        <w:jc w:val="both"/>
        <w:rPr>
          <w:rFonts w:ascii="Times New Roman" w:eastAsiaTheme="minorEastAsia" w:hAnsi="Times New Roman" w:cstheme="minorBidi"/>
          <w:sz w:val="24"/>
          <w:szCs w:val="24"/>
          <w:lang w:val="en-GB"/>
        </w:rPr>
      </w:pPr>
    </w:p>
    <w:p w:rsidR="001B0B09" w:rsidRDefault="00E109FF" w:rsidP="001B0B09">
      <w:pPr>
        <w:tabs>
          <w:tab w:val="left" w:pos="567"/>
        </w:tabs>
        <w:spacing w:line="360" w:lineRule="auto"/>
        <w:jc w:val="both"/>
        <w:rPr>
          <w:rFonts w:ascii="Times New Roman" w:eastAsiaTheme="minorEastAsia" w:hAnsi="Times New Roman"/>
          <w:b/>
          <w:sz w:val="24"/>
          <w:szCs w:val="24"/>
          <w:lang w:val="en-GB"/>
        </w:rPr>
      </w:pPr>
      <w:r>
        <w:rPr>
          <w:rFonts w:ascii="Times New Roman" w:eastAsiaTheme="minorEastAsia" w:hAnsi="Times New Roman"/>
          <w:b/>
          <w:sz w:val="24"/>
          <w:szCs w:val="24"/>
          <w:lang w:val="en-GB"/>
        </w:rPr>
        <w:t>Is the decision of the 1</w:t>
      </w:r>
      <w:r w:rsidRPr="00E109FF">
        <w:rPr>
          <w:rFonts w:ascii="Times New Roman" w:eastAsiaTheme="minorEastAsia" w:hAnsi="Times New Roman"/>
          <w:b/>
          <w:sz w:val="24"/>
          <w:szCs w:val="24"/>
          <w:vertAlign w:val="superscript"/>
          <w:lang w:val="en-GB"/>
        </w:rPr>
        <w:t>st</w:t>
      </w:r>
      <w:r>
        <w:rPr>
          <w:rFonts w:ascii="Times New Roman" w:eastAsiaTheme="minorEastAsia" w:hAnsi="Times New Roman"/>
          <w:b/>
          <w:sz w:val="24"/>
          <w:szCs w:val="24"/>
          <w:lang w:val="en-GB"/>
        </w:rPr>
        <w:t xml:space="preserve"> respondent irrational? </w:t>
      </w:r>
    </w:p>
    <w:p w:rsidR="00145164" w:rsidRPr="00145164" w:rsidRDefault="00145164" w:rsidP="00145164">
      <w:pPr>
        <w:pStyle w:val="ListParagraph"/>
        <w:numPr>
          <w:ilvl w:val="0"/>
          <w:numId w:val="2"/>
        </w:numPr>
        <w:tabs>
          <w:tab w:val="left" w:pos="567"/>
        </w:tabs>
        <w:spacing w:line="360" w:lineRule="auto"/>
        <w:jc w:val="both"/>
        <w:rPr>
          <w:rFonts w:ascii="Times New Roman" w:hAnsi="Times New Roman"/>
        </w:rPr>
      </w:pPr>
      <w:r w:rsidRPr="00145164">
        <w:rPr>
          <w:rFonts w:ascii="Times New Roman" w:hAnsi="Times New Roman"/>
        </w:rPr>
        <w:t>The second and third grounds of review speak to the alleged irrationality of the decision of the 1</w:t>
      </w:r>
      <w:r w:rsidRPr="00145164">
        <w:rPr>
          <w:rFonts w:ascii="Times New Roman" w:hAnsi="Times New Roman"/>
          <w:vertAlign w:val="superscript"/>
        </w:rPr>
        <w:t>st</w:t>
      </w:r>
      <w:r w:rsidRPr="00145164">
        <w:rPr>
          <w:rFonts w:ascii="Times New Roman" w:hAnsi="Times New Roman"/>
        </w:rPr>
        <w:t xml:space="preserve"> respondent. </w:t>
      </w:r>
    </w:p>
    <w:p w:rsidR="00145164" w:rsidRDefault="00145164" w:rsidP="00145164">
      <w:pPr>
        <w:pStyle w:val="ListParagraph"/>
        <w:autoSpaceDE w:val="0"/>
        <w:autoSpaceDN w:val="0"/>
        <w:adjustRightInd w:val="0"/>
        <w:spacing w:line="360" w:lineRule="auto"/>
        <w:jc w:val="both"/>
        <w:rPr>
          <w:rFonts w:ascii="Times New Roman" w:eastAsiaTheme="minorHAnsi" w:hAnsi="Times New Roman"/>
        </w:rPr>
      </w:pPr>
    </w:p>
    <w:p w:rsidR="007C3FC3" w:rsidRPr="007C3FC3" w:rsidRDefault="007C3FC3" w:rsidP="00145164">
      <w:pPr>
        <w:pStyle w:val="ListParagraph"/>
        <w:numPr>
          <w:ilvl w:val="0"/>
          <w:numId w:val="2"/>
        </w:numPr>
        <w:autoSpaceDE w:val="0"/>
        <w:autoSpaceDN w:val="0"/>
        <w:adjustRightInd w:val="0"/>
        <w:spacing w:line="360" w:lineRule="auto"/>
        <w:jc w:val="both"/>
        <w:rPr>
          <w:rFonts w:ascii="Times New Roman" w:eastAsiaTheme="minorHAnsi" w:hAnsi="Times New Roman"/>
        </w:rPr>
      </w:pPr>
      <w:r w:rsidRPr="007C3FC3">
        <w:rPr>
          <w:rFonts w:ascii="Times New Roman" w:eastAsiaTheme="minorHAnsi" w:hAnsi="Times New Roman"/>
        </w:rPr>
        <w:t xml:space="preserve">In </w:t>
      </w:r>
      <w:proofErr w:type="spellStart"/>
      <w:r w:rsidRPr="007C3FC3">
        <w:rPr>
          <w:rFonts w:ascii="Times New Roman" w:eastAsiaTheme="minorHAnsi" w:hAnsi="Times New Roman"/>
          <w:i/>
        </w:rPr>
        <w:t>Nyamupaguma</w:t>
      </w:r>
      <w:proofErr w:type="spellEnd"/>
      <w:r w:rsidRPr="007C3FC3">
        <w:rPr>
          <w:rFonts w:ascii="Times New Roman" w:eastAsiaTheme="minorHAnsi" w:hAnsi="Times New Roman"/>
          <w:i/>
        </w:rPr>
        <w:t xml:space="preserve"> v The Chairperson (The Disciplinary Committee of Nurses Council of Zimbabwe) &amp; Another</w:t>
      </w:r>
      <w:r w:rsidRPr="007C3FC3">
        <w:rPr>
          <w:rFonts w:ascii="Times New Roman" w:eastAsiaTheme="minorHAnsi" w:hAnsi="Times New Roman"/>
        </w:rPr>
        <w:t xml:space="preserve"> HH 453/19 the court said a decision is irrational if it is so outrageous in its defiance of logic or accepted moral</w:t>
      </w:r>
      <w:r w:rsidRPr="007C3FC3">
        <w:rPr>
          <w:rFonts w:ascii="Times New Roman" w:hAnsi="Times New Roman"/>
        </w:rPr>
        <w:t xml:space="preserve"> </w:t>
      </w:r>
      <w:r w:rsidR="00AA0844">
        <w:rPr>
          <w:rFonts w:ascii="Times New Roman" w:eastAsiaTheme="minorHAnsi" w:hAnsi="Times New Roman"/>
        </w:rPr>
        <w:t>standards.  S</w:t>
      </w:r>
      <w:r w:rsidRPr="007C3FC3">
        <w:rPr>
          <w:rFonts w:ascii="Times New Roman" w:eastAsiaTheme="minorHAnsi" w:hAnsi="Times New Roman"/>
        </w:rPr>
        <w:t xml:space="preserve">ee </w:t>
      </w:r>
      <w:r w:rsidRPr="007C3FC3">
        <w:rPr>
          <w:rFonts w:ascii="Times New Roman" w:eastAsiaTheme="minorHAnsi" w:hAnsi="Times New Roman"/>
          <w:i/>
          <w:iCs/>
        </w:rPr>
        <w:t xml:space="preserve">Silver Trucks (Pvt) Ltd </w:t>
      </w:r>
      <w:r w:rsidRPr="007C3FC3">
        <w:rPr>
          <w:rFonts w:ascii="Times New Roman" w:eastAsiaTheme="minorHAnsi" w:hAnsi="Times New Roman"/>
        </w:rPr>
        <w:t xml:space="preserve">&amp; </w:t>
      </w:r>
      <w:r w:rsidRPr="007C3FC3">
        <w:rPr>
          <w:rFonts w:ascii="Times New Roman" w:eastAsiaTheme="minorHAnsi" w:hAnsi="Times New Roman"/>
          <w:i/>
          <w:iCs/>
        </w:rPr>
        <w:t xml:space="preserve">Anor </w:t>
      </w:r>
      <w:r w:rsidRPr="007C3FC3">
        <w:rPr>
          <w:rFonts w:ascii="Times New Roman" w:eastAsiaTheme="minorHAnsi" w:hAnsi="Times New Roman"/>
        </w:rPr>
        <w:t xml:space="preserve">v </w:t>
      </w:r>
      <w:r w:rsidRPr="007C3FC3">
        <w:rPr>
          <w:rFonts w:ascii="Times New Roman" w:eastAsiaTheme="minorHAnsi" w:hAnsi="Times New Roman"/>
          <w:i/>
          <w:iCs/>
        </w:rPr>
        <w:t xml:space="preserve">Director of Customs &amp; Excise </w:t>
      </w:r>
      <w:r w:rsidRPr="007C3FC3">
        <w:rPr>
          <w:rFonts w:ascii="Times New Roman" w:eastAsiaTheme="minorHAnsi" w:hAnsi="Times New Roman"/>
        </w:rPr>
        <w:t>(2) 1999 (2)</w:t>
      </w:r>
      <w:r w:rsidRPr="007C3FC3">
        <w:rPr>
          <w:rFonts w:ascii="Times New Roman" w:hAnsi="Times New Roman"/>
        </w:rPr>
        <w:t xml:space="preserve"> </w:t>
      </w:r>
      <w:r w:rsidRPr="007C3FC3">
        <w:rPr>
          <w:rFonts w:ascii="Times New Roman" w:eastAsiaTheme="minorHAnsi" w:hAnsi="Times New Roman"/>
        </w:rPr>
        <w:t xml:space="preserve">ZLR 88 (H) at 92A; </w:t>
      </w:r>
      <w:r w:rsidRPr="007C3FC3">
        <w:rPr>
          <w:rFonts w:ascii="Times New Roman" w:eastAsiaTheme="minorHAnsi" w:hAnsi="Times New Roman"/>
          <w:i/>
          <w:iCs/>
        </w:rPr>
        <w:t xml:space="preserve">Chiroodza </w:t>
      </w:r>
      <w:r w:rsidRPr="007C3FC3">
        <w:rPr>
          <w:rFonts w:ascii="Times New Roman" w:eastAsiaTheme="minorHAnsi" w:hAnsi="Times New Roman"/>
        </w:rPr>
        <w:t xml:space="preserve">v </w:t>
      </w:r>
      <w:r w:rsidRPr="007C3FC3">
        <w:rPr>
          <w:rFonts w:ascii="Times New Roman" w:eastAsiaTheme="minorHAnsi" w:hAnsi="Times New Roman"/>
          <w:i/>
          <w:iCs/>
        </w:rPr>
        <w:t xml:space="preserve">Chitungwiza Town Council &amp; Anor </w:t>
      </w:r>
      <w:r w:rsidRPr="007C3FC3">
        <w:rPr>
          <w:rFonts w:ascii="Times New Roman" w:eastAsiaTheme="minorHAnsi" w:hAnsi="Times New Roman"/>
        </w:rPr>
        <w:t>1992 (1) ZLR 77 (H).</w:t>
      </w:r>
      <w:r w:rsidRPr="007C3FC3">
        <w:rPr>
          <w:rFonts w:ascii="Times New Roman" w:hAnsi="Times New Roman"/>
        </w:rPr>
        <w:t xml:space="preserve"> </w:t>
      </w:r>
      <w:r w:rsidRPr="007C3FC3">
        <w:rPr>
          <w:rFonts w:ascii="Times New Roman" w:eastAsiaTheme="minorHAnsi" w:hAnsi="Times New Roman"/>
        </w:rPr>
        <w:t>For it to be characterised as irrational the impugned de</w:t>
      </w:r>
      <w:r w:rsidRPr="007C3FC3">
        <w:rPr>
          <w:rFonts w:ascii="Times New Roman" w:hAnsi="Times New Roman"/>
        </w:rPr>
        <w:t xml:space="preserve">cision must be so wrong that the </w:t>
      </w:r>
      <w:r w:rsidRPr="007C3FC3">
        <w:rPr>
          <w:rFonts w:ascii="Times New Roman" w:eastAsiaTheme="minorHAnsi" w:hAnsi="Times New Roman"/>
        </w:rPr>
        <w:t>decision-maker “must have taken leave of his or her senses” or something else must be inferred</w:t>
      </w:r>
      <w:r w:rsidRPr="007C3FC3">
        <w:rPr>
          <w:rFonts w:ascii="Times New Roman" w:hAnsi="Times New Roman"/>
        </w:rPr>
        <w:t xml:space="preserve"> </w:t>
      </w:r>
      <w:r w:rsidRPr="007C3FC3">
        <w:rPr>
          <w:rFonts w:ascii="Times New Roman" w:eastAsiaTheme="minorHAnsi" w:hAnsi="Times New Roman"/>
        </w:rPr>
        <w:t>from it.</w:t>
      </w:r>
    </w:p>
    <w:p w:rsidR="007C3FC3" w:rsidRDefault="007C3FC3" w:rsidP="007C3FC3">
      <w:pPr>
        <w:pStyle w:val="ListParagraph"/>
        <w:autoSpaceDE w:val="0"/>
        <w:autoSpaceDN w:val="0"/>
        <w:adjustRightInd w:val="0"/>
        <w:spacing w:line="360" w:lineRule="auto"/>
        <w:jc w:val="both"/>
        <w:rPr>
          <w:rFonts w:ascii="Times New Roman" w:eastAsiaTheme="minorHAnsi" w:hAnsi="Times New Roman" w:cs="Times New Roman"/>
        </w:rPr>
      </w:pPr>
    </w:p>
    <w:p w:rsidR="007C3FC3" w:rsidRPr="00F84011" w:rsidRDefault="007C3FC3" w:rsidP="00145164">
      <w:pPr>
        <w:pStyle w:val="ListParagraph"/>
        <w:numPr>
          <w:ilvl w:val="0"/>
          <w:numId w:val="2"/>
        </w:numPr>
        <w:autoSpaceDE w:val="0"/>
        <w:autoSpaceDN w:val="0"/>
        <w:adjustRightInd w:val="0"/>
        <w:spacing w:line="360" w:lineRule="auto"/>
        <w:jc w:val="both"/>
        <w:rPr>
          <w:rFonts w:ascii="Times New Roman" w:eastAsiaTheme="minorHAnsi" w:hAnsi="Times New Roman" w:cs="Times New Roman"/>
        </w:rPr>
      </w:pPr>
      <w:r>
        <w:rPr>
          <w:rFonts w:ascii="Times New Roman" w:eastAsiaTheme="minorHAnsi" w:hAnsi="Times New Roman" w:cs="Times New Roman"/>
        </w:rPr>
        <w:t xml:space="preserve">A decision is irrational if it is unsupported by the evidence; there is no connection between the evidence and the reasons provided for the decision; and the reasons are unintelligible. See: </w:t>
      </w:r>
      <w:proofErr w:type="spellStart"/>
      <w:r w:rsidRPr="00F84011">
        <w:rPr>
          <w:rFonts w:ascii="Times New Roman" w:eastAsiaTheme="minorHAnsi" w:hAnsi="Times New Roman" w:cs="Times New Roman"/>
        </w:rPr>
        <w:t>Albutt</w:t>
      </w:r>
      <w:proofErr w:type="spellEnd"/>
      <w:r w:rsidRPr="00F84011">
        <w:rPr>
          <w:rFonts w:ascii="Times New Roman" w:eastAsiaTheme="minorHAnsi" w:hAnsi="Times New Roman" w:cs="Times New Roman"/>
        </w:rPr>
        <w:t xml:space="preserve"> v </w:t>
      </w:r>
      <w:r w:rsidRPr="00F84011">
        <w:rPr>
          <w:rFonts w:ascii="Times New Roman" w:hAnsi="Times New Roman" w:cs="Times New Roman"/>
          <w:i/>
          <w:iCs/>
        </w:rPr>
        <w:t xml:space="preserve">Centre for the Study of Violence and Reconciliation and Other </w:t>
      </w:r>
      <w:r w:rsidRPr="00F84011">
        <w:rPr>
          <w:rFonts w:ascii="Times New Roman" w:hAnsi="Times New Roman" w:cs="Times New Roman"/>
        </w:rPr>
        <w:t>2010 (3) SA 293 (CC).</w:t>
      </w:r>
      <w:r>
        <w:rPr>
          <w:sz w:val="23"/>
          <w:szCs w:val="23"/>
        </w:rPr>
        <w:t xml:space="preserve"> </w:t>
      </w:r>
      <w:r w:rsidRPr="00F84011">
        <w:rPr>
          <w:rFonts w:ascii="Times New Roman" w:eastAsiaTheme="minorHAnsi" w:hAnsi="Times New Roman" w:cs="Times New Roman"/>
        </w:rPr>
        <w:t xml:space="preserve">In </w:t>
      </w:r>
      <w:r w:rsidRPr="00F84011">
        <w:rPr>
          <w:rFonts w:ascii="Times New Roman" w:eastAsiaTheme="minorHAnsi" w:hAnsi="Times New Roman" w:cs="Times New Roman"/>
          <w:i/>
        </w:rPr>
        <w:t xml:space="preserve">Van </w:t>
      </w:r>
      <w:proofErr w:type="spellStart"/>
      <w:r w:rsidRPr="00F84011">
        <w:rPr>
          <w:rFonts w:ascii="Times New Roman" w:eastAsiaTheme="minorHAnsi" w:hAnsi="Times New Roman" w:cs="Times New Roman"/>
          <w:i/>
        </w:rPr>
        <w:t>Zyl</w:t>
      </w:r>
      <w:proofErr w:type="spellEnd"/>
      <w:r w:rsidRPr="00F84011">
        <w:rPr>
          <w:rFonts w:ascii="Times New Roman" w:eastAsiaTheme="minorHAnsi" w:hAnsi="Times New Roman" w:cs="Times New Roman"/>
          <w:i/>
        </w:rPr>
        <w:t xml:space="preserve"> v New national Party</w:t>
      </w:r>
      <w:r w:rsidRPr="00F84011">
        <w:rPr>
          <w:rFonts w:ascii="Times New Roman" w:eastAsiaTheme="minorHAnsi" w:hAnsi="Times New Roman" w:cs="Times New Roman"/>
        </w:rPr>
        <w:t xml:space="preserve"> 2003 (10) BCLR 1167 (C) the court said: </w:t>
      </w:r>
    </w:p>
    <w:p w:rsidR="007C3FC3" w:rsidRDefault="007C3FC3" w:rsidP="007C3FC3">
      <w:pPr>
        <w:pStyle w:val="ListParagraph"/>
        <w:autoSpaceDE w:val="0"/>
        <w:autoSpaceDN w:val="0"/>
        <w:adjustRightInd w:val="0"/>
        <w:spacing w:line="360" w:lineRule="auto"/>
        <w:jc w:val="both"/>
        <w:rPr>
          <w:rFonts w:ascii="Times New Roman" w:eastAsiaTheme="minorHAnsi" w:hAnsi="Times New Roman" w:cs="Times New Roman"/>
        </w:rPr>
      </w:pPr>
    </w:p>
    <w:p w:rsidR="007C3FC3" w:rsidRDefault="007C3FC3" w:rsidP="007C3FC3">
      <w:pPr>
        <w:pStyle w:val="ListParagraph"/>
        <w:autoSpaceDE w:val="0"/>
        <w:autoSpaceDN w:val="0"/>
        <w:adjustRightInd w:val="0"/>
        <w:spacing w:line="276" w:lineRule="auto"/>
        <w:ind w:left="1440"/>
        <w:jc w:val="both"/>
        <w:rPr>
          <w:rFonts w:ascii="Times New Roman" w:eastAsiaTheme="minorHAnsi" w:hAnsi="Times New Roman" w:cs="Times New Roman"/>
        </w:rPr>
      </w:pPr>
      <w:r>
        <w:rPr>
          <w:rFonts w:ascii="Times New Roman" w:eastAsiaTheme="minorHAnsi" w:hAnsi="Times New Roman" w:cs="Times New Roman"/>
        </w:rPr>
        <w:t xml:space="preserve">In a review of that kind [rationality review] the merits are not considered in order to determine whether the conclusion arrived at by the administrative decision-maker is right or wrong, but whether there is a rational basis between the outcome and the material available justifying such a decision. </w:t>
      </w:r>
    </w:p>
    <w:p w:rsidR="007C3FC3" w:rsidRPr="004C135D" w:rsidRDefault="007C3FC3" w:rsidP="007C3FC3">
      <w:pPr>
        <w:autoSpaceDE w:val="0"/>
        <w:autoSpaceDN w:val="0"/>
        <w:adjustRightInd w:val="0"/>
        <w:spacing w:line="360" w:lineRule="auto"/>
        <w:jc w:val="both"/>
        <w:rPr>
          <w:rFonts w:ascii="Times New Roman" w:eastAsiaTheme="minorHAnsi" w:hAnsi="Times New Roman"/>
        </w:rPr>
      </w:pPr>
    </w:p>
    <w:p w:rsidR="00133EAB" w:rsidRPr="00FD5E52" w:rsidRDefault="00133EAB" w:rsidP="00FD5E52">
      <w:pPr>
        <w:pStyle w:val="ListParagraph"/>
        <w:numPr>
          <w:ilvl w:val="0"/>
          <w:numId w:val="2"/>
        </w:numPr>
        <w:tabs>
          <w:tab w:val="left" w:pos="567"/>
        </w:tabs>
        <w:spacing w:line="360" w:lineRule="auto"/>
        <w:jc w:val="both"/>
        <w:rPr>
          <w:rFonts w:ascii="Times New Roman" w:hAnsi="Times New Roman"/>
        </w:rPr>
      </w:pPr>
      <w:r w:rsidRPr="00FD5E52">
        <w:rPr>
          <w:rFonts w:ascii="Times New Roman" w:hAnsi="Times New Roman"/>
        </w:rPr>
        <w:lastRenderedPageBreak/>
        <w:t xml:space="preserve">Applicant contends that its mining claims were pegged and registered in 1988. </w:t>
      </w:r>
      <w:r w:rsidR="00C95814" w:rsidRPr="00FD5E52">
        <w:rPr>
          <w:rFonts w:ascii="Times New Roman" w:hAnsi="Times New Roman"/>
        </w:rPr>
        <w:t>The alleged special grant is alleged to have been issued to the 2</w:t>
      </w:r>
      <w:r w:rsidR="00C95814" w:rsidRPr="00FD5E52">
        <w:rPr>
          <w:rFonts w:ascii="Times New Roman" w:hAnsi="Times New Roman"/>
          <w:vertAlign w:val="superscript"/>
        </w:rPr>
        <w:t>nd</w:t>
      </w:r>
      <w:r w:rsidR="00C95814" w:rsidRPr="00FD5E52">
        <w:rPr>
          <w:rFonts w:ascii="Times New Roman" w:hAnsi="Times New Roman"/>
        </w:rPr>
        <w:t xml:space="preserve"> respondent in May 2021. </w:t>
      </w:r>
      <w:r w:rsidR="00BA4D9A" w:rsidRPr="00FD5E52">
        <w:rPr>
          <w:rFonts w:ascii="Times New Roman" w:hAnsi="Times New Roman"/>
        </w:rPr>
        <w:t xml:space="preserve">It is further argued that at the time that the applicant’s claims were pegged there was no GPS system so it boundaries </w:t>
      </w:r>
      <w:r w:rsidR="00FD5E52">
        <w:rPr>
          <w:rFonts w:ascii="Times New Roman" w:hAnsi="Times New Roman"/>
        </w:rPr>
        <w:t>must be</w:t>
      </w:r>
      <w:r w:rsidR="009A4377" w:rsidRPr="00FD5E52">
        <w:rPr>
          <w:rFonts w:ascii="Times New Roman" w:hAnsi="Times New Roman"/>
        </w:rPr>
        <w:t xml:space="preserve"> established by the pegs that exist on the ground. </w:t>
      </w:r>
      <w:r w:rsidR="00476029" w:rsidRPr="00FD5E52">
        <w:rPr>
          <w:rFonts w:ascii="Times New Roman" w:hAnsi="Times New Roman"/>
        </w:rPr>
        <w:t>It is said the 1</w:t>
      </w:r>
      <w:r w:rsidR="00476029" w:rsidRPr="00FD5E52">
        <w:rPr>
          <w:rFonts w:ascii="Times New Roman" w:hAnsi="Times New Roman"/>
          <w:vertAlign w:val="superscript"/>
        </w:rPr>
        <w:t>st</w:t>
      </w:r>
      <w:r w:rsidR="00476029" w:rsidRPr="00FD5E52">
        <w:rPr>
          <w:rFonts w:ascii="Times New Roman" w:hAnsi="Times New Roman"/>
        </w:rPr>
        <w:t xml:space="preserve"> respondent was obliged to</w:t>
      </w:r>
      <w:r w:rsidR="006062FC">
        <w:rPr>
          <w:rFonts w:ascii="Times New Roman" w:hAnsi="Times New Roman"/>
        </w:rPr>
        <w:t xml:space="preserve"> give effect to the first peggers</w:t>
      </w:r>
      <w:r w:rsidR="00476029" w:rsidRPr="00FD5E52">
        <w:rPr>
          <w:rFonts w:ascii="Times New Roman" w:hAnsi="Times New Roman"/>
        </w:rPr>
        <w:t xml:space="preserve"> and deal with the pegs on the ground as they were pegged </w:t>
      </w:r>
      <w:r w:rsidR="004A10BE" w:rsidRPr="00FD5E52">
        <w:rPr>
          <w:rFonts w:ascii="Times New Roman" w:hAnsi="Times New Roman"/>
        </w:rPr>
        <w:t xml:space="preserve">without the GPS system. </w:t>
      </w:r>
      <w:r w:rsidR="0073319F" w:rsidRPr="00FD5E52">
        <w:rPr>
          <w:rFonts w:ascii="Times New Roman" w:hAnsi="Times New Roman"/>
        </w:rPr>
        <w:t xml:space="preserve">It is contended that the matter should have been resolved by the application of section 177(3) of the Mines and Minerals Act [Chapter 21:05]. </w:t>
      </w:r>
    </w:p>
    <w:p w:rsidR="00C02FC4" w:rsidRDefault="00C02FC4" w:rsidP="00C02FC4">
      <w:pPr>
        <w:tabs>
          <w:tab w:val="left" w:pos="567"/>
        </w:tabs>
        <w:spacing w:line="360" w:lineRule="auto"/>
        <w:jc w:val="both"/>
        <w:rPr>
          <w:rFonts w:ascii="Times New Roman" w:hAnsi="Times New Roman"/>
        </w:rPr>
      </w:pPr>
    </w:p>
    <w:p w:rsidR="00B578F3" w:rsidRDefault="00C02FC4" w:rsidP="00FD5E52">
      <w:pPr>
        <w:pStyle w:val="NoSpacing"/>
        <w:numPr>
          <w:ilvl w:val="0"/>
          <w:numId w:val="2"/>
        </w:numPr>
        <w:spacing w:line="360" w:lineRule="auto"/>
        <w:jc w:val="both"/>
        <w:rPr>
          <w:rFonts w:cs="Times New Roman"/>
        </w:rPr>
      </w:pPr>
      <w:r w:rsidRPr="0005236F">
        <w:rPr>
          <w:rFonts w:eastAsiaTheme="minorEastAsia" w:cs="Times New Roman"/>
          <w:szCs w:val="24"/>
          <w:lang w:val="en-GB"/>
        </w:rPr>
        <w:t>Cut to the bone</w:t>
      </w:r>
      <w:r w:rsidR="006062FC">
        <w:rPr>
          <w:rFonts w:eastAsiaTheme="minorEastAsia" w:cs="Times New Roman"/>
          <w:szCs w:val="24"/>
          <w:lang w:val="en-GB"/>
        </w:rPr>
        <w:t>,</w:t>
      </w:r>
      <w:r w:rsidRPr="0005236F">
        <w:rPr>
          <w:rFonts w:eastAsiaTheme="minorEastAsia" w:cs="Times New Roman"/>
          <w:szCs w:val="24"/>
          <w:lang w:val="en-GB"/>
        </w:rPr>
        <w:t xml:space="preserve"> </w:t>
      </w:r>
      <w:r>
        <w:rPr>
          <w:rFonts w:eastAsiaTheme="minorEastAsia" w:cs="Times New Roman"/>
          <w:szCs w:val="24"/>
          <w:lang w:val="en-GB"/>
        </w:rPr>
        <w:t>applicant is aggrieved by the fact that 1</w:t>
      </w:r>
      <w:r w:rsidRPr="002676C2">
        <w:rPr>
          <w:rFonts w:eastAsiaTheme="minorEastAsia" w:cs="Times New Roman"/>
          <w:szCs w:val="24"/>
          <w:vertAlign w:val="superscript"/>
          <w:lang w:val="en-GB"/>
        </w:rPr>
        <w:t>st</w:t>
      </w:r>
      <w:r>
        <w:rPr>
          <w:rFonts w:eastAsiaTheme="minorEastAsia" w:cs="Times New Roman"/>
          <w:szCs w:val="24"/>
          <w:lang w:val="en-GB"/>
        </w:rPr>
        <w:t xml:space="preserve"> respondent determined that the </w:t>
      </w:r>
      <w:r>
        <w:rPr>
          <w:rFonts w:cs="Times New Roman"/>
        </w:rPr>
        <w:t xml:space="preserve">shafts </w:t>
      </w:r>
      <w:r w:rsidRPr="00EB5B41">
        <w:rPr>
          <w:rFonts w:cs="Times New Roman"/>
        </w:rPr>
        <w:t>under conte</w:t>
      </w:r>
      <w:r>
        <w:rPr>
          <w:rFonts w:cs="Times New Roman"/>
        </w:rPr>
        <w:t>st fall within SG 8565 boundary, and outside Goodeno</w:t>
      </w:r>
      <w:r w:rsidR="00BC6C09">
        <w:rPr>
          <w:rFonts w:cs="Times New Roman"/>
        </w:rPr>
        <w:t xml:space="preserve">ugh 7 and 8. </w:t>
      </w:r>
      <w:r>
        <w:rPr>
          <w:rFonts w:cs="Times New Roman"/>
        </w:rPr>
        <w:t xml:space="preserve"> </w:t>
      </w:r>
      <w:r w:rsidR="00B578F3" w:rsidRPr="00B578F3">
        <w:t xml:space="preserve">The </w:t>
      </w:r>
      <w:r w:rsidR="00B578F3">
        <w:t>1</w:t>
      </w:r>
      <w:r w:rsidR="00B578F3" w:rsidRPr="00BC6C09">
        <w:rPr>
          <w:vertAlign w:val="superscript"/>
        </w:rPr>
        <w:t>st</w:t>
      </w:r>
      <w:r w:rsidR="00B578F3">
        <w:t xml:space="preserve"> respondent found, on the basis of the facts and evidence before him</w:t>
      </w:r>
      <w:r w:rsidR="00EB5B41">
        <w:t xml:space="preserve">, </w:t>
      </w:r>
      <w:r w:rsidR="00EB5B41" w:rsidRPr="00BC6C09">
        <w:rPr>
          <w:rFonts w:cs="Times New Roman"/>
        </w:rPr>
        <w:t xml:space="preserve">i.e. </w:t>
      </w:r>
      <w:r w:rsidR="00244AB1" w:rsidRPr="00BC6C09">
        <w:rPr>
          <w:rFonts w:cs="Times New Roman"/>
        </w:rPr>
        <w:t xml:space="preserve">report compiled by the surveyors </w:t>
      </w:r>
      <w:r w:rsidR="009A7CA1" w:rsidRPr="00BC6C09">
        <w:rPr>
          <w:rFonts w:cs="Times New Roman"/>
        </w:rPr>
        <w:t xml:space="preserve">and the survey diagram that: </w:t>
      </w:r>
      <w:r w:rsidR="00B578F3">
        <w:t xml:space="preserve"> </w:t>
      </w:r>
      <w:r w:rsidR="007E1C28" w:rsidRPr="00BC6C09">
        <w:rPr>
          <w:rFonts w:cs="Arial"/>
          <w:bCs/>
        </w:rPr>
        <w:t>t</w:t>
      </w:r>
      <w:r w:rsidR="005A0929" w:rsidRPr="00BC6C09">
        <w:rPr>
          <w:rFonts w:cs="Arial"/>
          <w:bCs/>
        </w:rPr>
        <w:t xml:space="preserve">he </w:t>
      </w:r>
      <w:r w:rsidR="0093009C" w:rsidRPr="00BC6C09">
        <w:rPr>
          <w:rFonts w:cs="Arial"/>
          <w:bCs/>
        </w:rPr>
        <w:t>workings under</w:t>
      </w:r>
      <w:r w:rsidR="0053124A" w:rsidRPr="00BC6C09">
        <w:rPr>
          <w:rFonts w:cs="Arial"/>
          <w:bCs/>
        </w:rPr>
        <w:t xml:space="preserve"> contest are fall</w:t>
      </w:r>
      <w:r w:rsidR="0068084E" w:rsidRPr="00BC6C09">
        <w:rPr>
          <w:rFonts w:cs="Arial"/>
          <w:bCs/>
        </w:rPr>
        <w:t xml:space="preserve"> within SG 8565 </w:t>
      </w:r>
      <w:r w:rsidR="0093009C" w:rsidRPr="00BC6C09">
        <w:rPr>
          <w:rFonts w:cs="Arial"/>
          <w:bCs/>
        </w:rPr>
        <w:t>and outside Goodenough boundaries.</w:t>
      </w:r>
      <w:r w:rsidR="007E1C28" w:rsidRPr="00BC6C09">
        <w:rPr>
          <w:rFonts w:cs="Arial"/>
          <w:bCs/>
        </w:rPr>
        <w:t xml:space="preserve"> </w:t>
      </w:r>
      <w:r w:rsidR="00417FE0" w:rsidRPr="00BC6C09">
        <w:rPr>
          <w:rFonts w:cs="Arial"/>
          <w:bCs/>
        </w:rPr>
        <w:t xml:space="preserve">What is clear is that </w:t>
      </w:r>
      <w:r w:rsidR="00EB5B41" w:rsidRPr="00BC6C09">
        <w:rPr>
          <w:rFonts w:cs="Arial"/>
          <w:bCs/>
        </w:rPr>
        <w:t>1</w:t>
      </w:r>
      <w:r w:rsidR="00EB5B41" w:rsidRPr="00BC6C09">
        <w:rPr>
          <w:rFonts w:cs="Arial"/>
          <w:bCs/>
          <w:vertAlign w:val="superscript"/>
        </w:rPr>
        <w:t>st</w:t>
      </w:r>
      <w:r w:rsidR="00EB5B41" w:rsidRPr="00BC6C09">
        <w:rPr>
          <w:rFonts w:cs="Arial"/>
          <w:bCs/>
        </w:rPr>
        <w:t xml:space="preserve"> respondent </w:t>
      </w:r>
      <w:r w:rsidR="00417FE0" w:rsidRPr="00BC6C09">
        <w:rPr>
          <w:rFonts w:cs="Arial"/>
          <w:bCs/>
        </w:rPr>
        <w:t>found that t</w:t>
      </w:r>
      <w:r w:rsidR="007E1C28" w:rsidRPr="00BC6C09">
        <w:rPr>
          <w:rFonts w:cs="Times New Roman"/>
        </w:rPr>
        <w:t xml:space="preserve">he shafts working under contest fall within SG 8565 boundary. </w:t>
      </w:r>
    </w:p>
    <w:p w:rsidR="00CE310A" w:rsidRDefault="00CE310A" w:rsidP="00CE310A">
      <w:pPr>
        <w:pStyle w:val="NoSpacing"/>
        <w:spacing w:line="360" w:lineRule="auto"/>
        <w:jc w:val="both"/>
        <w:rPr>
          <w:rFonts w:asciiTheme="minorHAnsi" w:eastAsiaTheme="minorEastAsia" w:hAnsiTheme="minorHAnsi" w:cs="Times New Roman"/>
          <w:szCs w:val="24"/>
          <w:lang w:val="en-GB"/>
        </w:rPr>
      </w:pPr>
    </w:p>
    <w:p w:rsidR="00CE310A" w:rsidRPr="00BC6C09" w:rsidRDefault="00CE310A" w:rsidP="00FD5E52">
      <w:pPr>
        <w:pStyle w:val="NoSpacing"/>
        <w:numPr>
          <w:ilvl w:val="0"/>
          <w:numId w:val="2"/>
        </w:numPr>
        <w:spacing w:line="360" w:lineRule="auto"/>
        <w:jc w:val="both"/>
        <w:rPr>
          <w:rFonts w:cs="Times New Roman"/>
        </w:rPr>
      </w:pPr>
      <w:r>
        <w:rPr>
          <w:rFonts w:cs="Times New Roman"/>
        </w:rPr>
        <w:t>It is clear that that the</w:t>
      </w:r>
      <w:r w:rsidR="00343D21">
        <w:rPr>
          <w:rFonts w:cs="Times New Roman"/>
        </w:rPr>
        <w:t xml:space="preserve"> decision of the 1</w:t>
      </w:r>
      <w:r w:rsidR="00343D21" w:rsidRPr="00343D21">
        <w:rPr>
          <w:rFonts w:cs="Times New Roman"/>
          <w:vertAlign w:val="superscript"/>
        </w:rPr>
        <w:t>st</w:t>
      </w:r>
      <w:r w:rsidR="00343D21">
        <w:rPr>
          <w:rFonts w:cs="Times New Roman"/>
        </w:rPr>
        <w:t xml:space="preserve"> respondent</w:t>
      </w:r>
      <w:r>
        <w:rPr>
          <w:rFonts w:cs="Times New Roman"/>
        </w:rPr>
        <w:t xml:space="preserve"> is unsupported by the evidence; </w:t>
      </w:r>
      <w:r w:rsidR="00343D21">
        <w:rPr>
          <w:rFonts w:cs="Times New Roman"/>
        </w:rPr>
        <w:t>and there is a</w:t>
      </w:r>
      <w:r>
        <w:rPr>
          <w:rFonts w:cs="Times New Roman"/>
        </w:rPr>
        <w:t xml:space="preserve"> connection between the evidence and the reasons provided for the </w:t>
      </w:r>
      <w:r w:rsidR="00343D21">
        <w:rPr>
          <w:rFonts w:cs="Times New Roman"/>
        </w:rPr>
        <w:t xml:space="preserve">decision; and the reasons are </w:t>
      </w:r>
      <w:r>
        <w:rPr>
          <w:rFonts w:cs="Times New Roman"/>
        </w:rPr>
        <w:t>intelligible.</w:t>
      </w:r>
      <w:r w:rsidR="00343D21">
        <w:rPr>
          <w:rFonts w:cs="Times New Roman"/>
        </w:rPr>
        <w:t xml:space="preserve"> </w:t>
      </w:r>
      <w:r w:rsidR="00FF22FE">
        <w:rPr>
          <w:rFonts w:cs="Times New Roman"/>
        </w:rPr>
        <w:t xml:space="preserve">Whether the </w:t>
      </w:r>
      <w:r w:rsidR="00FF22FE">
        <w:t>decision is right or wrong</w:t>
      </w:r>
      <w:r w:rsidR="00387C15">
        <w:t xml:space="preserve"> is not the inquiry, w</w:t>
      </w:r>
      <w:r w:rsidR="00FF22FE">
        <w:t xml:space="preserve">hat is important </w:t>
      </w:r>
      <w:r w:rsidR="00387C15">
        <w:t xml:space="preserve">in a review application </w:t>
      </w:r>
      <w:r w:rsidR="00FF22FE">
        <w:t xml:space="preserve">is that it passes the rational diagnostic test. </w:t>
      </w:r>
    </w:p>
    <w:p w:rsidR="002C5C90" w:rsidRPr="002C5C90" w:rsidRDefault="002C5C90" w:rsidP="00CE310A">
      <w:pPr>
        <w:pStyle w:val="NoSpacing"/>
        <w:spacing w:line="360" w:lineRule="auto"/>
        <w:jc w:val="both"/>
        <w:rPr>
          <w:rFonts w:eastAsiaTheme="minorEastAsia" w:cs="Times New Roman"/>
          <w:szCs w:val="24"/>
          <w:lang w:val="en-GB"/>
        </w:rPr>
      </w:pPr>
    </w:p>
    <w:p w:rsidR="00E046DA" w:rsidRPr="00E12727" w:rsidRDefault="002C5C90" w:rsidP="00FD5E52">
      <w:pPr>
        <w:pStyle w:val="NoSpacing"/>
        <w:numPr>
          <w:ilvl w:val="0"/>
          <w:numId w:val="2"/>
        </w:numPr>
        <w:spacing w:line="360" w:lineRule="auto"/>
        <w:jc w:val="both"/>
        <w:rPr>
          <w:rFonts w:cs="Times New Roman"/>
        </w:rPr>
      </w:pPr>
      <w:r w:rsidRPr="002C5C90">
        <w:rPr>
          <w:rFonts w:eastAsiaTheme="minorEastAsia" w:cs="Times New Roman"/>
          <w:szCs w:val="24"/>
          <w:lang w:val="en-GB"/>
        </w:rPr>
        <w:lastRenderedPageBreak/>
        <w:t xml:space="preserve">The fact that </w:t>
      </w:r>
      <w:r>
        <w:rPr>
          <w:rFonts w:eastAsiaTheme="minorEastAsia" w:cs="Times New Roman"/>
          <w:szCs w:val="24"/>
          <w:lang w:val="en-GB"/>
        </w:rPr>
        <w:t>2</w:t>
      </w:r>
      <w:r w:rsidRPr="002C5C90">
        <w:rPr>
          <w:rFonts w:eastAsiaTheme="minorEastAsia" w:cs="Times New Roman"/>
          <w:szCs w:val="24"/>
          <w:vertAlign w:val="superscript"/>
          <w:lang w:val="en-GB"/>
        </w:rPr>
        <w:t>nd</w:t>
      </w:r>
      <w:r>
        <w:rPr>
          <w:rFonts w:eastAsiaTheme="minorEastAsia" w:cs="Times New Roman"/>
          <w:szCs w:val="24"/>
          <w:lang w:val="en-GB"/>
        </w:rPr>
        <w:t xml:space="preserve"> respondent did not produce a copy of t</w:t>
      </w:r>
      <w:r w:rsidR="00ED3D64">
        <w:rPr>
          <w:rFonts w:eastAsiaTheme="minorEastAsia" w:cs="Times New Roman"/>
          <w:szCs w:val="24"/>
          <w:lang w:val="en-GB"/>
        </w:rPr>
        <w:t xml:space="preserve">he special grant is irrelevant. </w:t>
      </w:r>
      <w:r w:rsidR="00566B32">
        <w:rPr>
          <w:rFonts w:eastAsiaTheme="minorEastAsia" w:cs="Times New Roman"/>
          <w:szCs w:val="24"/>
          <w:lang w:val="en-GB"/>
        </w:rPr>
        <w:t>The fact that 1</w:t>
      </w:r>
      <w:r w:rsidR="00566B32" w:rsidRPr="00566B32">
        <w:rPr>
          <w:rFonts w:eastAsiaTheme="minorEastAsia" w:cs="Times New Roman"/>
          <w:szCs w:val="24"/>
          <w:vertAlign w:val="superscript"/>
          <w:lang w:val="en-GB"/>
        </w:rPr>
        <w:t>st</w:t>
      </w:r>
      <w:r w:rsidR="00566B32">
        <w:rPr>
          <w:rFonts w:eastAsiaTheme="minorEastAsia" w:cs="Times New Roman"/>
          <w:szCs w:val="24"/>
          <w:lang w:val="en-GB"/>
        </w:rPr>
        <w:t xml:space="preserve"> respondent used a GPS system to determine the boundaries, which system was not in use in 1988 </w:t>
      </w:r>
      <w:r w:rsidR="00E046DA">
        <w:rPr>
          <w:rFonts w:eastAsiaTheme="minorEastAsia" w:cs="Times New Roman"/>
          <w:szCs w:val="24"/>
          <w:lang w:val="en-GB"/>
        </w:rPr>
        <w:t xml:space="preserve">when applicant mining claims were pegged is not the issue. </w:t>
      </w:r>
      <w:r w:rsidR="00E046DA">
        <w:t xml:space="preserve">Courts are obliged to examine the means selected </w:t>
      </w:r>
      <w:r w:rsidR="004F7ACB">
        <w:t xml:space="preserve">by the </w:t>
      </w:r>
      <w:r w:rsidR="0004799D">
        <w:t>decision-maker</w:t>
      </w:r>
      <w:r w:rsidR="004F7ACB">
        <w:t xml:space="preserve"> </w:t>
      </w:r>
      <w:r w:rsidR="00E046DA">
        <w:t>to determine whether they are rationally related to the objective sought to be achieved. What must be stressed is that the purpose of the enquiry is to determine not whether there are other means that could have been used, but whether the means selected are rationally related to the objective sought to be achie</w:t>
      </w:r>
      <w:r w:rsidR="004F7ACB">
        <w:t xml:space="preserve">ved. In </w:t>
      </w:r>
      <w:proofErr w:type="spellStart"/>
      <w:r w:rsidR="004F7ACB" w:rsidRPr="004F7ACB">
        <w:rPr>
          <w:i/>
        </w:rPr>
        <w:t>casu</w:t>
      </w:r>
      <w:proofErr w:type="spellEnd"/>
      <w:r w:rsidR="004F7ACB">
        <w:t xml:space="preserve">, </w:t>
      </w:r>
      <w:r w:rsidR="00F60259">
        <w:t xml:space="preserve">the objective sought to be achieved was to ascertain the boundaries between </w:t>
      </w:r>
      <w:r w:rsidR="00F16494">
        <w:t>SG 8565 and Goodenough 7 and 8. The 1</w:t>
      </w:r>
      <w:r w:rsidR="00F16494" w:rsidRPr="00F16494">
        <w:rPr>
          <w:vertAlign w:val="superscript"/>
        </w:rPr>
        <w:t>st</w:t>
      </w:r>
      <w:r w:rsidR="00F16494">
        <w:t xml:space="preserve"> respondent used</w:t>
      </w:r>
      <w:r w:rsidR="00356D34">
        <w:t xml:space="preserve"> a GPS system for this purpose, and the fact that such a system was used</w:t>
      </w:r>
      <w:r w:rsidR="00D05B13">
        <w:t xml:space="preserve"> does not render the decision irrational. </w:t>
      </w:r>
      <w:r w:rsidR="009A6ABF">
        <w:t>The court cannot direct the 1</w:t>
      </w:r>
      <w:r w:rsidR="009A6ABF" w:rsidRPr="009A6ABF">
        <w:rPr>
          <w:vertAlign w:val="superscript"/>
        </w:rPr>
        <w:t>st</w:t>
      </w:r>
      <w:r w:rsidR="009A6ABF">
        <w:t xml:space="preserve"> respondent to use any other system, the choice is his. </w:t>
      </w:r>
    </w:p>
    <w:p w:rsidR="00E046DA" w:rsidRDefault="00E046DA" w:rsidP="00E046DA">
      <w:pPr>
        <w:pStyle w:val="ListParagraph"/>
        <w:rPr>
          <w:rFonts w:cs="Times New Roman"/>
        </w:rPr>
      </w:pPr>
    </w:p>
    <w:p w:rsidR="00D866E5" w:rsidRPr="002C4E95" w:rsidRDefault="00ED3D64" w:rsidP="00FD5E52">
      <w:pPr>
        <w:pStyle w:val="NoSpacing"/>
        <w:numPr>
          <w:ilvl w:val="0"/>
          <w:numId w:val="2"/>
        </w:numPr>
        <w:spacing w:line="360" w:lineRule="auto"/>
        <w:jc w:val="both"/>
        <w:rPr>
          <w:rFonts w:cs="Times New Roman"/>
        </w:rPr>
      </w:pPr>
      <w:r>
        <w:rPr>
          <w:rFonts w:eastAsiaTheme="minorEastAsia" w:cs="Times New Roman"/>
          <w:szCs w:val="24"/>
          <w:lang w:val="en-GB"/>
        </w:rPr>
        <w:t>Applicant makes his o</w:t>
      </w:r>
      <w:r w:rsidR="00447856">
        <w:rPr>
          <w:rFonts w:eastAsiaTheme="minorEastAsia" w:cs="Times New Roman"/>
          <w:szCs w:val="24"/>
          <w:lang w:val="en-GB"/>
        </w:rPr>
        <w:t>wn conclusion that the survey diagram shows that the mining shafts fall</w:t>
      </w:r>
      <w:r w:rsidR="00C02243">
        <w:rPr>
          <w:rFonts w:eastAsiaTheme="minorEastAsia" w:cs="Times New Roman"/>
          <w:szCs w:val="24"/>
          <w:lang w:val="en-GB"/>
        </w:rPr>
        <w:t xml:space="preserve"> within its pegged area. </w:t>
      </w:r>
      <w:r w:rsidR="00155746">
        <w:rPr>
          <w:rFonts w:eastAsiaTheme="minorEastAsia" w:cs="Times New Roman"/>
          <w:szCs w:val="24"/>
          <w:lang w:val="en-GB"/>
        </w:rPr>
        <w:t>According to 1</w:t>
      </w:r>
      <w:r w:rsidR="00155746" w:rsidRPr="00155746">
        <w:rPr>
          <w:rFonts w:eastAsiaTheme="minorEastAsia" w:cs="Times New Roman"/>
          <w:szCs w:val="24"/>
          <w:vertAlign w:val="superscript"/>
          <w:lang w:val="en-GB"/>
        </w:rPr>
        <w:t>st</w:t>
      </w:r>
      <w:r w:rsidR="00155746">
        <w:rPr>
          <w:rFonts w:eastAsiaTheme="minorEastAsia" w:cs="Times New Roman"/>
          <w:szCs w:val="24"/>
          <w:lang w:val="en-GB"/>
        </w:rPr>
        <w:t xml:space="preserve"> respondent the diagram shows that the shaft</w:t>
      </w:r>
      <w:r w:rsidR="00741648">
        <w:rPr>
          <w:rFonts w:eastAsiaTheme="minorEastAsia" w:cs="Times New Roman"/>
          <w:szCs w:val="24"/>
          <w:lang w:val="en-GB"/>
        </w:rPr>
        <w:t>s</w:t>
      </w:r>
      <w:r w:rsidR="00155746">
        <w:rPr>
          <w:rFonts w:eastAsiaTheme="minorEastAsia" w:cs="Times New Roman"/>
          <w:szCs w:val="24"/>
          <w:lang w:val="en-GB"/>
        </w:rPr>
        <w:t xml:space="preserve"> fall within SG 8565. The fact </w:t>
      </w:r>
      <w:r w:rsidR="00741648">
        <w:rPr>
          <w:rFonts w:eastAsiaTheme="minorEastAsia" w:cs="Times New Roman"/>
          <w:szCs w:val="24"/>
          <w:lang w:val="en-GB"/>
        </w:rPr>
        <w:t xml:space="preserve">that </w:t>
      </w:r>
      <w:r w:rsidR="00392E2D">
        <w:rPr>
          <w:rFonts w:eastAsiaTheme="minorEastAsia" w:cs="Times New Roman"/>
          <w:szCs w:val="24"/>
          <w:lang w:val="en-GB"/>
        </w:rPr>
        <w:t>1</w:t>
      </w:r>
      <w:r w:rsidR="00392E2D" w:rsidRPr="00392E2D">
        <w:rPr>
          <w:rFonts w:eastAsiaTheme="minorEastAsia" w:cs="Times New Roman"/>
          <w:szCs w:val="24"/>
          <w:vertAlign w:val="superscript"/>
          <w:lang w:val="en-GB"/>
        </w:rPr>
        <w:t>st</w:t>
      </w:r>
      <w:r w:rsidR="00392E2D">
        <w:rPr>
          <w:rFonts w:eastAsiaTheme="minorEastAsia" w:cs="Times New Roman"/>
          <w:szCs w:val="24"/>
          <w:lang w:val="en-GB"/>
        </w:rPr>
        <w:t xml:space="preserve"> respondent came to a conclusion different from that of the applicant does not make his decision irrational and reviewable. </w:t>
      </w:r>
    </w:p>
    <w:p w:rsidR="008A32D7" w:rsidRDefault="008A32D7" w:rsidP="008A32D7">
      <w:pPr>
        <w:tabs>
          <w:tab w:val="left" w:pos="567"/>
        </w:tabs>
        <w:spacing w:after="0" w:line="480" w:lineRule="auto"/>
        <w:jc w:val="both"/>
        <w:rPr>
          <w:rFonts w:ascii="Times New Roman" w:hAnsi="Times New Roman"/>
          <w:b/>
          <w:sz w:val="24"/>
          <w:szCs w:val="24"/>
        </w:rPr>
      </w:pPr>
      <w:r w:rsidRPr="008A32D7">
        <w:rPr>
          <w:rFonts w:ascii="Times New Roman" w:hAnsi="Times New Roman"/>
          <w:b/>
          <w:sz w:val="24"/>
          <w:szCs w:val="24"/>
        </w:rPr>
        <w:t xml:space="preserve">Incompetent relief </w:t>
      </w:r>
    </w:p>
    <w:p w:rsidR="00D866E5" w:rsidRPr="00774CE2" w:rsidRDefault="00EC31DB" w:rsidP="00B11938">
      <w:pPr>
        <w:pStyle w:val="ListParagraph"/>
        <w:numPr>
          <w:ilvl w:val="0"/>
          <w:numId w:val="2"/>
        </w:numPr>
        <w:tabs>
          <w:tab w:val="left" w:pos="567"/>
        </w:tabs>
        <w:spacing w:line="360" w:lineRule="auto"/>
        <w:jc w:val="both"/>
        <w:rPr>
          <w:rFonts w:ascii="Times New Roman" w:hAnsi="Times New Roman"/>
        </w:rPr>
      </w:pPr>
      <w:r w:rsidRPr="00EC31DB">
        <w:rPr>
          <w:rFonts w:ascii="Times New Roman" w:hAnsi="Times New Roman"/>
        </w:rPr>
        <w:t>I</w:t>
      </w:r>
      <w:r w:rsidRPr="00011F12">
        <w:rPr>
          <w:rFonts w:ascii="Times New Roman" w:hAnsi="Times New Roman"/>
        </w:rPr>
        <w:t xml:space="preserve"> asked</w:t>
      </w:r>
      <w:r w:rsidRPr="00EC31DB">
        <w:rPr>
          <w:rFonts w:ascii="Times New Roman" w:hAnsi="Times New Roman"/>
        </w:rPr>
        <w:t xml:space="preserve"> </w:t>
      </w:r>
      <w:r w:rsidR="00CC7AC7">
        <w:rPr>
          <w:rFonts w:ascii="Times New Roman" w:hAnsi="Times New Roman"/>
        </w:rPr>
        <w:t>Mr</w:t>
      </w:r>
      <w:r w:rsidR="00CC7AC7" w:rsidRPr="00CC7AC7">
        <w:rPr>
          <w:rFonts w:ascii="Times New Roman" w:hAnsi="Times New Roman"/>
          <w:i/>
        </w:rPr>
        <w:t xml:space="preserve"> B.C. </w:t>
      </w:r>
      <w:proofErr w:type="spellStart"/>
      <w:r w:rsidR="00CC7AC7" w:rsidRPr="00CC7AC7">
        <w:rPr>
          <w:rFonts w:ascii="Times New Roman" w:hAnsi="Times New Roman"/>
          <w:i/>
        </w:rPr>
        <w:t>Dube</w:t>
      </w:r>
      <w:proofErr w:type="spellEnd"/>
      <w:r w:rsidR="00A73BF6">
        <w:rPr>
          <w:rFonts w:ascii="Times New Roman" w:hAnsi="Times New Roman"/>
        </w:rPr>
        <w:t xml:space="preserve"> whether</w:t>
      </w:r>
      <w:r w:rsidR="00CC7AC7">
        <w:rPr>
          <w:rFonts w:ascii="Times New Roman" w:hAnsi="Times New Roman"/>
        </w:rPr>
        <w:t xml:space="preserve"> </w:t>
      </w:r>
      <w:r w:rsidR="00CC7AC7" w:rsidRPr="00B11938">
        <w:rPr>
          <w:rFonts w:ascii="Times New Roman" w:hAnsi="Times New Roman"/>
          <w:i/>
        </w:rPr>
        <w:t xml:space="preserve">paragraphs </w:t>
      </w:r>
      <w:r w:rsidR="00CC7AC7">
        <w:rPr>
          <w:rFonts w:ascii="Times New Roman" w:hAnsi="Times New Roman"/>
        </w:rPr>
        <w:t>3 and 4 of the draft order are competent</w:t>
      </w:r>
      <w:r w:rsidR="00EA2638">
        <w:rPr>
          <w:rFonts w:ascii="Times New Roman" w:hAnsi="Times New Roman"/>
        </w:rPr>
        <w:t>.</w:t>
      </w:r>
      <w:r w:rsidR="00BC635F">
        <w:rPr>
          <w:rFonts w:ascii="Times New Roman" w:hAnsi="Times New Roman"/>
        </w:rPr>
        <w:t xml:space="preserve"> </w:t>
      </w:r>
      <w:r w:rsidR="00D866E5" w:rsidRPr="00774CE2">
        <w:rPr>
          <w:rFonts w:ascii="Times New Roman" w:hAnsi="Times New Roman"/>
        </w:rPr>
        <w:t>Section 28 of the</w:t>
      </w:r>
      <w:r w:rsidR="00774CE2" w:rsidRPr="00774CE2">
        <w:rPr>
          <w:rFonts w:ascii="Times New Roman" w:hAnsi="Times New Roman"/>
        </w:rPr>
        <w:t xml:space="preserve"> High Court Act provides that: </w:t>
      </w:r>
    </w:p>
    <w:p w:rsidR="004D60E3" w:rsidRPr="00EA2638" w:rsidRDefault="004D60E3" w:rsidP="004D60E3">
      <w:pPr>
        <w:pStyle w:val="ListParagraph"/>
        <w:tabs>
          <w:tab w:val="left" w:pos="567"/>
        </w:tabs>
        <w:spacing w:line="360" w:lineRule="auto"/>
        <w:jc w:val="both"/>
        <w:rPr>
          <w:rFonts w:ascii="Times New Roman" w:hAnsi="Times New Roman"/>
        </w:rPr>
      </w:pPr>
    </w:p>
    <w:p w:rsidR="00D866E5" w:rsidRPr="00A3395C" w:rsidRDefault="00D866E5" w:rsidP="003725DF">
      <w:pPr>
        <w:spacing w:after="0"/>
        <w:ind w:left="1134"/>
        <w:jc w:val="both"/>
        <w:rPr>
          <w:rFonts w:ascii="Times New Roman" w:hAnsi="Times New Roman"/>
          <w:sz w:val="24"/>
          <w:szCs w:val="24"/>
        </w:rPr>
      </w:pPr>
      <w:r>
        <w:rPr>
          <w:rFonts w:ascii="Times New Roman" w:hAnsi="Times New Roman"/>
          <w:sz w:val="24"/>
          <w:szCs w:val="24"/>
        </w:rPr>
        <w:t>O</w:t>
      </w:r>
      <w:r w:rsidRPr="00A3395C">
        <w:rPr>
          <w:rFonts w:ascii="Times New Roman" w:hAnsi="Times New Roman"/>
          <w:sz w:val="24"/>
          <w:szCs w:val="24"/>
        </w:rPr>
        <w:t>n a review of any proceedings or decision other than criminal proceedings, the High Court may, subject to any other law set aside or corre</w:t>
      </w:r>
      <w:r w:rsidR="003725DF">
        <w:rPr>
          <w:rFonts w:ascii="Times New Roman" w:hAnsi="Times New Roman"/>
          <w:sz w:val="24"/>
          <w:szCs w:val="24"/>
        </w:rPr>
        <w:t>ct the proceedings or decision.</w:t>
      </w:r>
    </w:p>
    <w:p w:rsidR="00D866E5" w:rsidRDefault="00D866E5" w:rsidP="003725DF">
      <w:pPr>
        <w:tabs>
          <w:tab w:val="left" w:pos="567"/>
        </w:tabs>
        <w:spacing w:after="0"/>
        <w:ind w:left="567"/>
        <w:jc w:val="both"/>
        <w:rPr>
          <w:rFonts w:ascii="Times New Roman" w:hAnsi="Times New Roman"/>
          <w:sz w:val="24"/>
          <w:szCs w:val="24"/>
        </w:rPr>
      </w:pPr>
    </w:p>
    <w:p w:rsidR="004D60E3" w:rsidRDefault="00882238" w:rsidP="00FD5E52">
      <w:pPr>
        <w:pStyle w:val="NoSpacing"/>
        <w:numPr>
          <w:ilvl w:val="0"/>
          <w:numId w:val="2"/>
        </w:numPr>
        <w:spacing w:line="360" w:lineRule="auto"/>
        <w:jc w:val="both"/>
        <w:rPr>
          <w:szCs w:val="24"/>
        </w:rPr>
      </w:pPr>
      <w:r>
        <w:rPr>
          <w:szCs w:val="24"/>
        </w:rPr>
        <w:lastRenderedPageBreak/>
        <w:t xml:space="preserve">It is apparent from </w:t>
      </w:r>
      <w:r w:rsidRPr="00B11938">
        <w:rPr>
          <w:i/>
          <w:szCs w:val="24"/>
        </w:rPr>
        <w:t>paragraphs</w:t>
      </w:r>
      <w:r>
        <w:rPr>
          <w:szCs w:val="24"/>
        </w:rPr>
        <w:t xml:space="preserve"> </w:t>
      </w:r>
      <w:r w:rsidR="00F82AC5">
        <w:rPr>
          <w:szCs w:val="24"/>
        </w:rPr>
        <w:t>3 and 4 of the draft order that a</w:t>
      </w:r>
      <w:r>
        <w:rPr>
          <w:szCs w:val="24"/>
        </w:rPr>
        <w:t>pplicant is seeking the setting aside of the decision of the 1</w:t>
      </w:r>
      <w:r w:rsidRPr="001F1028">
        <w:rPr>
          <w:szCs w:val="24"/>
          <w:vertAlign w:val="superscript"/>
        </w:rPr>
        <w:t>st</w:t>
      </w:r>
      <w:r>
        <w:rPr>
          <w:szCs w:val="24"/>
        </w:rPr>
        <w:t xml:space="preserve"> respondent and consequential relief.  </w:t>
      </w:r>
      <w:r w:rsidR="009B4752" w:rsidRPr="00882238">
        <w:rPr>
          <w:szCs w:val="24"/>
        </w:rPr>
        <w:t xml:space="preserve">In </w:t>
      </w:r>
      <w:r w:rsidR="009B4752" w:rsidRPr="00882238">
        <w:rPr>
          <w:i/>
          <w:szCs w:val="24"/>
        </w:rPr>
        <w:t>paragraph</w:t>
      </w:r>
      <w:r w:rsidR="009B4752" w:rsidRPr="00882238">
        <w:rPr>
          <w:szCs w:val="24"/>
        </w:rPr>
        <w:t xml:space="preserve"> 3 of the draft order applicant seeks this court to order that t</w:t>
      </w:r>
      <w:r w:rsidR="003021F4" w:rsidRPr="00882238">
        <w:rPr>
          <w:szCs w:val="24"/>
        </w:rPr>
        <w:t>he mining shafts and workings under contest between the applicant and 2</w:t>
      </w:r>
      <w:r w:rsidR="003021F4" w:rsidRPr="00882238">
        <w:rPr>
          <w:szCs w:val="24"/>
          <w:vertAlign w:val="superscript"/>
        </w:rPr>
        <w:t>nd</w:t>
      </w:r>
      <w:r w:rsidR="00783478" w:rsidRPr="00882238">
        <w:rPr>
          <w:szCs w:val="24"/>
        </w:rPr>
        <w:t xml:space="preserve"> respondent </w:t>
      </w:r>
      <w:r w:rsidR="003021F4" w:rsidRPr="00882238">
        <w:rPr>
          <w:szCs w:val="24"/>
        </w:rPr>
        <w:t>fall within applicant’s mining claim, that is, Goodenough 7 Reg. No. 34308.</w:t>
      </w:r>
      <w:r w:rsidR="00783478" w:rsidRPr="00882238">
        <w:rPr>
          <w:szCs w:val="24"/>
        </w:rPr>
        <w:t xml:space="preserve"> In </w:t>
      </w:r>
      <w:r w:rsidR="00783478" w:rsidRPr="005B616F">
        <w:rPr>
          <w:i/>
          <w:szCs w:val="24"/>
        </w:rPr>
        <w:t>paragraph</w:t>
      </w:r>
      <w:r w:rsidR="00783478" w:rsidRPr="00882238">
        <w:rPr>
          <w:szCs w:val="24"/>
        </w:rPr>
        <w:t xml:space="preserve"> </w:t>
      </w:r>
      <w:r w:rsidR="00F82AC5">
        <w:rPr>
          <w:szCs w:val="24"/>
        </w:rPr>
        <w:t xml:space="preserve">4 </w:t>
      </w:r>
      <w:r w:rsidR="00783478" w:rsidRPr="00882238">
        <w:rPr>
          <w:szCs w:val="24"/>
        </w:rPr>
        <w:t>applicant seek</w:t>
      </w:r>
      <w:r w:rsidR="005B616F">
        <w:rPr>
          <w:szCs w:val="24"/>
        </w:rPr>
        <w:t>s</w:t>
      </w:r>
      <w:r w:rsidR="00783478" w:rsidRPr="00882238">
        <w:rPr>
          <w:szCs w:val="24"/>
        </w:rPr>
        <w:t xml:space="preserve"> an order that </w:t>
      </w:r>
      <w:r w:rsidR="003021F4" w:rsidRPr="00882238">
        <w:rPr>
          <w:szCs w:val="24"/>
        </w:rPr>
        <w:t>2</w:t>
      </w:r>
      <w:r w:rsidR="003021F4" w:rsidRPr="00882238">
        <w:rPr>
          <w:szCs w:val="24"/>
          <w:vertAlign w:val="superscript"/>
        </w:rPr>
        <w:t>nd</w:t>
      </w:r>
      <w:r w:rsidR="003021F4" w:rsidRPr="00882238">
        <w:rPr>
          <w:szCs w:val="24"/>
        </w:rPr>
        <w:t xml:space="preserve"> respondent’s alleged special grant be and is hereby set aside to the extent that it encroaches on the Goodenough 7 mining claim Reg. No. 34303 as pegged in 1988.</w:t>
      </w:r>
      <w:r w:rsidR="00107323">
        <w:rPr>
          <w:szCs w:val="24"/>
        </w:rPr>
        <w:t xml:space="preserve"> </w:t>
      </w:r>
    </w:p>
    <w:p w:rsidR="003131D7" w:rsidRPr="003131D7" w:rsidRDefault="003131D7" w:rsidP="003131D7">
      <w:pPr>
        <w:pStyle w:val="NoSpacing"/>
        <w:spacing w:line="360" w:lineRule="auto"/>
        <w:ind w:left="720"/>
        <w:jc w:val="both"/>
        <w:rPr>
          <w:szCs w:val="24"/>
        </w:rPr>
      </w:pPr>
    </w:p>
    <w:p w:rsidR="00E342AB" w:rsidRPr="007C7C96" w:rsidRDefault="00107323" w:rsidP="00FD5E52">
      <w:pPr>
        <w:pStyle w:val="ListParagraph"/>
        <w:numPr>
          <w:ilvl w:val="0"/>
          <w:numId w:val="2"/>
        </w:numPr>
        <w:shd w:val="clear" w:color="auto" w:fill="FFFFFF"/>
        <w:spacing w:after="100" w:afterAutospacing="1" w:line="360" w:lineRule="auto"/>
        <w:jc w:val="both"/>
        <w:outlineLvl w:val="2"/>
        <w:rPr>
          <w:rFonts w:ascii="Times New Roman" w:eastAsia="Times New Roman" w:hAnsi="Times New Roman" w:cs="Times New Roman"/>
          <w:bCs/>
          <w:lang w:eastAsia="en-ZW"/>
        </w:rPr>
      </w:pPr>
      <w:r>
        <w:rPr>
          <w:rFonts w:ascii="Times New Roman" w:eastAsia="Times New Roman" w:hAnsi="Times New Roman" w:cs="Times New Roman"/>
          <w:bCs/>
          <w:lang w:eastAsia="en-ZW"/>
        </w:rPr>
        <w:t>Consequential relief cannot be gran</w:t>
      </w:r>
      <w:r w:rsidR="00AF3885">
        <w:rPr>
          <w:rFonts w:ascii="Times New Roman" w:eastAsia="Times New Roman" w:hAnsi="Times New Roman" w:cs="Times New Roman"/>
          <w:bCs/>
          <w:lang w:eastAsia="en-ZW"/>
        </w:rPr>
        <w:t>ted in an application for review</w:t>
      </w:r>
      <w:r>
        <w:rPr>
          <w:rFonts w:ascii="Times New Roman" w:eastAsia="Times New Roman" w:hAnsi="Times New Roman" w:cs="Times New Roman"/>
          <w:bCs/>
          <w:lang w:eastAsia="en-ZW"/>
        </w:rPr>
        <w:t xml:space="preserve">. </w:t>
      </w:r>
      <w:r w:rsidR="0053394F">
        <w:rPr>
          <w:rFonts w:ascii="Times New Roman" w:eastAsia="Times New Roman" w:hAnsi="Times New Roman" w:cs="Times New Roman"/>
          <w:bCs/>
          <w:lang w:eastAsia="en-ZW"/>
        </w:rPr>
        <w:t>This position was stated in</w:t>
      </w:r>
      <w:r w:rsidR="00E342AB" w:rsidRPr="007C7C96">
        <w:rPr>
          <w:rFonts w:ascii="Times New Roman" w:eastAsia="Times New Roman" w:hAnsi="Times New Roman" w:cs="Times New Roman"/>
          <w:bCs/>
          <w:i/>
          <w:lang w:eastAsia="en-ZW"/>
        </w:rPr>
        <w:t xml:space="preserve"> Police Service Commission and Another v </w:t>
      </w:r>
      <w:proofErr w:type="spellStart"/>
      <w:r w:rsidR="00E342AB" w:rsidRPr="007C7C96">
        <w:rPr>
          <w:rFonts w:ascii="Times New Roman" w:eastAsia="Times New Roman" w:hAnsi="Times New Roman" w:cs="Times New Roman"/>
          <w:bCs/>
          <w:i/>
          <w:lang w:eastAsia="en-ZW"/>
        </w:rPr>
        <w:t>Manyoni</w:t>
      </w:r>
      <w:proofErr w:type="spellEnd"/>
      <w:r w:rsidR="007C7C96">
        <w:rPr>
          <w:rFonts w:ascii="Times New Roman" w:eastAsia="Times New Roman" w:hAnsi="Times New Roman" w:cs="Times New Roman"/>
          <w:bCs/>
          <w:lang w:eastAsia="en-ZW"/>
        </w:rPr>
        <w:t xml:space="preserve"> SC 7 /22</w:t>
      </w:r>
      <w:r w:rsidR="00A05BB5">
        <w:rPr>
          <w:rFonts w:ascii="Times New Roman" w:eastAsia="Times New Roman" w:hAnsi="Times New Roman" w:cs="Times New Roman"/>
          <w:bCs/>
          <w:lang w:eastAsia="en-ZW"/>
        </w:rPr>
        <w:t xml:space="preserve"> the court said:  </w:t>
      </w:r>
      <w:r w:rsidR="00E342AB" w:rsidRPr="007C7C96">
        <w:rPr>
          <w:rFonts w:ascii="Times New Roman" w:eastAsia="Times New Roman" w:hAnsi="Times New Roman" w:cs="Times New Roman"/>
          <w:bCs/>
          <w:lang w:eastAsia="en-ZW"/>
        </w:rPr>
        <w:t> </w:t>
      </w:r>
    </w:p>
    <w:p w:rsidR="00D866E5" w:rsidRPr="00A3395C" w:rsidRDefault="00D866E5" w:rsidP="00A05BB5">
      <w:pPr>
        <w:spacing w:after="0"/>
        <w:ind w:left="1440"/>
        <w:jc w:val="both"/>
        <w:rPr>
          <w:rFonts w:ascii="Times New Roman" w:hAnsi="Times New Roman"/>
          <w:sz w:val="24"/>
          <w:szCs w:val="24"/>
        </w:rPr>
      </w:pPr>
      <w:r w:rsidRPr="00A3395C">
        <w:rPr>
          <w:rFonts w:ascii="Times New Roman" w:hAnsi="Times New Roman"/>
          <w:sz w:val="24"/>
          <w:szCs w:val="24"/>
        </w:rPr>
        <w:t>It is trite and this appears clearly from the above cited provisions that in an application for review the court must confine itself to establishing whether or not the proceedings were afflicted with irregularities.</w:t>
      </w:r>
    </w:p>
    <w:p w:rsidR="00D866E5" w:rsidRPr="00A3395C" w:rsidRDefault="00D866E5" w:rsidP="00A05BB5">
      <w:pPr>
        <w:tabs>
          <w:tab w:val="left" w:pos="567"/>
        </w:tabs>
        <w:spacing w:after="0"/>
        <w:ind w:left="567"/>
        <w:jc w:val="both"/>
        <w:rPr>
          <w:rFonts w:ascii="Times New Roman" w:hAnsi="Times New Roman"/>
          <w:sz w:val="24"/>
          <w:szCs w:val="24"/>
        </w:rPr>
      </w:pPr>
    </w:p>
    <w:p w:rsidR="00D866E5" w:rsidRDefault="00D866E5" w:rsidP="00A05BB5">
      <w:pPr>
        <w:spacing w:after="0"/>
        <w:ind w:left="1440"/>
        <w:jc w:val="both"/>
        <w:rPr>
          <w:rFonts w:ascii="Times New Roman" w:hAnsi="Times New Roman"/>
          <w:sz w:val="24"/>
          <w:szCs w:val="24"/>
        </w:rPr>
      </w:pPr>
      <w:r w:rsidRPr="00A3395C">
        <w:rPr>
          <w:rFonts w:ascii="Times New Roman" w:hAnsi="Times New Roman"/>
          <w:sz w:val="24"/>
          <w:szCs w:val="24"/>
        </w:rPr>
        <w:t>As set out above, s 28 provides that the High Court can only set aside or correct the proceedings or decision complained of.  The High Cou</w:t>
      </w:r>
      <w:r>
        <w:rPr>
          <w:rFonts w:ascii="Times New Roman" w:hAnsi="Times New Roman"/>
          <w:sz w:val="24"/>
          <w:szCs w:val="24"/>
        </w:rPr>
        <w:t>rt has no power to order the re </w:t>
      </w:r>
      <w:r w:rsidRPr="00A3395C">
        <w:rPr>
          <w:rFonts w:ascii="Times New Roman" w:hAnsi="Times New Roman"/>
          <w:sz w:val="24"/>
          <w:szCs w:val="24"/>
        </w:rPr>
        <w:t xml:space="preserve">instatement of a person if </w:t>
      </w:r>
      <w:r w:rsidR="00977066">
        <w:rPr>
          <w:rFonts w:ascii="Times New Roman" w:hAnsi="Times New Roman"/>
          <w:sz w:val="24"/>
          <w:szCs w:val="24"/>
        </w:rPr>
        <w:t xml:space="preserve">a matter is brought on review. </w:t>
      </w:r>
    </w:p>
    <w:p w:rsidR="00D866E5" w:rsidRPr="00A3395C" w:rsidRDefault="00D866E5" w:rsidP="00A05BB5">
      <w:pPr>
        <w:tabs>
          <w:tab w:val="left" w:pos="567"/>
        </w:tabs>
        <w:spacing w:after="0"/>
        <w:ind w:left="567"/>
        <w:jc w:val="both"/>
        <w:rPr>
          <w:rFonts w:ascii="Times New Roman" w:hAnsi="Times New Roman"/>
          <w:sz w:val="24"/>
          <w:szCs w:val="24"/>
        </w:rPr>
      </w:pPr>
    </w:p>
    <w:p w:rsidR="00D866E5" w:rsidRDefault="00D866E5" w:rsidP="0053394F">
      <w:pPr>
        <w:spacing w:after="0"/>
        <w:ind w:left="1440"/>
        <w:jc w:val="both"/>
        <w:rPr>
          <w:rFonts w:ascii="Times New Roman" w:hAnsi="Times New Roman"/>
          <w:sz w:val="24"/>
          <w:szCs w:val="24"/>
        </w:rPr>
      </w:pPr>
      <w:r w:rsidRPr="00A3395C">
        <w:rPr>
          <w:rFonts w:ascii="Times New Roman" w:hAnsi="Times New Roman"/>
          <w:sz w:val="24"/>
          <w:szCs w:val="24"/>
        </w:rPr>
        <w:t xml:space="preserve">In view of these irregularities and the fact that these documents do not appear to have been placed before the court </w:t>
      </w:r>
      <w:r w:rsidRPr="00A3395C">
        <w:rPr>
          <w:rFonts w:ascii="Times New Roman" w:hAnsi="Times New Roman"/>
          <w:i/>
          <w:sz w:val="24"/>
          <w:szCs w:val="24"/>
        </w:rPr>
        <w:t>a quo</w:t>
      </w:r>
      <w:r w:rsidRPr="00A3395C">
        <w:rPr>
          <w:rFonts w:ascii="Times New Roman" w:hAnsi="Times New Roman"/>
          <w:sz w:val="24"/>
          <w:szCs w:val="24"/>
        </w:rPr>
        <w:t xml:space="preserve"> the proper relief should have been the setting aside of the decision of the first appellant, and a remittal of the matter so that it can be determined following the proper procedures.</w:t>
      </w:r>
    </w:p>
    <w:p w:rsidR="003131D7" w:rsidRDefault="003131D7" w:rsidP="0053394F">
      <w:pPr>
        <w:spacing w:after="0"/>
        <w:ind w:left="1440"/>
        <w:jc w:val="both"/>
        <w:rPr>
          <w:rFonts w:ascii="Times New Roman" w:hAnsi="Times New Roman"/>
          <w:sz w:val="24"/>
          <w:szCs w:val="24"/>
        </w:rPr>
      </w:pPr>
    </w:p>
    <w:p w:rsidR="003131D7" w:rsidRDefault="0009409F" w:rsidP="00596145">
      <w:pPr>
        <w:pStyle w:val="ListParagraph"/>
        <w:numPr>
          <w:ilvl w:val="0"/>
          <w:numId w:val="2"/>
        </w:numPr>
        <w:spacing w:line="360" w:lineRule="auto"/>
        <w:jc w:val="both"/>
        <w:rPr>
          <w:rFonts w:ascii="Times New Roman" w:hAnsi="Times New Roman"/>
        </w:rPr>
      </w:pPr>
      <w:r>
        <w:rPr>
          <w:rFonts w:ascii="Times New Roman" w:hAnsi="Times New Roman"/>
        </w:rPr>
        <w:t xml:space="preserve">The relief sought in </w:t>
      </w:r>
      <w:r w:rsidRPr="001D6AEC">
        <w:rPr>
          <w:rFonts w:ascii="Times New Roman" w:hAnsi="Times New Roman"/>
          <w:i/>
        </w:rPr>
        <w:t xml:space="preserve">paragraphs </w:t>
      </w:r>
      <w:r w:rsidR="00A118D1">
        <w:rPr>
          <w:rFonts w:ascii="Times New Roman" w:hAnsi="Times New Roman"/>
        </w:rPr>
        <w:t xml:space="preserve">3 and 4 of the draft order are incompetent. </w:t>
      </w:r>
      <w:r w:rsidR="00596145">
        <w:rPr>
          <w:rFonts w:ascii="Times New Roman" w:hAnsi="Times New Roman"/>
        </w:rPr>
        <w:t xml:space="preserve">A court on review cannot start to declare that mining shafts </w:t>
      </w:r>
      <w:r w:rsidR="003F22A0">
        <w:rPr>
          <w:rFonts w:ascii="Times New Roman" w:hAnsi="Times New Roman"/>
        </w:rPr>
        <w:t xml:space="preserve">and workings under contest fall within applicant’s mining claims. Again, a court on review cannot </w:t>
      </w:r>
      <w:r w:rsidR="0022337C">
        <w:rPr>
          <w:rFonts w:ascii="Times New Roman" w:hAnsi="Times New Roman"/>
        </w:rPr>
        <w:t>set aside 2</w:t>
      </w:r>
      <w:r w:rsidR="0022337C" w:rsidRPr="0022337C">
        <w:rPr>
          <w:rFonts w:ascii="Times New Roman" w:hAnsi="Times New Roman"/>
          <w:vertAlign w:val="superscript"/>
        </w:rPr>
        <w:t>nd</w:t>
      </w:r>
      <w:r w:rsidR="0022337C">
        <w:rPr>
          <w:rFonts w:ascii="Times New Roman" w:hAnsi="Times New Roman"/>
        </w:rPr>
        <w:t xml:space="preserve"> respondent’</w:t>
      </w:r>
      <w:r w:rsidR="002E72D4">
        <w:rPr>
          <w:rFonts w:ascii="Times New Roman" w:hAnsi="Times New Roman"/>
        </w:rPr>
        <w:t xml:space="preserve">s special grant. All the court </w:t>
      </w:r>
      <w:r w:rsidR="00D621B5">
        <w:rPr>
          <w:rFonts w:ascii="Times New Roman" w:hAnsi="Times New Roman"/>
        </w:rPr>
        <w:t xml:space="preserve">on review </w:t>
      </w:r>
      <w:r w:rsidR="002E72D4">
        <w:rPr>
          <w:rFonts w:ascii="Times New Roman" w:hAnsi="Times New Roman"/>
        </w:rPr>
        <w:t>can do if it agre</w:t>
      </w:r>
      <w:r w:rsidR="00674E64">
        <w:rPr>
          <w:rFonts w:ascii="Times New Roman" w:hAnsi="Times New Roman"/>
        </w:rPr>
        <w:t xml:space="preserve">es with the applicant is to </w:t>
      </w:r>
      <w:r w:rsidR="00674E64" w:rsidRPr="00A3395C">
        <w:rPr>
          <w:rFonts w:ascii="Times New Roman" w:hAnsi="Times New Roman"/>
        </w:rPr>
        <w:t>set aside or correct the proceedings or decision complained of</w:t>
      </w:r>
      <w:r w:rsidR="00D621B5">
        <w:rPr>
          <w:rFonts w:ascii="Times New Roman" w:hAnsi="Times New Roman"/>
        </w:rPr>
        <w:t xml:space="preserve">, and no more. </w:t>
      </w:r>
    </w:p>
    <w:p w:rsidR="00E03798" w:rsidRDefault="00E03798" w:rsidP="00596145">
      <w:pPr>
        <w:spacing w:line="360" w:lineRule="auto"/>
        <w:jc w:val="both"/>
        <w:rPr>
          <w:rFonts w:ascii="Times New Roman" w:hAnsi="Times New Roman"/>
        </w:rPr>
      </w:pPr>
    </w:p>
    <w:p w:rsidR="00E03798" w:rsidRPr="00E03798" w:rsidRDefault="00E03798" w:rsidP="00E03798">
      <w:pPr>
        <w:jc w:val="both"/>
        <w:rPr>
          <w:rFonts w:ascii="Times New Roman" w:hAnsi="Times New Roman"/>
          <w:b/>
        </w:rPr>
      </w:pPr>
      <w:r w:rsidRPr="00E03798">
        <w:rPr>
          <w:rFonts w:ascii="Times New Roman" w:hAnsi="Times New Roman"/>
          <w:b/>
        </w:rPr>
        <w:t xml:space="preserve">Conclusion </w:t>
      </w:r>
    </w:p>
    <w:p w:rsidR="005A309A" w:rsidRDefault="005A309A" w:rsidP="00FD5E52">
      <w:pPr>
        <w:pStyle w:val="NoSpacing"/>
        <w:numPr>
          <w:ilvl w:val="0"/>
          <w:numId w:val="2"/>
        </w:numPr>
        <w:spacing w:line="360" w:lineRule="auto"/>
        <w:jc w:val="both"/>
        <w:rPr>
          <w:rFonts w:cs="Times New Roman"/>
        </w:rPr>
      </w:pPr>
      <w:r w:rsidRPr="008D4E50">
        <w:rPr>
          <w:rFonts w:eastAsiaTheme="minorEastAsia" w:cs="Times New Roman"/>
          <w:szCs w:val="24"/>
          <w:lang w:val="en-GB"/>
        </w:rPr>
        <w:lastRenderedPageBreak/>
        <w:t xml:space="preserve">There is no evidence </w:t>
      </w:r>
      <w:r>
        <w:rPr>
          <w:rFonts w:eastAsiaTheme="minorEastAsia" w:cs="Times New Roman"/>
          <w:szCs w:val="24"/>
          <w:lang w:val="en-GB"/>
        </w:rPr>
        <w:t>of</w:t>
      </w:r>
      <w:r w:rsidR="00865718">
        <w:rPr>
          <w:rFonts w:eastAsiaTheme="minorEastAsia" w:cs="Times New Roman"/>
          <w:szCs w:val="24"/>
          <w:lang w:val="en-GB"/>
        </w:rPr>
        <w:t xml:space="preserve"> bias in the proceedings or irrationality in the decision of</w:t>
      </w:r>
      <w:r>
        <w:rPr>
          <w:rFonts w:eastAsiaTheme="minorEastAsia" w:cs="Times New Roman"/>
          <w:szCs w:val="24"/>
          <w:lang w:val="en-GB"/>
        </w:rPr>
        <w:t xml:space="preserve"> the 1</w:t>
      </w:r>
      <w:r w:rsidRPr="008D4E50">
        <w:rPr>
          <w:rFonts w:eastAsiaTheme="minorEastAsia" w:cs="Times New Roman"/>
          <w:szCs w:val="24"/>
          <w:vertAlign w:val="superscript"/>
          <w:lang w:val="en-GB"/>
        </w:rPr>
        <w:t>st</w:t>
      </w:r>
      <w:r>
        <w:rPr>
          <w:rFonts w:eastAsiaTheme="minorEastAsia" w:cs="Times New Roman"/>
          <w:szCs w:val="24"/>
          <w:lang w:val="en-GB"/>
        </w:rPr>
        <w:t xml:space="preserve"> respondent. He had before him the parties’ submissions, the surveyors’ report and the diagram. On the basis of what was before him, he determined that </w:t>
      </w:r>
      <w:r w:rsidRPr="00EB5B41">
        <w:rPr>
          <w:rFonts w:cs="Arial"/>
          <w:bCs/>
        </w:rPr>
        <w:t>t</w:t>
      </w:r>
      <w:r w:rsidRPr="00EB5B41">
        <w:rPr>
          <w:rFonts w:cs="Times New Roman"/>
        </w:rPr>
        <w:t>he shafts working under cont</w:t>
      </w:r>
      <w:r>
        <w:rPr>
          <w:rFonts w:cs="Times New Roman"/>
        </w:rPr>
        <w:t>e</w:t>
      </w:r>
      <w:r w:rsidR="00F558EE">
        <w:rPr>
          <w:rFonts w:cs="Times New Roman"/>
        </w:rPr>
        <w:t xml:space="preserve">st fall within SG 8565 boundary, and outside the Goodenough 7 and 8. </w:t>
      </w:r>
      <w:r>
        <w:rPr>
          <w:rFonts w:cs="Times New Roman"/>
        </w:rPr>
        <w:t xml:space="preserve"> </w:t>
      </w:r>
    </w:p>
    <w:p w:rsidR="000A65C9" w:rsidRDefault="000A65C9" w:rsidP="000A65C9">
      <w:pPr>
        <w:pStyle w:val="NoSpacing"/>
        <w:spacing w:line="360" w:lineRule="auto"/>
        <w:ind w:left="720"/>
        <w:jc w:val="both"/>
        <w:rPr>
          <w:rFonts w:cs="Times New Roman"/>
        </w:rPr>
      </w:pPr>
    </w:p>
    <w:p w:rsidR="00241B11" w:rsidRPr="00241B11" w:rsidRDefault="007045C5" w:rsidP="00FD5E52">
      <w:pPr>
        <w:pStyle w:val="NoSpacing"/>
        <w:numPr>
          <w:ilvl w:val="0"/>
          <w:numId w:val="2"/>
        </w:numPr>
        <w:spacing w:line="360" w:lineRule="auto"/>
        <w:jc w:val="both"/>
        <w:rPr>
          <w:rFonts w:cs="Times New Roman"/>
        </w:rPr>
      </w:pPr>
      <w:r>
        <w:t>Cut to the bone, applicant is aggrieved by what it considers</w:t>
      </w:r>
      <w:r w:rsidR="000A65C9">
        <w:t xml:space="preserve"> a wrong decision on the fa</w:t>
      </w:r>
      <w:r w:rsidR="0000644A">
        <w:t>cts and</w:t>
      </w:r>
      <w:r w:rsidR="006B2679">
        <w:t xml:space="preserve"> the law. This application is concerned about</w:t>
      </w:r>
      <w:r w:rsidR="000A65C9">
        <w:t xml:space="preserve"> the merits of the case, </w:t>
      </w:r>
      <w:r w:rsidR="00376FC3">
        <w:t xml:space="preserve">the decision is considered </w:t>
      </w:r>
      <w:r w:rsidR="0000644A">
        <w:t>wrong, and that</w:t>
      </w:r>
      <w:r w:rsidR="00C205B3">
        <w:t xml:space="preserve"> is not the function of a review. </w:t>
      </w:r>
    </w:p>
    <w:p w:rsidR="00241B11" w:rsidRPr="00241B11" w:rsidRDefault="00241B11" w:rsidP="00241B11">
      <w:pPr>
        <w:pStyle w:val="NoSpacing"/>
        <w:spacing w:line="360" w:lineRule="auto"/>
        <w:jc w:val="both"/>
        <w:rPr>
          <w:rFonts w:cs="Times New Roman"/>
        </w:rPr>
      </w:pPr>
    </w:p>
    <w:p w:rsidR="00241B11" w:rsidRDefault="00241B11" w:rsidP="00FD5E52">
      <w:pPr>
        <w:pStyle w:val="NoSpacing"/>
        <w:numPr>
          <w:ilvl w:val="0"/>
          <w:numId w:val="2"/>
        </w:numPr>
        <w:spacing w:line="360" w:lineRule="auto"/>
        <w:jc w:val="both"/>
        <w:rPr>
          <w:rFonts w:cs="Times New Roman"/>
        </w:rPr>
      </w:pPr>
      <w:r>
        <w:rPr>
          <w:rFonts w:cs="Times New Roman"/>
        </w:rPr>
        <w:t xml:space="preserve">Furthermore, applicant seek consequential relief in a review application, which is incompetent. </w:t>
      </w:r>
    </w:p>
    <w:p w:rsidR="00241B11" w:rsidRDefault="00241B11" w:rsidP="00241B11">
      <w:pPr>
        <w:pStyle w:val="NoSpacing"/>
        <w:spacing w:line="360" w:lineRule="auto"/>
        <w:jc w:val="both"/>
        <w:rPr>
          <w:rFonts w:asciiTheme="minorHAnsi" w:eastAsiaTheme="minorEastAsia" w:hAnsiTheme="minorHAnsi" w:cs="Times New Roman"/>
          <w:szCs w:val="24"/>
          <w:lang w:val="en-GB"/>
        </w:rPr>
      </w:pPr>
    </w:p>
    <w:p w:rsidR="00241B11" w:rsidRPr="002C4E95" w:rsidRDefault="002C4E95" w:rsidP="00FD5E52">
      <w:pPr>
        <w:pStyle w:val="NoSpacing"/>
        <w:numPr>
          <w:ilvl w:val="0"/>
          <w:numId w:val="2"/>
        </w:numPr>
        <w:spacing w:line="360" w:lineRule="auto"/>
        <w:jc w:val="both"/>
        <w:rPr>
          <w:rFonts w:cs="Times New Roman"/>
          <w:szCs w:val="24"/>
        </w:rPr>
      </w:pPr>
      <w:r w:rsidRPr="002C4E95">
        <w:rPr>
          <w:rFonts w:eastAsiaTheme="minorEastAsia" w:cs="Times New Roman"/>
          <w:szCs w:val="24"/>
          <w:lang w:val="en-GB"/>
        </w:rPr>
        <w:t xml:space="preserve">It is for the above reasons that this application cannot succeed. It must fail. </w:t>
      </w:r>
    </w:p>
    <w:p w:rsidR="00900050" w:rsidRPr="00900050" w:rsidRDefault="00900050" w:rsidP="00900050">
      <w:pPr>
        <w:pStyle w:val="Default"/>
        <w:ind w:left="720"/>
      </w:pPr>
    </w:p>
    <w:p w:rsidR="00900050" w:rsidRPr="00214671" w:rsidRDefault="00900050" w:rsidP="00FD5E52">
      <w:pPr>
        <w:pStyle w:val="Default"/>
        <w:numPr>
          <w:ilvl w:val="0"/>
          <w:numId w:val="2"/>
        </w:numPr>
        <w:spacing w:line="360" w:lineRule="auto"/>
        <w:jc w:val="both"/>
      </w:pPr>
      <w:r w:rsidRPr="00214671">
        <w:t>The general rule is that the costs follow the result. There is no reason why this court should depart from such rule in this case.</w:t>
      </w:r>
      <w:r w:rsidR="00645261">
        <w:t xml:space="preserve"> The applicant is to pay the 2</w:t>
      </w:r>
      <w:r w:rsidR="00645261" w:rsidRPr="00645261">
        <w:rPr>
          <w:vertAlign w:val="superscript"/>
        </w:rPr>
        <w:t>nd</w:t>
      </w:r>
      <w:r w:rsidRPr="00214671">
        <w:t xml:space="preserve"> respondent’s costs on the scale as between party and party. </w:t>
      </w:r>
    </w:p>
    <w:p w:rsidR="005C7DED" w:rsidRDefault="005C7DED" w:rsidP="005C7DED">
      <w:pPr>
        <w:pStyle w:val="NoSpacing"/>
        <w:spacing w:line="360" w:lineRule="auto"/>
        <w:jc w:val="both"/>
        <w:rPr>
          <w:rFonts w:asciiTheme="minorHAnsi" w:eastAsiaTheme="minorEastAsia" w:hAnsiTheme="minorHAnsi" w:cs="Times New Roman"/>
          <w:szCs w:val="24"/>
          <w:lang w:val="en-GB"/>
        </w:rPr>
      </w:pPr>
    </w:p>
    <w:p w:rsidR="005C7DED" w:rsidRPr="00C205B3" w:rsidRDefault="005C7DED" w:rsidP="00C205B3">
      <w:pPr>
        <w:pStyle w:val="NoSpacing"/>
        <w:spacing w:line="360" w:lineRule="auto"/>
        <w:ind w:left="720" w:firstLine="720"/>
        <w:jc w:val="both"/>
        <w:rPr>
          <w:rFonts w:eastAsiaTheme="minorEastAsia" w:cs="Times New Roman"/>
          <w:szCs w:val="24"/>
          <w:lang w:val="en-GB"/>
        </w:rPr>
      </w:pPr>
      <w:r w:rsidRPr="00C205B3">
        <w:rPr>
          <w:rFonts w:eastAsiaTheme="minorEastAsia" w:cs="Times New Roman"/>
          <w:szCs w:val="24"/>
          <w:lang w:val="en-GB"/>
        </w:rPr>
        <w:t xml:space="preserve">In the result: </w:t>
      </w:r>
    </w:p>
    <w:p w:rsidR="005C7DED" w:rsidRPr="00C205B3" w:rsidRDefault="005C7DED" w:rsidP="00C205B3">
      <w:pPr>
        <w:pStyle w:val="NoSpacing"/>
        <w:spacing w:line="360" w:lineRule="auto"/>
        <w:ind w:left="720" w:firstLine="720"/>
        <w:jc w:val="both"/>
        <w:rPr>
          <w:rFonts w:eastAsiaTheme="minorEastAsia" w:cs="Times New Roman"/>
          <w:szCs w:val="24"/>
          <w:lang w:val="en-GB"/>
        </w:rPr>
      </w:pPr>
    </w:p>
    <w:p w:rsidR="005C7DED" w:rsidRPr="00C205B3" w:rsidRDefault="005C7DED" w:rsidP="00C205B3">
      <w:pPr>
        <w:pStyle w:val="NoSpacing"/>
        <w:spacing w:line="360" w:lineRule="auto"/>
        <w:ind w:left="720" w:firstLine="720"/>
        <w:jc w:val="both"/>
        <w:rPr>
          <w:rFonts w:cs="Times New Roman"/>
          <w:szCs w:val="24"/>
        </w:rPr>
      </w:pPr>
      <w:r w:rsidRPr="00C205B3">
        <w:rPr>
          <w:rFonts w:eastAsiaTheme="minorEastAsia" w:cs="Times New Roman"/>
          <w:szCs w:val="24"/>
          <w:lang w:val="en-GB"/>
        </w:rPr>
        <w:t xml:space="preserve">The application be and is hereby dismissed with costs. </w:t>
      </w:r>
    </w:p>
    <w:p w:rsidR="00D866E5" w:rsidRPr="00C205B3" w:rsidRDefault="00D866E5" w:rsidP="00C205B3">
      <w:pPr>
        <w:tabs>
          <w:tab w:val="left" w:pos="567"/>
        </w:tabs>
        <w:spacing w:after="0" w:line="360" w:lineRule="auto"/>
        <w:ind w:left="709"/>
        <w:jc w:val="both"/>
        <w:rPr>
          <w:rFonts w:ascii="Times New Roman" w:hAnsi="Times New Roman"/>
          <w:sz w:val="24"/>
          <w:szCs w:val="24"/>
        </w:rPr>
      </w:pPr>
    </w:p>
    <w:p w:rsidR="00D83D38" w:rsidRPr="00C205B3" w:rsidRDefault="00D83D38" w:rsidP="00C205B3">
      <w:pPr>
        <w:tabs>
          <w:tab w:val="left" w:pos="567"/>
        </w:tabs>
        <w:spacing w:after="0" w:line="360" w:lineRule="auto"/>
        <w:ind w:left="709"/>
        <w:jc w:val="both"/>
        <w:rPr>
          <w:rFonts w:ascii="Times New Roman" w:hAnsi="Times New Roman"/>
          <w:sz w:val="24"/>
          <w:szCs w:val="24"/>
        </w:rPr>
      </w:pPr>
    </w:p>
    <w:p w:rsidR="00D866E5" w:rsidRPr="00A3395C" w:rsidRDefault="00D866E5" w:rsidP="00D866E5">
      <w:pPr>
        <w:tabs>
          <w:tab w:val="left" w:pos="567"/>
        </w:tabs>
        <w:spacing w:after="0" w:line="240" w:lineRule="auto"/>
        <w:ind w:left="709"/>
        <w:jc w:val="both"/>
        <w:rPr>
          <w:rFonts w:ascii="Times New Roman" w:hAnsi="Times New Roman"/>
          <w:sz w:val="24"/>
          <w:szCs w:val="24"/>
        </w:rPr>
      </w:pPr>
    </w:p>
    <w:p w:rsidR="00414BF4" w:rsidRDefault="00B96CA0" w:rsidP="000B6177">
      <w:pPr>
        <w:spacing w:after="0" w:line="240" w:lineRule="auto"/>
        <w:jc w:val="both"/>
        <w:rPr>
          <w:rFonts w:ascii="Times New Roman" w:hAnsi="Times New Roman"/>
          <w:sz w:val="24"/>
          <w:szCs w:val="24"/>
        </w:rPr>
      </w:pPr>
      <w:proofErr w:type="spellStart"/>
      <w:r w:rsidRPr="00E13992">
        <w:rPr>
          <w:rFonts w:ascii="Times New Roman" w:hAnsi="Times New Roman"/>
          <w:i/>
          <w:sz w:val="24"/>
          <w:szCs w:val="24"/>
        </w:rPr>
        <w:t>Moyo</w:t>
      </w:r>
      <w:proofErr w:type="spellEnd"/>
      <w:r w:rsidRPr="00E13992">
        <w:rPr>
          <w:rFonts w:ascii="Times New Roman" w:hAnsi="Times New Roman"/>
          <w:i/>
          <w:sz w:val="24"/>
          <w:szCs w:val="24"/>
        </w:rPr>
        <w:t xml:space="preserve"> &amp; </w:t>
      </w:r>
      <w:proofErr w:type="spellStart"/>
      <w:r w:rsidRPr="00E13992">
        <w:rPr>
          <w:rFonts w:ascii="Times New Roman" w:hAnsi="Times New Roman"/>
          <w:i/>
          <w:sz w:val="24"/>
          <w:szCs w:val="24"/>
        </w:rPr>
        <w:t>Nyoni</w:t>
      </w:r>
      <w:proofErr w:type="spellEnd"/>
      <w:r w:rsidR="00252998">
        <w:rPr>
          <w:rFonts w:ascii="Times New Roman" w:hAnsi="Times New Roman"/>
          <w:i/>
          <w:sz w:val="24"/>
          <w:szCs w:val="24"/>
        </w:rPr>
        <w:t>,</w:t>
      </w:r>
      <w:r w:rsidRPr="00B96CA0">
        <w:rPr>
          <w:rFonts w:ascii="Times New Roman" w:hAnsi="Times New Roman"/>
          <w:sz w:val="24"/>
          <w:szCs w:val="24"/>
        </w:rPr>
        <w:t xml:space="preserve"> applicant’s legal practitioners </w:t>
      </w:r>
    </w:p>
    <w:p w:rsidR="00E13992" w:rsidRPr="00E13992" w:rsidRDefault="00E13992" w:rsidP="00E13992">
      <w:pPr>
        <w:spacing w:line="240" w:lineRule="auto"/>
        <w:jc w:val="both"/>
        <w:rPr>
          <w:rFonts w:ascii="Times New Roman" w:hAnsi="Times New Roman"/>
          <w:sz w:val="24"/>
          <w:szCs w:val="24"/>
        </w:rPr>
      </w:pPr>
      <w:proofErr w:type="spellStart"/>
      <w:r w:rsidRPr="00E13992">
        <w:rPr>
          <w:rFonts w:ascii="Times New Roman" w:hAnsi="Times New Roman"/>
          <w:i/>
          <w:sz w:val="24"/>
          <w:szCs w:val="24"/>
        </w:rPr>
        <w:t>Mathonsi</w:t>
      </w:r>
      <w:proofErr w:type="spellEnd"/>
      <w:r w:rsidRPr="00E13992">
        <w:rPr>
          <w:rFonts w:ascii="Times New Roman" w:hAnsi="Times New Roman"/>
          <w:i/>
          <w:sz w:val="24"/>
          <w:szCs w:val="24"/>
        </w:rPr>
        <w:t xml:space="preserve"> </w:t>
      </w:r>
      <w:proofErr w:type="spellStart"/>
      <w:r w:rsidRPr="00E13992">
        <w:rPr>
          <w:rFonts w:ascii="Times New Roman" w:hAnsi="Times New Roman"/>
          <w:i/>
          <w:sz w:val="24"/>
          <w:szCs w:val="24"/>
        </w:rPr>
        <w:t>Ncube</w:t>
      </w:r>
      <w:proofErr w:type="spellEnd"/>
      <w:r w:rsidRPr="00E13992">
        <w:rPr>
          <w:rFonts w:ascii="Times New Roman" w:hAnsi="Times New Roman"/>
          <w:i/>
          <w:sz w:val="24"/>
          <w:szCs w:val="24"/>
        </w:rPr>
        <w:t xml:space="preserve"> Law Chambers</w:t>
      </w:r>
      <w:r w:rsidR="00252998">
        <w:rPr>
          <w:rFonts w:ascii="Times New Roman" w:hAnsi="Times New Roman"/>
          <w:i/>
          <w:sz w:val="24"/>
          <w:szCs w:val="24"/>
        </w:rPr>
        <w:t>,</w:t>
      </w:r>
      <w:r w:rsidRPr="00E13992">
        <w:rPr>
          <w:rFonts w:ascii="Times New Roman" w:hAnsi="Times New Roman"/>
          <w:i/>
          <w:sz w:val="24"/>
          <w:szCs w:val="24"/>
        </w:rPr>
        <w:t xml:space="preserve"> </w:t>
      </w:r>
      <w:r>
        <w:rPr>
          <w:rFonts w:ascii="Times New Roman" w:hAnsi="Times New Roman"/>
          <w:sz w:val="24"/>
          <w:szCs w:val="24"/>
        </w:rPr>
        <w:t>2</w:t>
      </w:r>
      <w:r w:rsidRPr="00E13992">
        <w:rPr>
          <w:rFonts w:ascii="Times New Roman" w:hAnsi="Times New Roman"/>
          <w:sz w:val="24"/>
          <w:szCs w:val="24"/>
          <w:vertAlign w:val="superscript"/>
        </w:rPr>
        <w:t>nd</w:t>
      </w:r>
      <w:r>
        <w:rPr>
          <w:rFonts w:ascii="Times New Roman" w:hAnsi="Times New Roman"/>
          <w:sz w:val="24"/>
          <w:szCs w:val="24"/>
        </w:rPr>
        <w:t xml:space="preserve"> respondent’s legal practitioners </w:t>
      </w:r>
    </w:p>
    <w:sectPr w:rsidR="00E13992" w:rsidRPr="00E1399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747A" w:rsidRDefault="00E6747A" w:rsidP="00E6747A">
      <w:pPr>
        <w:spacing w:after="0" w:line="240" w:lineRule="auto"/>
      </w:pPr>
      <w:r>
        <w:separator/>
      </w:r>
    </w:p>
  </w:endnote>
  <w:endnote w:type="continuationSeparator" w:id="0">
    <w:p w:rsidR="00E6747A" w:rsidRDefault="00E6747A" w:rsidP="00E67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747A" w:rsidRDefault="00E6747A" w:rsidP="00E6747A">
      <w:pPr>
        <w:spacing w:after="0" w:line="240" w:lineRule="auto"/>
      </w:pPr>
      <w:r>
        <w:separator/>
      </w:r>
    </w:p>
  </w:footnote>
  <w:footnote w:type="continuationSeparator" w:id="0">
    <w:p w:rsidR="00E6747A" w:rsidRDefault="00E6747A" w:rsidP="00E674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1598522"/>
      <w:docPartObj>
        <w:docPartGallery w:val="Page Numbers (Top of Page)"/>
        <w:docPartUnique/>
      </w:docPartObj>
    </w:sdtPr>
    <w:sdtEndPr>
      <w:rPr>
        <w:rFonts w:ascii="Times New Roman" w:hAnsi="Times New Roman"/>
        <w:noProof/>
        <w:sz w:val="24"/>
        <w:szCs w:val="24"/>
      </w:rPr>
    </w:sdtEndPr>
    <w:sdtContent>
      <w:p w:rsidR="00E6747A" w:rsidRPr="00E6747A" w:rsidRDefault="00E6747A">
        <w:pPr>
          <w:pStyle w:val="Header"/>
          <w:jc w:val="right"/>
          <w:rPr>
            <w:rFonts w:ascii="Times New Roman" w:hAnsi="Times New Roman"/>
            <w:noProof/>
            <w:sz w:val="24"/>
            <w:szCs w:val="24"/>
          </w:rPr>
        </w:pPr>
        <w:r w:rsidRPr="00E6747A">
          <w:rPr>
            <w:rFonts w:ascii="Times New Roman" w:hAnsi="Times New Roman"/>
            <w:sz w:val="24"/>
            <w:szCs w:val="24"/>
          </w:rPr>
          <w:fldChar w:fldCharType="begin"/>
        </w:r>
        <w:r w:rsidRPr="00E6747A">
          <w:rPr>
            <w:rFonts w:ascii="Times New Roman" w:hAnsi="Times New Roman"/>
            <w:sz w:val="24"/>
            <w:szCs w:val="24"/>
          </w:rPr>
          <w:instrText xml:space="preserve"> PAGE   \* MERGEFORMAT </w:instrText>
        </w:r>
        <w:r w:rsidRPr="00E6747A">
          <w:rPr>
            <w:rFonts w:ascii="Times New Roman" w:hAnsi="Times New Roman"/>
            <w:sz w:val="24"/>
            <w:szCs w:val="24"/>
          </w:rPr>
          <w:fldChar w:fldCharType="separate"/>
        </w:r>
        <w:r w:rsidR="00594849">
          <w:rPr>
            <w:rFonts w:ascii="Times New Roman" w:hAnsi="Times New Roman"/>
            <w:noProof/>
            <w:sz w:val="24"/>
            <w:szCs w:val="24"/>
          </w:rPr>
          <w:t>12</w:t>
        </w:r>
        <w:r w:rsidRPr="00E6747A">
          <w:rPr>
            <w:rFonts w:ascii="Times New Roman" w:hAnsi="Times New Roman"/>
            <w:noProof/>
            <w:sz w:val="24"/>
            <w:szCs w:val="24"/>
          </w:rPr>
          <w:fldChar w:fldCharType="end"/>
        </w:r>
      </w:p>
      <w:p w:rsidR="00E6747A" w:rsidRPr="00E6747A" w:rsidRDefault="00E6747A">
        <w:pPr>
          <w:pStyle w:val="Header"/>
          <w:jc w:val="right"/>
          <w:rPr>
            <w:rFonts w:ascii="Times New Roman" w:hAnsi="Times New Roman"/>
            <w:noProof/>
            <w:sz w:val="24"/>
            <w:szCs w:val="24"/>
          </w:rPr>
        </w:pPr>
        <w:r w:rsidRPr="00E6747A">
          <w:rPr>
            <w:rFonts w:ascii="Times New Roman" w:hAnsi="Times New Roman"/>
            <w:noProof/>
            <w:sz w:val="24"/>
            <w:szCs w:val="24"/>
          </w:rPr>
          <w:t>HB 142/22</w:t>
        </w:r>
      </w:p>
      <w:p w:rsidR="00E6747A" w:rsidRPr="00E6747A" w:rsidRDefault="00E6747A">
        <w:pPr>
          <w:pStyle w:val="Header"/>
          <w:jc w:val="right"/>
          <w:rPr>
            <w:rFonts w:ascii="Times New Roman" w:hAnsi="Times New Roman"/>
            <w:sz w:val="24"/>
            <w:szCs w:val="24"/>
          </w:rPr>
        </w:pPr>
        <w:r w:rsidRPr="00E6747A">
          <w:rPr>
            <w:rFonts w:ascii="Times New Roman" w:hAnsi="Times New Roman"/>
            <w:noProof/>
            <w:sz w:val="24"/>
            <w:szCs w:val="24"/>
          </w:rPr>
          <w:t>HC 1644/21</w:t>
        </w:r>
      </w:p>
    </w:sdtContent>
  </w:sdt>
  <w:p w:rsidR="00E6747A" w:rsidRDefault="00E674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B085D"/>
    <w:multiLevelType w:val="hybridMultilevel"/>
    <w:tmpl w:val="52C4ACEA"/>
    <w:lvl w:ilvl="0" w:tplc="A8262DE0">
      <w:start w:val="1"/>
      <w:numFmt w:val="lowerRoman"/>
      <w:lvlText w:val="%1."/>
      <w:lvlJc w:val="left"/>
      <w:pPr>
        <w:ind w:left="1440" w:hanging="720"/>
      </w:pPr>
      <w:rPr>
        <w:rFonts w:cs="Arial"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1E01D84"/>
    <w:multiLevelType w:val="hybridMultilevel"/>
    <w:tmpl w:val="40C4FA72"/>
    <w:lvl w:ilvl="0" w:tplc="6990137E">
      <w:start w:val="1"/>
      <w:numFmt w:val="decimal"/>
      <w:lvlText w:val="%1."/>
      <w:lvlJc w:val="left"/>
      <w:pPr>
        <w:ind w:left="720" w:hanging="360"/>
      </w:pPr>
      <w:rPr>
        <w:rFonts w:cs="Arial" w:hint="default"/>
        <w:b w:val="0"/>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3812A51"/>
    <w:multiLevelType w:val="hybridMultilevel"/>
    <w:tmpl w:val="CD4C51D0"/>
    <w:lvl w:ilvl="0" w:tplc="E53E06E4">
      <w:start w:val="1"/>
      <w:numFmt w:val="lowerRoman"/>
      <w:lvlText w:val="%1."/>
      <w:lvlJc w:val="left"/>
      <w:pPr>
        <w:ind w:left="1440" w:hanging="720"/>
      </w:pPr>
      <w:rPr>
        <w:rFonts w:cs="Arial"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06A81182"/>
    <w:multiLevelType w:val="hybridMultilevel"/>
    <w:tmpl w:val="40C4FA72"/>
    <w:lvl w:ilvl="0" w:tplc="6990137E">
      <w:start w:val="1"/>
      <w:numFmt w:val="decimal"/>
      <w:lvlText w:val="%1."/>
      <w:lvlJc w:val="left"/>
      <w:pPr>
        <w:ind w:left="720" w:hanging="360"/>
      </w:pPr>
      <w:rPr>
        <w:rFonts w:cs="Arial"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0DB6281B"/>
    <w:multiLevelType w:val="hybridMultilevel"/>
    <w:tmpl w:val="40C4FA72"/>
    <w:lvl w:ilvl="0" w:tplc="6990137E">
      <w:start w:val="1"/>
      <w:numFmt w:val="decimal"/>
      <w:lvlText w:val="%1."/>
      <w:lvlJc w:val="left"/>
      <w:pPr>
        <w:ind w:left="720" w:hanging="360"/>
      </w:pPr>
      <w:rPr>
        <w:rFonts w:cs="Arial" w:hint="default"/>
        <w:b w:val="0"/>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137E7C4F"/>
    <w:multiLevelType w:val="hybridMultilevel"/>
    <w:tmpl w:val="7E82E2FA"/>
    <w:lvl w:ilvl="0" w:tplc="8C46BAA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1C081F0C"/>
    <w:multiLevelType w:val="multilevel"/>
    <w:tmpl w:val="040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21A159A7"/>
    <w:multiLevelType w:val="hybridMultilevel"/>
    <w:tmpl w:val="40C4FA72"/>
    <w:lvl w:ilvl="0" w:tplc="6990137E">
      <w:start w:val="1"/>
      <w:numFmt w:val="decimal"/>
      <w:lvlText w:val="%1."/>
      <w:lvlJc w:val="left"/>
      <w:pPr>
        <w:ind w:left="720" w:hanging="360"/>
      </w:pPr>
      <w:rPr>
        <w:rFonts w:cs="Arial" w:hint="default"/>
        <w:b w:val="0"/>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23E53DEE"/>
    <w:multiLevelType w:val="hybridMultilevel"/>
    <w:tmpl w:val="40C4FA72"/>
    <w:lvl w:ilvl="0" w:tplc="6990137E">
      <w:start w:val="1"/>
      <w:numFmt w:val="decimal"/>
      <w:lvlText w:val="%1."/>
      <w:lvlJc w:val="left"/>
      <w:pPr>
        <w:ind w:left="720" w:hanging="360"/>
      </w:pPr>
      <w:rPr>
        <w:rFonts w:cs="Arial" w:hint="default"/>
        <w:b w:val="0"/>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2D7C1872"/>
    <w:multiLevelType w:val="hybridMultilevel"/>
    <w:tmpl w:val="7E82E2FA"/>
    <w:lvl w:ilvl="0" w:tplc="8C46BAA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32064359"/>
    <w:multiLevelType w:val="hybridMultilevel"/>
    <w:tmpl w:val="40C4FA72"/>
    <w:lvl w:ilvl="0" w:tplc="6990137E">
      <w:start w:val="1"/>
      <w:numFmt w:val="decimal"/>
      <w:lvlText w:val="%1."/>
      <w:lvlJc w:val="left"/>
      <w:pPr>
        <w:ind w:left="720" w:hanging="360"/>
      </w:pPr>
      <w:rPr>
        <w:rFonts w:cs="Arial" w:hint="default"/>
        <w:b w:val="0"/>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392F78D2"/>
    <w:multiLevelType w:val="hybridMultilevel"/>
    <w:tmpl w:val="7E54E68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3AC72A94"/>
    <w:multiLevelType w:val="hybridMultilevel"/>
    <w:tmpl w:val="14A0A4A4"/>
    <w:lvl w:ilvl="0" w:tplc="3009000F">
      <w:start w:val="1"/>
      <w:numFmt w:val="decimal"/>
      <w:lvlText w:val="%1."/>
      <w:lvlJc w:val="left"/>
      <w:pPr>
        <w:ind w:left="5785" w:hanging="360"/>
      </w:pPr>
    </w:lvl>
    <w:lvl w:ilvl="1" w:tplc="30090019" w:tentative="1">
      <w:start w:val="1"/>
      <w:numFmt w:val="lowerLetter"/>
      <w:lvlText w:val="%2."/>
      <w:lvlJc w:val="left"/>
      <w:pPr>
        <w:ind w:left="6505" w:hanging="360"/>
      </w:pPr>
    </w:lvl>
    <w:lvl w:ilvl="2" w:tplc="3009001B" w:tentative="1">
      <w:start w:val="1"/>
      <w:numFmt w:val="lowerRoman"/>
      <w:lvlText w:val="%3."/>
      <w:lvlJc w:val="right"/>
      <w:pPr>
        <w:ind w:left="7225" w:hanging="180"/>
      </w:pPr>
    </w:lvl>
    <w:lvl w:ilvl="3" w:tplc="3009000F" w:tentative="1">
      <w:start w:val="1"/>
      <w:numFmt w:val="decimal"/>
      <w:lvlText w:val="%4."/>
      <w:lvlJc w:val="left"/>
      <w:pPr>
        <w:ind w:left="7945" w:hanging="360"/>
      </w:pPr>
    </w:lvl>
    <w:lvl w:ilvl="4" w:tplc="30090019" w:tentative="1">
      <w:start w:val="1"/>
      <w:numFmt w:val="lowerLetter"/>
      <w:lvlText w:val="%5."/>
      <w:lvlJc w:val="left"/>
      <w:pPr>
        <w:ind w:left="8665" w:hanging="360"/>
      </w:pPr>
    </w:lvl>
    <w:lvl w:ilvl="5" w:tplc="3009001B" w:tentative="1">
      <w:start w:val="1"/>
      <w:numFmt w:val="lowerRoman"/>
      <w:lvlText w:val="%6."/>
      <w:lvlJc w:val="right"/>
      <w:pPr>
        <w:ind w:left="9385" w:hanging="180"/>
      </w:pPr>
    </w:lvl>
    <w:lvl w:ilvl="6" w:tplc="3009000F" w:tentative="1">
      <w:start w:val="1"/>
      <w:numFmt w:val="decimal"/>
      <w:lvlText w:val="%7."/>
      <w:lvlJc w:val="left"/>
      <w:pPr>
        <w:ind w:left="10105" w:hanging="360"/>
      </w:pPr>
    </w:lvl>
    <w:lvl w:ilvl="7" w:tplc="30090019" w:tentative="1">
      <w:start w:val="1"/>
      <w:numFmt w:val="lowerLetter"/>
      <w:lvlText w:val="%8."/>
      <w:lvlJc w:val="left"/>
      <w:pPr>
        <w:ind w:left="10825" w:hanging="360"/>
      </w:pPr>
    </w:lvl>
    <w:lvl w:ilvl="8" w:tplc="3009001B" w:tentative="1">
      <w:start w:val="1"/>
      <w:numFmt w:val="lowerRoman"/>
      <w:lvlText w:val="%9."/>
      <w:lvlJc w:val="right"/>
      <w:pPr>
        <w:ind w:left="11545" w:hanging="180"/>
      </w:pPr>
    </w:lvl>
  </w:abstractNum>
  <w:abstractNum w:abstractNumId="13" w15:restartNumberingAfterBreak="0">
    <w:nsid w:val="3FDB7F67"/>
    <w:multiLevelType w:val="hybridMultilevel"/>
    <w:tmpl w:val="5FC0C1DA"/>
    <w:lvl w:ilvl="0" w:tplc="E9FC0BF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487C0EE9"/>
    <w:multiLevelType w:val="hybridMultilevel"/>
    <w:tmpl w:val="66FC3106"/>
    <w:lvl w:ilvl="0" w:tplc="AE6ABB64">
      <w:start w:val="27"/>
      <w:numFmt w:val="decimal"/>
      <w:lvlText w:val="%1."/>
      <w:lvlJc w:val="left"/>
      <w:pPr>
        <w:ind w:left="720" w:hanging="360"/>
      </w:pPr>
      <w:rPr>
        <w:rFonts w:eastAsiaTheme="minorEastAsia"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753242F6"/>
    <w:multiLevelType w:val="hybridMultilevel"/>
    <w:tmpl w:val="40C4FA72"/>
    <w:lvl w:ilvl="0" w:tplc="6990137E">
      <w:start w:val="1"/>
      <w:numFmt w:val="decimal"/>
      <w:lvlText w:val="%1."/>
      <w:lvlJc w:val="left"/>
      <w:pPr>
        <w:ind w:left="720" w:hanging="360"/>
      </w:pPr>
      <w:rPr>
        <w:rFonts w:cs="Arial" w:hint="default"/>
        <w:b w:val="0"/>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7A3A5D99"/>
    <w:multiLevelType w:val="hybridMultilevel"/>
    <w:tmpl w:val="7E82E2FA"/>
    <w:lvl w:ilvl="0" w:tplc="8C46BAA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7E2C318F"/>
    <w:multiLevelType w:val="hybridMultilevel"/>
    <w:tmpl w:val="40C4FA72"/>
    <w:lvl w:ilvl="0" w:tplc="6990137E">
      <w:start w:val="1"/>
      <w:numFmt w:val="decimal"/>
      <w:lvlText w:val="%1."/>
      <w:lvlJc w:val="left"/>
      <w:pPr>
        <w:ind w:left="720" w:hanging="360"/>
      </w:pPr>
      <w:rPr>
        <w:rFonts w:cs="Arial" w:hint="default"/>
        <w:b w:val="0"/>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2"/>
  </w:num>
  <w:num w:numId="2">
    <w:abstractNumId w:val="1"/>
  </w:num>
  <w:num w:numId="3">
    <w:abstractNumId w:val="0"/>
  </w:num>
  <w:num w:numId="4">
    <w:abstractNumId w:val="2"/>
  </w:num>
  <w:num w:numId="5">
    <w:abstractNumId w:val="13"/>
  </w:num>
  <w:num w:numId="6">
    <w:abstractNumId w:val="11"/>
  </w:num>
  <w:num w:numId="7">
    <w:abstractNumId w:val="6"/>
  </w:num>
  <w:num w:numId="8">
    <w:abstractNumId w:val="16"/>
  </w:num>
  <w:num w:numId="9">
    <w:abstractNumId w:val="3"/>
  </w:num>
  <w:num w:numId="10">
    <w:abstractNumId w:val="15"/>
  </w:num>
  <w:num w:numId="11">
    <w:abstractNumId w:val="9"/>
  </w:num>
  <w:num w:numId="12">
    <w:abstractNumId w:val="5"/>
  </w:num>
  <w:num w:numId="13">
    <w:abstractNumId w:val="17"/>
  </w:num>
  <w:num w:numId="14">
    <w:abstractNumId w:val="7"/>
  </w:num>
  <w:num w:numId="15">
    <w:abstractNumId w:val="8"/>
  </w:num>
  <w:num w:numId="16">
    <w:abstractNumId w:val="10"/>
  </w:num>
  <w:num w:numId="17">
    <w:abstractNumId w:val="4"/>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030"/>
    <w:rsid w:val="000008C2"/>
    <w:rsid w:val="00003B6C"/>
    <w:rsid w:val="0000644A"/>
    <w:rsid w:val="00011953"/>
    <w:rsid w:val="00011F12"/>
    <w:rsid w:val="0001731C"/>
    <w:rsid w:val="00022083"/>
    <w:rsid w:val="00023C5D"/>
    <w:rsid w:val="00043058"/>
    <w:rsid w:val="0004799D"/>
    <w:rsid w:val="0005236F"/>
    <w:rsid w:val="00057F49"/>
    <w:rsid w:val="00077681"/>
    <w:rsid w:val="000821D5"/>
    <w:rsid w:val="00083007"/>
    <w:rsid w:val="00087787"/>
    <w:rsid w:val="0009409F"/>
    <w:rsid w:val="000A0D22"/>
    <w:rsid w:val="000A65C9"/>
    <w:rsid w:val="000A6E5B"/>
    <w:rsid w:val="000B6177"/>
    <w:rsid w:val="000B70E5"/>
    <w:rsid w:val="000C3283"/>
    <w:rsid w:val="000C6C2C"/>
    <w:rsid w:val="000C7FFB"/>
    <w:rsid w:val="000D1D0E"/>
    <w:rsid w:val="000D55C2"/>
    <w:rsid w:val="000F11D8"/>
    <w:rsid w:val="000F474A"/>
    <w:rsid w:val="00107323"/>
    <w:rsid w:val="00133EAB"/>
    <w:rsid w:val="00135EB2"/>
    <w:rsid w:val="001414A1"/>
    <w:rsid w:val="00145164"/>
    <w:rsid w:val="00155746"/>
    <w:rsid w:val="00161253"/>
    <w:rsid w:val="00166D7D"/>
    <w:rsid w:val="00166F4C"/>
    <w:rsid w:val="00172F9B"/>
    <w:rsid w:val="00185C48"/>
    <w:rsid w:val="001A34FF"/>
    <w:rsid w:val="001A4A30"/>
    <w:rsid w:val="001A73EE"/>
    <w:rsid w:val="001B0B09"/>
    <w:rsid w:val="001C45D8"/>
    <w:rsid w:val="001D003E"/>
    <w:rsid w:val="001D6AEC"/>
    <w:rsid w:val="001E20A0"/>
    <w:rsid w:val="001E5553"/>
    <w:rsid w:val="001F1028"/>
    <w:rsid w:val="00200A4A"/>
    <w:rsid w:val="00200AF6"/>
    <w:rsid w:val="00200BCA"/>
    <w:rsid w:val="00201DA1"/>
    <w:rsid w:val="00212D81"/>
    <w:rsid w:val="00214671"/>
    <w:rsid w:val="0022337C"/>
    <w:rsid w:val="00233F09"/>
    <w:rsid w:val="00241B11"/>
    <w:rsid w:val="00242FAF"/>
    <w:rsid w:val="00244AB1"/>
    <w:rsid w:val="00246142"/>
    <w:rsid w:val="00252998"/>
    <w:rsid w:val="00262CD6"/>
    <w:rsid w:val="002676C2"/>
    <w:rsid w:val="002811BA"/>
    <w:rsid w:val="00281232"/>
    <w:rsid w:val="002914A0"/>
    <w:rsid w:val="0029427F"/>
    <w:rsid w:val="002B0DC7"/>
    <w:rsid w:val="002C2575"/>
    <w:rsid w:val="002C3484"/>
    <w:rsid w:val="002C4E95"/>
    <w:rsid w:val="002C5C90"/>
    <w:rsid w:val="002E1145"/>
    <w:rsid w:val="002E3847"/>
    <w:rsid w:val="002E72D4"/>
    <w:rsid w:val="002F55E5"/>
    <w:rsid w:val="00301FCF"/>
    <w:rsid w:val="003021F4"/>
    <w:rsid w:val="00305DE4"/>
    <w:rsid w:val="00306617"/>
    <w:rsid w:val="0030788F"/>
    <w:rsid w:val="003131D7"/>
    <w:rsid w:val="0032299C"/>
    <w:rsid w:val="003236AD"/>
    <w:rsid w:val="00330395"/>
    <w:rsid w:val="00330436"/>
    <w:rsid w:val="00336857"/>
    <w:rsid w:val="00343D21"/>
    <w:rsid w:val="00345CBA"/>
    <w:rsid w:val="00356D34"/>
    <w:rsid w:val="003725DF"/>
    <w:rsid w:val="00376FC3"/>
    <w:rsid w:val="00380370"/>
    <w:rsid w:val="00381403"/>
    <w:rsid w:val="00387C15"/>
    <w:rsid w:val="00390F81"/>
    <w:rsid w:val="00392E2D"/>
    <w:rsid w:val="003942CB"/>
    <w:rsid w:val="003A0AEE"/>
    <w:rsid w:val="003C3EB0"/>
    <w:rsid w:val="003C7F4D"/>
    <w:rsid w:val="003D234E"/>
    <w:rsid w:val="003D4A0E"/>
    <w:rsid w:val="003E5F4A"/>
    <w:rsid w:val="003E6575"/>
    <w:rsid w:val="003F22A0"/>
    <w:rsid w:val="004069B7"/>
    <w:rsid w:val="004109FB"/>
    <w:rsid w:val="00414BF4"/>
    <w:rsid w:val="00417FE0"/>
    <w:rsid w:val="0042620E"/>
    <w:rsid w:val="0043568E"/>
    <w:rsid w:val="00447856"/>
    <w:rsid w:val="0045128E"/>
    <w:rsid w:val="00452F76"/>
    <w:rsid w:val="00457275"/>
    <w:rsid w:val="00476029"/>
    <w:rsid w:val="00477D71"/>
    <w:rsid w:val="004A10BE"/>
    <w:rsid w:val="004A2082"/>
    <w:rsid w:val="004A6098"/>
    <w:rsid w:val="004C0F35"/>
    <w:rsid w:val="004C135D"/>
    <w:rsid w:val="004C1CCD"/>
    <w:rsid w:val="004C1D3F"/>
    <w:rsid w:val="004C508D"/>
    <w:rsid w:val="004D60E3"/>
    <w:rsid w:val="004F71B5"/>
    <w:rsid w:val="004F7ACB"/>
    <w:rsid w:val="0050722B"/>
    <w:rsid w:val="00516EDE"/>
    <w:rsid w:val="0052242C"/>
    <w:rsid w:val="0053124A"/>
    <w:rsid w:val="0053394F"/>
    <w:rsid w:val="00533F9B"/>
    <w:rsid w:val="005366AF"/>
    <w:rsid w:val="0055402A"/>
    <w:rsid w:val="00562E38"/>
    <w:rsid w:val="00566A31"/>
    <w:rsid w:val="00566B32"/>
    <w:rsid w:val="00567FDB"/>
    <w:rsid w:val="005735CF"/>
    <w:rsid w:val="00574707"/>
    <w:rsid w:val="00575A73"/>
    <w:rsid w:val="005821B6"/>
    <w:rsid w:val="005823B2"/>
    <w:rsid w:val="00594849"/>
    <w:rsid w:val="005948C1"/>
    <w:rsid w:val="00596145"/>
    <w:rsid w:val="005A0929"/>
    <w:rsid w:val="005A309A"/>
    <w:rsid w:val="005A37F2"/>
    <w:rsid w:val="005B3BD6"/>
    <w:rsid w:val="005B616F"/>
    <w:rsid w:val="005C1586"/>
    <w:rsid w:val="005C2E69"/>
    <w:rsid w:val="005C7DED"/>
    <w:rsid w:val="005D268C"/>
    <w:rsid w:val="005D2F57"/>
    <w:rsid w:val="005F1396"/>
    <w:rsid w:val="00601FF9"/>
    <w:rsid w:val="0060509F"/>
    <w:rsid w:val="006062FC"/>
    <w:rsid w:val="00637003"/>
    <w:rsid w:val="00643E2F"/>
    <w:rsid w:val="00645261"/>
    <w:rsid w:val="006500DF"/>
    <w:rsid w:val="006541BA"/>
    <w:rsid w:val="00660566"/>
    <w:rsid w:val="00662F7A"/>
    <w:rsid w:val="00674E64"/>
    <w:rsid w:val="0068084E"/>
    <w:rsid w:val="006845C6"/>
    <w:rsid w:val="00684A63"/>
    <w:rsid w:val="006967D6"/>
    <w:rsid w:val="006A4B17"/>
    <w:rsid w:val="006A799C"/>
    <w:rsid w:val="006B1F4A"/>
    <w:rsid w:val="006B2679"/>
    <w:rsid w:val="006C20D3"/>
    <w:rsid w:val="006D0B55"/>
    <w:rsid w:val="00703045"/>
    <w:rsid w:val="007045C5"/>
    <w:rsid w:val="007158B0"/>
    <w:rsid w:val="0071622E"/>
    <w:rsid w:val="0072267A"/>
    <w:rsid w:val="007228E6"/>
    <w:rsid w:val="00722E4A"/>
    <w:rsid w:val="0073319F"/>
    <w:rsid w:val="00735AE9"/>
    <w:rsid w:val="007404D3"/>
    <w:rsid w:val="00741648"/>
    <w:rsid w:val="007566A1"/>
    <w:rsid w:val="00756D09"/>
    <w:rsid w:val="00760EDE"/>
    <w:rsid w:val="0077354D"/>
    <w:rsid w:val="00774CE2"/>
    <w:rsid w:val="00781B48"/>
    <w:rsid w:val="00783478"/>
    <w:rsid w:val="00784334"/>
    <w:rsid w:val="00787AC4"/>
    <w:rsid w:val="0079708D"/>
    <w:rsid w:val="007B700D"/>
    <w:rsid w:val="007C3FC3"/>
    <w:rsid w:val="007C7C96"/>
    <w:rsid w:val="007D535C"/>
    <w:rsid w:val="007E1C28"/>
    <w:rsid w:val="00803840"/>
    <w:rsid w:val="00812ED2"/>
    <w:rsid w:val="00815EBB"/>
    <w:rsid w:val="008327F8"/>
    <w:rsid w:val="00833E99"/>
    <w:rsid w:val="00863F0F"/>
    <w:rsid w:val="00865718"/>
    <w:rsid w:val="008700FB"/>
    <w:rsid w:val="0087227A"/>
    <w:rsid w:val="008762ED"/>
    <w:rsid w:val="00882238"/>
    <w:rsid w:val="0088631E"/>
    <w:rsid w:val="00894B86"/>
    <w:rsid w:val="008A1307"/>
    <w:rsid w:val="008A2699"/>
    <w:rsid w:val="008A32D7"/>
    <w:rsid w:val="008D0F4B"/>
    <w:rsid w:val="008D4E50"/>
    <w:rsid w:val="00900050"/>
    <w:rsid w:val="0093009C"/>
    <w:rsid w:val="009320BF"/>
    <w:rsid w:val="00945862"/>
    <w:rsid w:val="00946F09"/>
    <w:rsid w:val="00954270"/>
    <w:rsid w:val="00956117"/>
    <w:rsid w:val="009611F1"/>
    <w:rsid w:val="00963194"/>
    <w:rsid w:val="00966A08"/>
    <w:rsid w:val="0097051F"/>
    <w:rsid w:val="00971173"/>
    <w:rsid w:val="00977066"/>
    <w:rsid w:val="0099324A"/>
    <w:rsid w:val="00997240"/>
    <w:rsid w:val="009A0326"/>
    <w:rsid w:val="009A4377"/>
    <w:rsid w:val="009A5B12"/>
    <w:rsid w:val="009A6ABF"/>
    <w:rsid w:val="009A7CA1"/>
    <w:rsid w:val="009B4752"/>
    <w:rsid w:val="009C7F73"/>
    <w:rsid w:val="009D175C"/>
    <w:rsid w:val="009E05D3"/>
    <w:rsid w:val="009F4B4E"/>
    <w:rsid w:val="009F5BCE"/>
    <w:rsid w:val="00A00C33"/>
    <w:rsid w:val="00A05BB5"/>
    <w:rsid w:val="00A118D1"/>
    <w:rsid w:val="00A130CE"/>
    <w:rsid w:val="00A40794"/>
    <w:rsid w:val="00A40947"/>
    <w:rsid w:val="00A50B55"/>
    <w:rsid w:val="00A54AF3"/>
    <w:rsid w:val="00A55575"/>
    <w:rsid w:val="00A67243"/>
    <w:rsid w:val="00A73BF6"/>
    <w:rsid w:val="00A81529"/>
    <w:rsid w:val="00A908E3"/>
    <w:rsid w:val="00A92B5E"/>
    <w:rsid w:val="00A95CDD"/>
    <w:rsid w:val="00AA0280"/>
    <w:rsid w:val="00AA0844"/>
    <w:rsid w:val="00AB2973"/>
    <w:rsid w:val="00AC459C"/>
    <w:rsid w:val="00AD1224"/>
    <w:rsid w:val="00AD1833"/>
    <w:rsid w:val="00AD259C"/>
    <w:rsid w:val="00AD4B91"/>
    <w:rsid w:val="00AE1A21"/>
    <w:rsid w:val="00AE7013"/>
    <w:rsid w:val="00AF02CF"/>
    <w:rsid w:val="00AF3885"/>
    <w:rsid w:val="00AF4037"/>
    <w:rsid w:val="00B01525"/>
    <w:rsid w:val="00B11938"/>
    <w:rsid w:val="00B11EF7"/>
    <w:rsid w:val="00B13C25"/>
    <w:rsid w:val="00B1614B"/>
    <w:rsid w:val="00B2295C"/>
    <w:rsid w:val="00B31D2D"/>
    <w:rsid w:val="00B449D7"/>
    <w:rsid w:val="00B44D1A"/>
    <w:rsid w:val="00B4617A"/>
    <w:rsid w:val="00B50305"/>
    <w:rsid w:val="00B51966"/>
    <w:rsid w:val="00B52FD1"/>
    <w:rsid w:val="00B578F3"/>
    <w:rsid w:val="00B74CDD"/>
    <w:rsid w:val="00B751CE"/>
    <w:rsid w:val="00B913BD"/>
    <w:rsid w:val="00B96CA0"/>
    <w:rsid w:val="00BA4D9A"/>
    <w:rsid w:val="00BC250F"/>
    <w:rsid w:val="00BC635F"/>
    <w:rsid w:val="00BC6C09"/>
    <w:rsid w:val="00BE1940"/>
    <w:rsid w:val="00BE43C6"/>
    <w:rsid w:val="00BE5B62"/>
    <w:rsid w:val="00C02243"/>
    <w:rsid w:val="00C02FC4"/>
    <w:rsid w:val="00C121E6"/>
    <w:rsid w:val="00C178A3"/>
    <w:rsid w:val="00C205B3"/>
    <w:rsid w:val="00C27942"/>
    <w:rsid w:val="00C35416"/>
    <w:rsid w:val="00C40ED9"/>
    <w:rsid w:val="00C50457"/>
    <w:rsid w:val="00C669C2"/>
    <w:rsid w:val="00C678CB"/>
    <w:rsid w:val="00C76997"/>
    <w:rsid w:val="00C76C79"/>
    <w:rsid w:val="00C81A6D"/>
    <w:rsid w:val="00C84E18"/>
    <w:rsid w:val="00C95814"/>
    <w:rsid w:val="00C96DA3"/>
    <w:rsid w:val="00CA4E03"/>
    <w:rsid w:val="00CB0036"/>
    <w:rsid w:val="00CB0EE6"/>
    <w:rsid w:val="00CB5030"/>
    <w:rsid w:val="00CC070A"/>
    <w:rsid w:val="00CC7AC7"/>
    <w:rsid w:val="00CD138E"/>
    <w:rsid w:val="00CD50CC"/>
    <w:rsid w:val="00CE2EF0"/>
    <w:rsid w:val="00CE310A"/>
    <w:rsid w:val="00CF5E1C"/>
    <w:rsid w:val="00D05B13"/>
    <w:rsid w:val="00D13F11"/>
    <w:rsid w:val="00D148C5"/>
    <w:rsid w:val="00D14BE3"/>
    <w:rsid w:val="00D26343"/>
    <w:rsid w:val="00D3176C"/>
    <w:rsid w:val="00D32039"/>
    <w:rsid w:val="00D3558D"/>
    <w:rsid w:val="00D3652F"/>
    <w:rsid w:val="00D400D3"/>
    <w:rsid w:val="00D45F19"/>
    <w:rsid w:val="00D467CF"/>
    <w:rsid w:val="00D4689A"/>
    <w:rsid w:val="00D505A7"/>
    <w:rsid w:val="00D51AAF"/>
    <w:rsid w:val="00D52346"/>
    <w:rsid w:val="00D54B26"/>
    <w:rsid w:val="00D621B5"/>
    <w:rsid w:val="00D627E7"/>
    <w:rsid w:val="00D83D38"/>
    <w:rsid w:val="00D86005"/>
    <w:rsid w:val="00D866E5"/>
    <w:rsid w:val="00DA74EE"/>
    <w:rsid w:val="00DB3739"/>
    <w:rsid w:val="00DC7284"/>
    <w:rsid w:val="00DC7AA1"/>
    <w:rsid w:val="00DE320B"/>
    <w:rsid w:val="00DF7792"/>
    <w:rsid w:val="00E03798"/>
    <w:rsid w:val="00E046DA"/>
    <w:rsid w:val="00E05E9D"/>
    <w:rsid w:val="00E109FF"/>
    <w:rsid w:val="00E12727"/>
    <w:rsid w:val="00E13992"/>
    <w:rsid w:val="00E269A8"/>
    <w:rsid w:val="00E279A7"/>
    <w:rsid w:val="00E342AB"/>
    <w:rsid w:val="00E411A3"/>
    <w:rsid w:val="00E57A1E"/>
    <w:rsid w:val="00E6587B"/>
    <w:rsid w:val="00E6747A"/>
    <w:rsid w:val="00E73BAC"/>
    <w:rsid w:val="00E75AF5"/>
    <w:rsid w:val="00E91314"/>
    <w:rsid w:val="00EA2638"/>
    <w:rsid w:val="00EA7202"/>
    <w:rsid w:val="00EB12A6"/>
    <w:rsid w:val="00EB3287"/>
    <w:rsid w:val="00EB5B41"/>
    <w:rsid w:val="00EC31DB"/>
    <w:rsid w:val="00EC656B"/>
    <w:rsid w:val="00ED3D64"/>
    <w:rsid w:val="00EE0089"/>
    <w:rsid w:val="00EE1FC5"/>
    <w:rsid w:val="00EE710E"/>
    <w:rsid w:val="00F0088D"/>
    <w:rsid w:val="00F16494"/>
    <w:rsid w:val="00F213A5"/>
    <w:rsid w:val="00F413F7"/>
    <w:rsid w:val="00F558EE"/>
    <w:rsid w:val="00F60259"/>
    <w:rsid w:val="00F671A8"/>
    <w:rsid w:val="00F82AC5"/>
    <w:rsid w:val="00F84011"/>
    <w:rsid w:val="00F96A1F"/>
    <w:rsid w:val="00FB6117"/>
    <w:rsid w:val="00FD1313"/>
    <w:rsid w:val="00FD158F"/>
    <w:rsid w:val="00FD56B6"/>
    <w:rsid w:val="00FD5AD4"/>
    <w:rsid w:val="00FD5E52"/>
    <w:rsid w:val="00FE4306"/>
    <w:rsid w:val="00FF22FE"/>
    <w:rsid w:val="00FF500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E6A865-C487-4C85-BBCB-542E63889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6E5"/>
    <w:pPr>
      <w:spacing w:after="200" w:line="276" w:lineRule="auto"/>
    </w:pPr>
    <w:rPr>
      <w:rFonts w:ascii="Calibri" w:eastAsia="Calibri" w:hAnsi="Calibri" w:cs="Times New Roman"/>
    </w:rPr>
  </w:style>
  <w:style w:type="paragraph" w:styleId="Heading3">
    <w:name w:val="heading 3"/>
    <w:basedOn w:val="Normal"/>
    <w:link w:val="Heading3Char"/>
    <w:uiPriority w:val="9"/>
    <w:qFormat/>
    <w:rsid w:val="00E342AB"/>
    <w:pPr>
      <w:spacing w:before="100" w:beforeAutospacing="1" w:after="100" w:afterAutospacing="1" w:line="240" w:lineRule="auto"/>
      <w:outlineLvl w:val="2"/>
    </w:pPr>
    <w:rPr>
      <w:rFonts w:ascii="Times New Roman" w:eastAsia="Times New Roman" w:hAnsi="Times New Roman"/>
      <w:b/>
      <w:bCs/>
      <w:sz w:val="27"/>
      <w:szCs w:val="27"/>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48C5"/>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5B3BD6"/>
    <w:pPr>
      <w:spacing w:after="0" w:line="240" w:lineRule="auto"/>
      <w:ind w:left="720"/>
      <w:contextualSpacing/>
    </w:pPr>
    <w:rPr>
      <w:rFonts w:asciiTheme="minorHAnsi" w:eastAsiaTheme="minorEastAsia" w:hAnsiTheme="minorHAnsi" w:cstheme="minorBidi"/>
      <w:sz w:val="24"/>
      <w:szCs w:val="24"/>
      <w:lang w:val="en-GB"/>
    </w:rPr>
  </w:style>
  <w:style w:type="character" w:customStyle="1" w:styleId="Heading3Char">
    <w:name w:val="Heading 3 Char"/>
    <w:basedOn w:val="DefaultParagraphFont"/>
    <w:link w:val="Heading3"/>
    <w:uiPriority w:val="9"/>
    <w:rsid w:val="00E342AB"/>
    <w:rPr>
      <w:rFonts w:ascii="Times New Roman" w:eastAsia="Times New Roman" w:hAnsi="Times New Roman" w:cs="Times New Roman"/>
      <w:b/>
      <w:bCs/>
      <w:sz w:val="27"/>
      <w:szCs w:val="27"/>
      <w:lang w:eastAsia="en-ZW"/>
    </w:rPr>
  </w:style>
  <w:style w:type="paragraph" w:customStyle="1" w:styleId="Default">
    <w:name w:val="Default"/>
    <w:rsid w:val="00900050"/>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E674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747A"/>
    <w:rPr>
      <w:rFonts w:ascii="Calibri" w:eastAsia="Calibri" w:hAnsi="Calibri" w:cs="Times New Roman"/>
    </w:rPr>
  </w:style>
  <w:style w:type="paragraph" w:styleId="Footer">
    <w:name w:val="footer"/>
    <w:basedOn w:val="Normal"/>
    <w:link w:val="FooterChar"/>
    <w:uiPriority w:val="99"/>
    <w:unhideWhenUsed/>
    <w:rsid w:val="00E674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47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735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709</TotalTime>
  <Pages>12</Pages>
  <Words>3211</Words>
  <Characters>18306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70</cp:revision>
  <dcterms:created xsi:type="dcterms:W3CDTF">2022-05-11T07:04:00Z</dcterms:created>
  <dcterms:modified xsi:type="dcterms:W3CDTF">2022-05-27T13:35:00Z</dcterms:modified>
</cp:coreProperties>
</file>