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106616" w14:textId="6DD23E9B" w:rsidR="00020EF3" w:rsidRDefault="00A66FFF" w:rsidP="00A66FFF">
      <w:pPr>
        <w:spacing w:after="0"/>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TAWINEYI KUNAKA</w:t>
      </w:r>
    </w:p>
    <w:p w14:paraId="35B8A670" w14:textId="13F39DF8" w:rsidR="00A66FFF" w:rsidRDefault="00A66FFF" w:rsidP="00A66FFF">
      <w:pPr>
        <w:spacing w:after="0"/>
        <w:rPr>
          <w:rFonts w:ascii="Times New Roman" w:hAnsi="Times New Roman" w:cs="Times New Roman"/>
          <w:sz w:val="24"/>
          <w:szCs w:val="24"/>
          <w:lang w:val="en-US"/>
        </w:rPr>
      </w:pPr>
      <w:r>
        <w:rPr>
          <w:rFonts w:ascii="Times New Roman" w:hAnsi="Times New Roman" w:cs="Times New Roman"/>
          <w:sz w:val="24"/>
          <w:szCs w:val="24"/>
          <w:lang w:val="en-US"/>
        </w:rPr>
        <w:t>versus</w:t>
      </w:r>
    </w:p>
    <w:p w14:paraId="15C4AAB5" w14:textId="4870FC47" w:rsidR="00A66FFF" w:rsidRDefault="00A66FFF" w:rsidP="00A66FFF">
      <w:pPr>
        <w:spacing w:after="0"/>
        <w:rPr>
          <w:rFonts w:ascii="Times New Roman" w:hAnsi="Times New Roman" w:cs="Times New Roman"/>
          <w:sz w:val="24"/>
          <w:szCs w:val="24"/>
          <w:lang w:val="en-US"/>
        </w:rPr>
      </w:pPr>
      <w:r>
        <w:rPr>
          <w:rFonts w:ascii="Times New Roman" w:hAnsi="Times New Roman" w:cs="Times New Roman"/>
          <w:sz w:val="24"/>
          <w:szCs w:val="24"/>
          <w:lang w:val="en-US"/>
        </w:rPr>
        <w:t>MASTER OF HIGH COURT N.O.</w:t>
      </w:r>
    </w:p>
    <w:p w14:paraId="318B1AB8" w14:textId="0E313EB4" w:rsidR="00A66FFF" w:rsidRDefault="00A66FFF" w:rsidP="00A66FFF">
      <w:pPr>
        <w:spacing w:after="0"/>
        <w:rPr>
          <w:rFonts w:ascii="Times New Roman" w:hAnsi="Times New Roman" w:cs="Times New Roman"/>
          <w:sz w:val="24"/>
          <w:szCs w:val="24"/>
          <w:lang w:val="en-US"/>
        </w:rPr>
      </w:pPr>
      <w:r>
        <w:rPr>
          <w:rFonts w:ascii="Times New Roman" w:hAnsi="Times New Roman" w:cs="Times New Roman"/>
          <w:sz w:val="24"/>
          <w:szCs w:val="24"/>
          <w:lang w:val="en-US"/>
        </w:rPr>
        <w:t>and</w:t>
      </w:r>
    </w:p>
    <w:p w14:paraId="0038BF11" w14:textId="623E5EB3" w:rsidR="00A66FFF" w:rsidRDefault="00A66FFF" w:rsidP="00A66FFF">
      <w:pPr>
        <w:spacing w:after="0"/>
        <w:rPr>
          <w:rFonts w:ascii="Times New Roman" w:hAnsi="Times New Roman" w:cs="Times New Roman"/>
          <w:sz w:val="24"/>
          <w:szCs w:val="24"/>
          <w:lang w:val="en-US"/>
        </w:rPr>
      </w:pPr>
      <w:r>
        <w:rPr>
          <w:rFonts w:ascii="Times New Roman" w:hAnsi="Times New Roman" w:cs="Times New Roman"/>
          <w:sz w:val="24"/>
          <w:szCs w:val="24"/>
          <w:lang w:val="en-US"/>
        </w:rPr>
        <w:t>EXECUTIVE DATIVE</w:t>
      </w:r>
    </w:p>
    <w:p w14:paraId="0DC3EDB2" w14:textId="123F28C1" w:rsidR="00A66FFF" w:rsidRDefault="00A66FFF" w:rsidP="00A66FFF">
      <w:pPr>
        <w:spacing w:after="0"/>
        <w:rPr>
          <w:rFonts w:ascii="Times New Roman" w:hAnsi="Times New Roman" w:cs="Times New Roman"/>
          <w:sz w:val="24"/>
          <w:szCs w:val="24"/>
          <w:lang w:val="en-US"/>
        </w:rPr>
      </w:pPr>
      <w:r>
        <w:rPr>
          <w:rFonts w:ascii="Times New Roman" w:hAnsi="Times New Roman" w:cs="Times New Roman"/>
          <w:sz w:val="24"/>
          <w:szCs w:val="24"/>
          <w:lang w:val="en-US"/>
        </w:rPr>
        <w:t>PETRONELLA NYAMAPFENE N.O</w:t>
      </w:r>
    </w:p>
    <w:p w14:paraId="1C0B31C8" w14:textId="74818BF0" w:rsidR="00A66FFF" w:rsidRDefault="00A66FFF" w:rsidP="00A66FFF">
      <w:pPr>
        <w:spacing w:after="0"/>
        <w:rPr>
          <w:rFonts w:ascii="Times New Roman" w:hAnsi="Times New Roman" w:cs="Times New Roman"/>
          <w:sz w:val="24"/>
          <w:szCs w:val="24"/>
          <w:lang w:val="en-US"/>
        </w:rPr>
      </w:pPr>
    </w:p>
    <w:p w14:paraId="28E25E90" w14:textId="0F529534" w:rsidR="00A66FFF" w:rsidRDefault="00A66FFF" w:rsidP="00A66FFF">
      <w:pPr>
        <w:spacing w:after="0"/>
        <w:rPr>
          <w:rFonts w:ascii="Times New Roman" w:hAnsi="Times New Roman" w:cs="Times New Roman"/>
          <w:sz w:val="24"/>
          <w:szCs w:val="24"/>
          <w:lang w:val="en-US"/>
        </w:rPr>
      </w:pPr>
    </w:p>
    <w:p w14:paraId="6E32AC07" w14:textId="616C56A2" w:rsidR="00A66FFF" w:rsidRDefault="00A66FFF" w:rsidP="00A66FFF">
      <w:pPr>
        <w:spacing w:after="0"/>
        <w:rPr>
          <w:rFonts w:ascii="Times New Roman" w:hAnsi="Times New Roman" w:cs="Times New Roman"/>
          <w:sz w:val="24"/>
          <w:szCs w:val="24"/>
          <w:lang w:val="en-US"/>
        </w:rPr>
      </w:pPr>
      <w:r>
        <w:rPr>
          <w:rFonts w:ascii="Times New Roman" w:hAnsi="Times New Roman" w:cs="Times New Roman"/>
          <w:sz w:val="24"/>
          <w:szCs w:val="24"/>
          <w:lang w:val="en-US"/>
        </w:rPr>
        <w:t>HIGH COURT OF ZIMBABWE</w:t>
      </w:r>
    </w:p>
    <w:p w14:paraId="144476AC" w14:textId="52D76666" w:rsidR="00A66FFF" w:rsidRDefault="00A66FFF" w:rsidP="00A66FFF">
      <w:pPr>
        <w:spacing w:after="0"/>
        <w:rPr>
          <w:rFonts w:ascii="Times New Roman" w:hAnsi="Times New Roman" w:cs="Times New Roman"/>
          <w:sz w:val="24"/>
          <w:szCs w:val="24"/>
          <w:lang w:val="en-US"/>
        </w:rPr>
      </w:pPr>
      <w:r>
        <w:rPr>
          <w:rFonts w:ascii="Times New Roman" w:hAnsi="Times New Roman" w:cs="Times New Roman"/>
          <w:sz w:val="24"/>
          <w:szCs w:val="24"/>
          <w:lang w:val="en-US"/>
        </w:rPr>
        <w:t>CHITAPI J</w:t>
      </w:r>
    </w:p>
    <w:p w14:paraId="2C803B89" w14:textId="59CE1784" w:rsidR="00A66FFF" w:rsidRDefault="00A66FFF" w:rsidP="00A66FFF">
      <w:pPr>
        <w:spacing w:after="0"/>
        <w:rPr>
          <w:rFonts w:ascii="Times New Roman" w:hAnsi="Times New Roman" w:cs="Times New Roman"/>
          <w:sz w:val="24"/>
          <w:szCs w:val="24"/>
          <w:lang w:val="en-US"/>
        </w:rPr>
      </w:pPr>
      <w:r>
        <w:rPr>
          <w:rFonts w:ascii="Times New Roman" w:hAnsi="Times New Roman" w:cs="Times New Roman"/>
          <w:sz w:val="24"/>
          <w:szCs w:val="24"/>
          <w:lang w:val="en-US"/>
        </w:rPr>
        <w:t>HARARE, 19 January 2022</w:t>
      </w:r>
      <w:r w:rsidR="001F74FD">
        <w:rPr>
          <w:rFonts w:ascii="Times New Roman" w:hAnsi="Times New Roman" w:cs="Times New Roman"/>
          <w:sz w:val="24"/>
          <w:szCs w:val="24"/>
          <w:lang w:val="en-US"/>
        </w:rPr>
        <w:t xml:space="preserve"> &amp; 15 May 2023</w:t>
      </w:r>
    </w:p>
    <w:p w14:paraId="203E0912" w14:textId="06EEB18A" w:rsidR="00A66FFF" w:rsidRDefault="00A66FFF" w:rsidP="00A66FFF">
      <w:pPr>
        <w:spacing w:after="0"/>
        <w:rPr>
          <w:rFonts w:ascii="Times New Roman" w:hAnsi="Times New Roman" w:cs="Times New Roman"/>
          <w:sz w:val="24"/>
          <w:szCs w:val="24"/>
          <w:lang w:val="en-US"/>
        </w:rPr>
      </w:pPr>
    </w:p>
    <w:p w14:paraId="0E1D9EE1" w14:textId="2164C381" w:rsidR="00A66FFF" w:rsidRDefault="00A66FFF" w:rsidP="00A66FFF">
      <w:pPr>
        <w:spacing w:after="0"/>
        <w:rPr>
          <w:rFonts w:ascii="Times New Roman" w:hAnsi="Times New Roman" w:cs="Times New Roman"/>
          <w:sz w:val="24"/>
          <w:szCs w:val="24"/>
          <w:lang w:val="en-US"/>
        </w:rPr>
      </w:pPr>
    </w:p>
    <w:p w14:paraId="1E59B1DE" w14:textId="567C6008" w:rsidR="00A66FFF" w:rsidRPr="001F74FD" w:rsidRDefault="001F74FD" w:rsidP="00A66FFF">
      <w:pPr>
        <w:spacing w:after="0"/>
        <w:rPr>
          <w:rFonts w:ascii="Times New Roman" w:hAnsi="Times New Roman" w:cs="Times New Roman"/>
          <w:b/>
          <w:sz w:val="24"/>
          <w:szCs w:val="24"/>
          <w:lang w:val="en-US"/>
        </w:rPr>
      </w:pPr>
      <w:r w:rsidRPr="001F74FD">
        <w:rPr>
          <w:rFonts w:ascii="Times New Roman" w:hAnsi="Times New Roman" w:cs="Times New Roman"/>
          <w:b/>
          <w:sz w:val="24"/>
          <w:szCs w:val="24"/>
          <w:lang w:val="en-US"/>
        </w:rPr>
        <w:t>Opposed Court Application</w:t>
      </w:r>
    </w:p>
    <w:p w14:paraId="7C7D0984" w14:textId="77777777" w:rsidR="001F74FD" w:rsidRDefault="001F74FD" w:rsidP="00A66FFF">
      <w:pPr>
        <w:spacing w:after="0"/>
        <w:rPr>
          <w:rFonts w:ascii="Times New Roman" w:hAnsi="Times New Roman" w:cs="Times New Roman"/>
          <w:sz w:val="24"/>
          <w:szCs w:val="24"/>
          <w:lang w:val="en-US"/>
        </w:rPr>
      </w:pPr>
    </w:p>
    <w:p w14:paraId="6D2B7A90" w14:textId="3809E76A" w:rsidR="00A66FFF" w:rsidRDefault="00A66FFF" w:rsidP="00A66FFF">
      <w:pPr>
        <w:spacing w:after="0"/>
        <w:rPr>
          <w:rFonts w:ascii="Times New Roman" w:hAnsi="Times New Roman" w:cs="Times New Roman"/>
          <w:sz w:val="24"/>
          <w:szCs w:val="24"/>
          <w:lang w:val="en-US"/>
        </w:rPr>
      </w:pPr>
    </w:p>
    <w:p w14:paraId="6EFFA625" w14:textId="5D75C169" w:rsidR="00A66FFF" w:rsidRDefault="00263701" w:rsidP="00A66FFF">
      <w:pPr>
        <w:spacing w:after="0"/>
        <w:rPr>
          <w:rFonts w:ascii="Times New Roman" w:hAnsi="Times New Roman" w:cs="Times New Roman"/>
          <w:sz w:val="24"/>
          <w:szCs w:val="24"/>
          <w:lang w:val="en-US"/>
        </w:rPr>
      </w:pPr>
      <w:r>
        <w:rPr>
          <w:rFonts w:ascii="Times New Roman" w:hAnsi="Times New Roman" w:cs="Times New Roman"/>
          <w:i/>
          <w:iCs/>
          <w:sz w:val="24"/>
          <w:szCs w:val="24"/>
          <w:lang w:val="en-US"/>
        </w:rPr>
        <w:t>B</w:t>
      </w:r>
      <w:r w:rsidR="00A66FFF" w:rsidRPr="00A66FFF">
        <w:rPr>
          <w:rFonts w:ascii="Times New Roman" w:hAnsi="Times New Roman" w:cs="Times New Roman"/>
          <w:i/>
          <w:iCs/>
          <w:sz w:val="24"/>
          <w:szCs w:val="24"/>
          <w:lang w:val="en-US"/>
        </w:rPr>
        <w:t xml:space="preserve"> Chideme</w:t>
      </w:r>
      <w:r w:rsidR="00A66FFF">
        <w:rPr>
          <w:rFonts w:ascii="Times New Roman" w:hAnsi="Times New Roman" w:cs="Times New Roman"/>
          <w:sz w:val="24"/>
          <w:szCs w:val="24"/>
          <w:lang w:val="en-US"/>
        </w:rPr>
        <w:t>, for the applicant</w:t>
      </w:r>
    </w:p>
    <w:p w14:paraId="5A568CF2" w14:textId="02545169" w:rsidR="00A66FFF" w:rsidRDefault="00A66FFF" w:rsidP="00A66FFF">
      <w:pPr>
        <w:spacing w:after="0"/>
        <w:rPr>
          <w:rFonts w:ascii="Times New Roman" w:hAnsi="Times New Roman" w:cs="Times New Roman"/>
          <w:sz w:val="24"/>
          <w:szCs w:val="24"/>
          <w:lang w:val="en-US"/>
        </w:rPr>
      </w:pPr>
      <w:r>
        <w:rPr>
          <w:rFonts w:ascii="Times New Roman" w:hAnsi="Times New Roman" w:cs="Times New Roman"/>
          <w:sz w:val="24"/>
          <w:szCs w:val="24"/>
          <w:lang w:val="en-US"/>
        </w:rPr>
        <w:t>No appearance for the respondents</w:t>
      </w:r>
    </w:p>
    <w:p w14:paraId="77C3D978" w14:textId="2F7AD6DE" w:rsidR="00A66FFF" w:rsidRDefault="00A66FFF" w:rsidP="00A66FFF">
      <w:pPr>
        <w:spacing w:after="0"/>
        <w:rPr>
          <w:rFonts w:ascii="Times New Roman" w:hAnsi="Times New Roman" w:cs="Times New Roman"/>
          <w:sz w:val="24"/>
          <w:szCs w:val="24"/>
          <w:lang w:val="en-US"/>
        </w:rPr>
      </w:pPr>
    </w:p>
    <w:p w14:paraId="1691E063" w14:textId="7559F25B" w:rsidR="00A66FFF" w:rsidRDefault="00A66FFF" w:rsidP="00A66FFF">
      <w:pPr>
        <w:spacing w:after="0"/>
        <w:rPr>
          <w:rFonts w:ascii="Times New Roman" w:hAnsi="Times New Roman" w:cs="Times New Roman"/>
          <w:sz w:val="24"/>
          <w:szCs w:val="24"/>
          <w:lang w:val="en-US"/>
        </w:rPr>
      </w:pPr>
    </w:p>
    <w:p w14:paraId="16B37656" w14:textId="37D6020D" w:rsidR="00A66FFF" w:rsidRDefault="00A66FFF" w:rsidP="00A66FF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CHITAPI J:</w:t>
      </w:r>
      <w:r>
        <w:rPr>
          <w:rFonts w:ascii="Times New Roman" w:hAnsi="Times New Roman" w:cs="Times New Roman"/>
          <w:sz w:val="24"/>
          <w:szCs w:val="24"/>
          <w:lang w:val="en-US"/>
        </w:rPr>
        <w:tab/>
        <w:t>This is an application for a declaratur.  Such an application is provided for under s 14 of the High Court Act, [</w:t>
      </w:r>
      <w:r w:rsidRPr="00A66FFF">
        <w:rPr>
          <w:rFonts w:ascii="Times New Roman" w:hAnsi="Times New Roman" w:cs="Times New Roman"/>
          <w:i/>
          <w:iCs/>
          <w:sz w:val="24"/>
          <w:szCs w:val="24"/>
          <w:lang w:val="en-US"/>
        </w:rPr>
        <w:t>Chapter 7:06</w:t>
      </w:r>
      <w:r>
        <w:rPr>
          <w:rFonts w:ascii="Times New Roman" w:hAnsi="Times New Roman" w:cs="Times New Roman"/>
          <w:sz w:val="24"/>
          <w:szCs w:val="24"/>
          <w:lang w:val="en-US"/>
        </w:rPr>
        <w:t>].  The background facts giving rise to the application are not in dispute.  They can be summarized as hereunder.</w:t>
      </w:r>
    </w:p>
    <w:p w14:paraId="2819872A" w14:textId="594B4001" w:rsidR="00A66FFF" w:rsidRDefault="00A66FFF" w:rsidP="00A66FF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applicant was on 23 August 2019 and by issue of the </w:t>
      </w:r>
      <w:r w:rsidR="00995613">
        <w:rPr>
          <w:rFonts w:ascii="Times New Roman" w:hAnsi="Times New Roman" w:cs="Times New Roman"/>
          <w:sz w:val="24"/>
          <w:szCs w:val="24"/>
          <w:lang w:val="en-US"/>
        </w:rPr>
        <w:t>L</w:t>
      </w:r>
      <w:r>
        <w:rPr>
          <w:rFonts w:ascii="Times New Roman" w:hAnsi="Times New Roman" w:cs="Times New Roman"/>
          <w:sz w:val="24"/>
          <w:szCs w:val="24"/>
          <w:lang w:val="en-US"/>
        </w:rPr>
        <w:t>etter</w:t>
      </w:r>
      <w:r w:rsidR="00995613">
        <w:rPr>
          <w:rFonts w:ascii="Times New Roman" w:hAnsi="Times New Roman" w:cs="Times New Roman"/>
          <w:sz w:val="24"/>
          <w:szCs w:val="24"/>
          <w:lang w:val="en-US"/>
        </w:rPr>
        <w:t>s</w:t>
      </w:r>
      <w:r>
        <w:rPr>
          <w:rFonts w:ascii="Times New Roman" w:hAnsi="Times New Roman" w:cs="Times New Roman"/>
          <w:sz w:val="24"/>
          <w:szCs w:val="24"/>
          <w:lang w:val="en-US"/>
        </w:rPr>
        <w:t xml:space="preserve"> of </w:t>
      </w:r>
      <w:r w:rsidR="00995613">
        <w:rPr>
          <w:rFonts w:ascii="Times New Roman" w:hAnsi="Times New Roman" w:cs="Times New Roman"/>
          <w:sz w:val="24"/>
          <w:szCs w:val="24"/>
          <w:lang w:val="en-US"/>
        </w:rPr>
        <w:t>A</w:t>
      </w:r>
      <w:r>
        <w:rPr>
          <w:rFonts w:ascii="Times New Roman" w:hAnsi="Times New Roman" w:cs="Times New Roman"/>
          <w:sz w:val="24"/>
          <w:szCs w:val="24"/>
          <w:lang w:val="en-US"/>
        </w:rPr>
        <w:t xml:space="preserve">dministration appointed the </w:t>
      </w:r>
      <w:r w:rsidR="00995613">
        <w:rPr>
          <w:rFonts w:ascii="Times New Roman" w:hAnsi="Times New Roman" w:cs="Times New Roman"/>
          <w:sz w:val="24"/>
          <w:szCs w:val="24"/>
          <w:lang w:val="en-US"/>
        </w:rPr>
        <w:t>E</w:t>
      </w:r>
      <w:r>
        <w:rPr>
          <w:rFonts w:ascii="Times New Roman" w:hAnsi="Times New Roman" w:cs="Times New Roman"/>
          <w:sz w:val="24"/>
          <w:szCs w:val="24"/>
          <w:lang w:val="en-US"/>
        </w:rPr>
        <w:t xml:space="preserve">xecutor </w:t>
      </w:r>
      <w:r w:rsidR="00995613">
        <w:rPr>
          <w:rFonts w:ascii="Times New Roman" w:hAnsi="Times New Roman" w:cs="Times New Roman"/>
          <w:sz w:val="24"/>
          <w:szCs w:val="24"/>
          <w:lang w:val="en-US"/>
        </w:rPr>
        <w:t>D</w:t>
      </w:r>
      <w:r>
        <w:rPr>
          <w:rFonts w:ascii="Times New Roman" w:hAnsi="Times New Roman" w:cs="Times New Roman"/>
          <w:sz w:val="24"/>
          <w:szCs w:val="24"/>
          <w:lang w:val="en-US"/>
        </w:rPr>
        <w:t>ative of the deceased estate of the late Mapfumo Kunaka who died at Harare on 3 November 2001.  The estate file reference issued by the first respondent</w:t>
      </w:r>
      <w:r w:rsidR="00995613">
        <w:rPr>
          <w:rFonts w:ascii="Times New Roman" w:hAnsi="Times New Roman" w:cs="Times New Roman"/>
          <w:sz w:val="24"/>
          <w:szCs w:val="24"/>
          <w:lang w:val="en-US"/>
        </w:rPr>
        <w:t xml:space="preserve"> is DR 1467/16</w:t>
      </w:r>
      <w:r>
        <w:rPr>
          <w:rFonts w:ascii="Times New Roman" w:hAnsi="Times New Roman" w:cs="Times New Roman"/>
          <w:sz w:val="24"/>
          <w:szCs w:val="24"/>
          <w:lang w:val="en-US"/>
        </w:rPr>
        <w:t xml:space="preserve">.  The applicant was however removed as executor dative of the said estate by note of revocation of the </w:t>
      </w:r>
      <w:r w:rsidR="00C74900">
        <w:rPr>
          <w:rFonts w:ascii="Times New Roman" w:hAnsi="Times New Roman" w:cs="Times New Roman"/>
          <w:sz w:val="24"/>
          <w:szCs w:val="24"/>
          <w:lang w:val="en-US"/>
        </w:rPr>
        <w:t>L</w:t>
      </w:r>
      <w:r>
        <w:rPr>
          <w:rFonts w:ascii="Times New Roman" w:hAnsi="Times New Roman" w:cs="Times New Roman"/>
          <w:sz w:val="24"/>
          <w:szCs w:val="24"/>
          <w:lang w:val="en-US"/>
        </w:rPr>
        <w:t xml:space="preserve">etters of </w:t>
      </w:r>
      <w:r w:rsidR="00C74900">
        <w:rPr>
          <w:rFonts w:ascii="Times New Roman" w:hAnsi="Times New Roman" w:cs="Times New Roman"/>
          <w:sz w:val="24"/>
          <w:szCs w:val="24"/>
          <w:lang w:val="en-US"/>
        </w:rPr>
        <w:t>A</w:t>
      </w:r>
      <w:r>
        <w:rPr>
          <w:rFonts w:ascii="Times New Roman" w:hAnsi="Times New Roman" w:cs="Times New Roman"/>
          <w:sz w:val="24"/>
          <w:szCs w:val="24"/>
          <w:lang w:val="en-US"/>
        </w:rPr>
        <w:t>dministration</w:t>
      </w:r>
      <w:r w:rsidR="00C74900">
        <w:rPr>
          <w:rFonts w:ascii="Times New Roman" w:hAnsi="Times New Roman" w:cs="Times New Roman"/>
          <w:sz w:val="24"/>
          <w:szCs w:val="24"/>
          <w:lang w:val="en-US"/>
        </w:rPr>
        <w:t xml:space="preserve"> dated 18 December 2019.  By Letters of Administration</w:t>
      </w:r>
      <w:r>
        <w:rPr>
          <w:rFonts w:ascii="Times New Roman" w:hAnsi="Times New Roman" w:cs="Times New Roman"/>
          <w:sz w:val="24"/>
          <w:szCs w:val="24"/>
          <w:lang w:val="en-US"/>
        </w:rPr>
        <w:t xml:space="preserve"> issued on the same date the second respondent was appointed the executor dative to replace the applicant.</w:t>
      </w:r>
    </w:p>
    <w:p w14:paraId="196C38AF" w14:textId="79B13D32" w:rsidR="00A66FFF" w:rsidRDefault="00A66FFF" w:rsidP="00A66FF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applicant was aggrieved by her removal as </w:t>
      </w:r>
      <w:r w:rsidR="00C74900">
        <w:rPr>
          <w:rFonts w:ascii="Times New Roman" w:hAnsi="Times New Roman" w:cs="Times New Roman"/>
          <w:sz w:val="24"/>
          <w:szCs w:val="24"/>
          <w:lang w:val="en-US"/>
        </w:rPr>
        <w:t>E</w:t>
      </w:r>
      <w:r>
        <w:rPr>
          <w:rFonts w:ascii="Times New Roman" w:hAnsi="Times New Roman" w:cs="Times New Roman"/>
          <w:sz w:val="24"/>
          <w:szCs w:val="24"/>
          <w:lang w:val="en-US"/>
        </w:rPr>
        <w:t xml:space="preserve">xecutor </w:t>
      </w:r>
      <w:r w:rsidR="00C74900">
        <w:rPr>
          <w:rFonts w:ascii="Times New Roman" w:hAnsi="Times New Roman" w:cs="Times New Roman"/>
          <w:sz w:val="24"/>
          <w:szCs w:val="24"/>
          <w:lang w:val="en-US"/>
        </w:rPr>
        <w:t>D</w:t>
      </w:r>
      <w:r>
        <w:rPr>
          <w:rFonts w:ascii="Times New Roman" w:hAnsi="Times New Roman" w:cs="Times New Roman"/>
          <w:sz w:val="24"/>
          <w:szCs w:val="24"/>
          <w:lang w:val="en-US"/>
        </w:rPr>
        <w:t xml:space="preserve">ative.  The applicant averred that he was clandestinely removed from his position of </w:t>
      </w:r>
      <w:r w:rsidR="00C74900">
        <w:rPr>
          <w:rFonts w:ascii="Times New Roman" w:hAnsi="Times New Roman" w:cs="Times New Roman"/>
          <w:sz w:val="24"/>
          <w:szCs w:val="24"/>
          <w:lang w:val="en-US"/>
        </w:rPr>
        <w:t>E</w:t>
      </w:r>
      <w:r>
        <w:rPr>
          <w:rFonts w:ascii="Times New Roman" w:hAnsi="Times New Roman" w:cs="Times New Roman"/>
          <w:sz w:val="24"/>
          <w:szCs w:val="24"/>
          <w:lang w:val="en-US"/>
        </w:rPr>
        <w:t xml:space="preserve">xecutor </w:t>
      </w:r>
      <w:r w:rsidR="00C74900">
        <w:rPr>
          <w:rFonts w:ascii="Times New Roman" w:hAnsi="Times New Roman" w:cs="Times New Roman"/>
          <w:sz w:val="24"/>
          <w:szCs w:val="24"/>
          <w:lang w:val="en-US"/>
        </w:rPr>
        <w:t>D</w:t>
      </w:r>
      <w:r>
        <w:rPr>
          <w:rFonts w:ascii="Times New Roman" w:hAnsi="Times New Roman" w:cs="Times New Roman"/>
          <w:sz w:val="24"/>
          <w:szCs w:val="24"/>
          <w:lang w:val="en-US"/>
        </w:rPr>
        <w:t xml:space="preserve">ative.  He averred that the first respondent did not have power to “clandestinely” revoke the </w:t>
      </w:r>
      <w:r w:rsidR="00C74900">
        <w:rPr>
          <w:rFonts w:ascii="Times New Roman" w:hAnsi="Times New Roman" w:cs="Times New Roman"/>
          <w:sz w:val="24"/>
          <w:szCs w:val="24"/>
          <w:lang w:val="en-US"/>
        </w:rPr>
        <w:t>L</w:t>
      </w:r>
      <w:r>
        <w:rPr>
          <w:rFonts w:ascii="Times New Roman" w:hAnsi="Times New Roman" w:cs="Times New Roman"/>
          <w:sz w:val="24"/>
          <w:szCs w:val="24"/>
          <w:lang w:val="en-US"/>
        </w:rPr>
        <w:t xml:space="preserve">etters of </w:t>
      </w:r>
      <w:r w:rsidR="00C74900">
        <w:rPr>
          <w:rFonts w:ascii="Times New Roman" w:hAnsi="Times New Roman" w:cs="Times New Roman"/>
          <w:sz w:val="24"/>
          <w:szCs w:val="24"/>
          <w:lang w:val="en-US"/>
        </w:rPr>
        <w:t>A</w:t>
      </w:r>
      <w:r>
        <w:rPr>
          <w:rFonts w:ascii="Times New Roman" w:hAnsi="Times New Roman" w:cs="Times New Roman"/>
          <w:sz w:val="24"/>
          <w:szCs w:val="24"/>
          <w:lang w:val="en-US"/>
        </w:rPr>
        <w:t xml:space="preserve">dministration.  He averred that there was a purported meeting to enquire into the administration of the estate held on 13 September 2013 and that </w:t>
      </w:r>
      <w:r w:rsidR="00C74900">
        <w:rPr>
          <w:rFonts w:ascii="Times New Roman" w:hAnsi="Times New Roman" w:cs="Times New Roman"/>
          <w:sz w:val="24"/>
          <w:szCs w:val="24"/>
          <w:lang w:val="en-US"/>
        </w:rPr>
        <w:t>the applicant</w:t>
      </w:r>
      <w:r>
        <w:rPr>
          <w:rFonts w:ascii="Times New Roman" w:hAnsi="Times New Roman" w:cs="Times New Roman"/>
          <w:sz w:val="24"/>
          <w:szCs w:val="24"/>
          <w:lang w:val="en-US"/>
        </w:rPr>
        <w:t xml:space="preserve"> was purportedly removed as executor dative by consent of all interested parties.  </w:t>
      </w:r>
      <w:r w:rsidR="00C74900">
        <w:rPr>
          <w:rFonts w:ascii="Times New Roman" w:hAnsi="Times New Roman" w:cs="Times New Roman"/>
          <w:sz w:val="24"/>
          <w:szCs w:val="24"/>
          <w:lang w:val="en-US"/>
        </w:rPr>
        <w:t>Th</w:t>
      </w:r>
      <w:r>
        <w:rPr>
          <w:rFonts w:ascii="Times New Roman" w:hAnsi="Times New Roman" w:cs="Times New Roman"/>
          <w:sz w:val="24"/>
          <w:szCs w:val="24"/>
          <w:lang w:val="en-US"/>
        </w:rPr>
        <w:t xml:space="preserve">e </w:t>
      </w:r>
      <w:r w:rsidR="00C74900">
        <w:rPr>
          <w:rFonts w:ascii="Times New Roman" w:hAnsi="Times New Roman" w:cs="Times New Roman"/>
          <w:sz w:val="24"/>
          <w:szCs w:val="24"/>
          <w:lang w:val="en-US"/>
        </w:rPr>
        <w:t xml:space="preserve">applicant </w:t>
      </w:r>
      <w:r>
        <w:rPr>
          <w:rFonts w:ascii="Times New Roman" w:hAnsi="Times New Roman" w:cs="Times New Roman"/>
          <w:sz w:val="24"/>
          <w:szCs w:val="24"/>
          <w:lang w:val="en-US"/>
        </w:rPr>
        <w:t xml:space="preserve">alleged that he failed to attend the meeting due to circumstances beyond his control.  He did not </w:t>
      </w:r>
      <w:r w:rsidR="00C74900">
        <w:rPr>
          <w:rFonts w:ascii="Times New Roman" w:hAnsi="Times New Roman" w:cs="Times New Roman"/>
          <w:sz w:val="24"/>
          <w:szCs w:val="24"/>
          <w:lang w:val="en-US"/>
        </w:rPr>
        <w:t>detail</w:t>
      </w:r>
      <w:r>
        <w:rPr>
          <w:rFonts w:ascii="Times New Roman" w:hAnsi="Times New Roman" w:cs="Times New Roman"/>
          <w:sz w:val="24"/>
          <w:szCs w:val="24"/>
          <w:lang w:val="en-US"/>
        </w:rPr>
        <w:t xml:space="preserve"> the circumstances.</w:t>
      </w:r>
    </w:p>
    <w:p w14:paraId="2C9BBF0F" w14:textId="05C3E537" w:rsidR="00904F12" w:rsidRDefault="00904F12" w:rsidP="00A66FF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t xml:space="preserve">In relation to the process to remove </w:t>
      </w:r>
      <w:r w:rsidR="008C7EBA">
        <w:rPr>
          <w:rFonts w:ascii="Times New Roman" w:hAnsi="Times New Roman" w:cs="Times New Roman"/>
          <w:sz w:val="24"/>
          <w:szCs w:val="24"/>
          <w:lang w:val="en-US"/>
        </w:rPr>
        <w:t xml:space="preserve">him, </w:t>
      </w:r>
      <w:r>
        <w:rPr>
          <w:rFonts w:ascii="Times New Roman" w:hAnsi="Times New Roman" w:cs="Times New Roman"/>
          <w:sz w:val="24"/>
          <w:szCs w:val="24"/>
          <w:lang w:val="en-US"/>
        </w:rPr>
        <w:t>the applicant attached a copy of a letter by the second respondent dated 27 September 2019.  It reads as follows:</w:t>
      </w:r>
    </w:p>
    <w:p w14:paraId="608FD106" w14:textId="6D82E302" w:rsidR="00904F12" w:rsidRPr="00883EEE" w:rsidRDefault="00904F12" w:rsidP="00883EEE">
      <w:pPr>
        <w:spacing w:after="0" w:line="240" w:lineRule="auto"/>
        <w:jc w:val="both"/>
        <w:rPr>
          <w:rFonts w:ascii="Times New Roman" w:hAnsi="Times New Roman" w:cs="Times New Roman"/>
          <w:lang w:val="en-US"/>
        </w:rPr>
      </w:pPr>
      <w:r>
        <w:rPr>
          <w:rFonts w:ascii="Times New Roman" w:hAnsi="Times New Roman" w:cs="Times New Roman"/>
          <w:sz w:val="24"/>
          <w:szCs w:val="24"/>
          <w:lang w:val="en-US"/>
        </w:rPr>
        <w:tab/>
      </w:r>
      <w:r w:rsidRPr="00883EEE">
        <w:rPr>
          <w:rFonts w:ascii="Times New Roman" w:hAnsi="Times New Roman" w:cs="Times New Roman"/>
          <w:lang w:val="en-US"/>
        </w:rPr>
        <w:t>“27 September 2019</w:t>
      </w:r>
    </w:p>
    <w:p w14:paraId="514BBAF0" w14:textId="23C672DF" w:rsidR="00904F12" w:rsidRPr="00883EEE" w:rsidRDefault="00904F12" w:rsidP="00883EEE">
      <w:pPr>
        <w:spacing w:after="0" w:line="240" w:lineRule="auto"/>
        <w:jc w:val="both"/>
        <w:rPr>
          <w:rFonts w:ascii="Times New Roman" w:hAnsi="Times New Roman" w:cs="Times New Roman"/>
          <w:lang w:val="en-US"/>
        </w:rPr>
      </w:pPr>
      <w:r w:rsidRPr="00883EEE">
        <w:rPr>
          <w:rFonts w:ascii="Times New Roman" w:hAnsi="Times New Roman" w:cs="Times New Roman"/>
          <w:lang w:val="en-US"/>
        </w:rPr>
        <w:tab/>
        <w:t>Titan law</w:t>
      </w:r>
    </w:p>
    <w:p w14:paraId="0F31A0FE" w14:textId="74F1047C" w:rsidR="00904F12" w:rsidRPr="00883EEE" w:rsidRDefault="00904F12" w:rsidP="00883EEE">
      <w:pPr>
        <w:spacing w:after="0" w:line="240" w:lineRule="auto"/>
        <w:jc w:val="both"/>
        <w:rPr>
          <w:rFonts w:ascii="Times New Roman" w:hAnsi="Times New Roman" w:cs="Times New Roman"/>
          <w:lang w:val="en-US"/>
        </w:rPr>
      </w:pPr>
      <w:r w:rsidRPr="00883EEE">
        <w:rPr>
          <w:rFonts w:ascii="Times New Roman" w:hAnsi="Times New Roman" w:cs="Times New Roman"/>
          <w:lang w:val="en-US"/>
        </w:rPr>
        <w:tab/>
        <w:t>Cnr Piers Road -Fisher Avenue</w:t>
      </w:r>
    </w:p>
    <w:p w14:paraId="5D460474" w14:textId="689C2E59" w:rsidR="00904F12" w:rsidRPr="00883EEE" w:rsidRDefault="00904F12" w:rsidP="00883EEE">
      <w:pPr>
        <w:spacing w:after="0" w:line="240" w:lineRule="auto"/>
        <w:jc w:val="both"/>
        <w:rPr>
          <w:rFonts w:ascii="Times New Roman" w:hAnsi="Times New Roman" w:cs="Times New Roman"/>
          <w:bCs/>
          <w:lang w:val="en-US"/>
        </w:rPr>
      </w:pPr>
      <w:r w:rsidRPr="00883EEE">
        <w:rPr>
          <w:rFonts w:ascii="Times New Roman" w:hAnsi="Times New Roman" w:cs="Times New Roman"/>
          <w:lang w:val="en-US"/>
        </w:rPr>
        <w:tab/>
      </w:r>
      <w:r w:rsidRPr="00883EEE">
        <w:rPr>
          <w:rFonts w:ascii="Times New Roman" w:hAnsi="Times New Roman" w:cs="Times New Roman"/>
          <w:bCs/>
          <w:lang w:val="en-US"/>
        </w:rPr>
        <w:t>Borrowdale</w:t>
      </w:r>
    </w:p>
    <w:p w14:paraId="4AAAEEDD" w14:textId="1AFDE933" w:rsidR="00904F12" w:rsidRPr="00883EEE" w:rsidRDefault="00904F12" w:rsidP="00883EEE">
      <w:pPr>
        <w:spacing w:after="0" w:line="240" w:lineRule="auto"/>
        <w:jc w:val="both"/>
        <w:rPr>
          <w:rFonts w:ascii="Times New Roman" w:hAnsi="Times New Roman" w:cs="Times New Roman"/>
          <w:b/>
          <w:lang w:val="en-US"/>
        </w:rPr>
      </w:pPr>
      <w:r w:rsidRPr="00883EEE">
        <w:rPr>
          <w:rFonts w:ascii="Times New Roman" w:hAnsi="Times New Roman" w:cs="Times New Roman"/>
          <w:b/>
          <w:lang w:val="en-US"/>
        </w:rPr>
        <w:tab/>
        <w:t>Harare</w:t>
      </w:r>
    </w:p>
    <w:p w14:paraId="10CFE229" w14:textId="73C4BFB0" w:rsidR="00A66FFF" w:rsidRPr="00883EEE" w:rsidRDefault="00A66FFF" w:rsidP="00883EEE">
      <w:pPr>
        <w:spacing w:line="240" w:lineRule="auto"/>
        <w:jc w:val="both"/>
        <w:rPr>
          <w:rFonts w:ascii="Times New Roman" w:hAnsi="Times New Roman" w:cs="Times New Roman"/>
          <w:lang w:val="en-US"/>
        </w:rPr>
      </w:pPr>
    </w:p>
    <w:p w14:paraId="5DFAB26E" w14:textId="76FD3154" w:rsidR="00904F12" w:rsidRPr="00883EEE" w:rsidRDefault="00904F12" w:rsidP="00883EEE">
      <w:pPr>
        <w:spacing w:line="240" w:lineRule="auto"/>
        <w:jc w:val="both"/>
        <w:rPr>
          <w:rFonts w:ascii="Times New Roman" w:hAnsi="Times New Roman" w:cs="Times New Roman"/>
          <w:lang w:val="en-US"/>
        </w:rPr>
      </w:pPr>
      <w:r w:rsidRPr="00883EEE">
        <w:rPr>
          <w:rFonts w:ascii="Times New Roman" w:hAnsi="Times New Roman" w:cs="Times New Roman"/>
          <w:lang w:val="en-US"/>
        </w:rPr>
        <w:tab/>
        <w:t>Dear Sir/Madam</w:t>
      </w:r>
    </w:p>
    <w:p w14:paraId="6A5A4AD7" w14:textId="7F2FF8BA" w:rsidR="00904F12" w:rsidRPr="00883EEE" w:rsidRDefault="00904F12" w:rsidP="00883EEE">
      <w:pPr>
        <w:spacing w:line="240" w:lineRule="auto"/>
        <w:jc w:val="both"/>
        <w:rPr>
          <w:rFonts w:ascii="Times New Roman" w:hAnsi="Times New Roman" w:cs="Times New Roman"/>
          <w:u w:val="single"/>
          <w:lang w:val="en-US"/>
        </w:rPr>
      </w:pPr>
      <w:r w:rsidRPr="00883EEE">
        <w:rPr>
          <w:rFonts w:ascii="Times New Roman" w:hAnsi="Times New Roman" w:cs="Times New Roman"/>
          <w:lang w:val="en-US"/>
        </w:rPr>
        <w:tab/>
        <w:t>re:</w:t>
      </w:r>
      <w:r w:rsidRPr="00883EEE">
        <w:rPr>
          <w:rFonts w:ascii="Times New Roman" w:hAnsi="Times New Roman" w:cs="Times New Roman"/>
          <w:lang w:val="en-US"/>
        </w:rPr>
        <w:tab/>
      </w:r>
      <w:r w:rsidRPr="00883EEE">
        <w:rPr>
          <w:rFonts w:ascii="Times New Roman" w:hAnsi="Times New Roman" w:cs="Times New Roman"/>
          <w:u w:val="single"/>
          <w:lang w:val="en-US"/>
        </w:rPr>
        <w:t>ESTATE LATE MAPFUMO KUNAKA</w:t>
      </w:r>
    </w:p>
    <w:p w14:paraId="2164BB88" w14:textId="4628CA36" w:rsidR="00883EEE" w:rsidRPr="00883EEE" w:rsidRDefault="00883EEE" w:rsidP="00883EEE">
      <w:pPr>
        <w:spacing w:line="240" w:lineRule="auto"/>
        <w:jc w:val="both"/>
        <w:rPr>
          <w:rFonts w:ascii="Times New Roman" w:hAnsi="Times New Roman" w:cs="Times New Roman"/>
          <w:lang w:val="en-US"/>
        </w:rPr>
      </w:pPr>
      <w:r w:rsidRPr="00883EEE">
        <w:rPr>
          <w:rFonts w:ascii="Times New Roman" w:hAnsi="Times New Roman" w:cs="Times New Roman"/>
          <w:lang w:val="en-US"/>
        </w:rPr>
        <w:tab/>
        <w:t>The above matter refers.</w:t>
      </w:r>
    </w:p>
    <w:p w14:paraId="0C74FA03" w14:textId="365A08EC" w:rsidR="00883EEE" w:rsidRPr="00883EEE" w:rsidRDefault="00883EEE" w:rsidP="00883EEE">
      <w:pPr>
        <w:spacing w:line="240" w:lineRule="auto"/>
        <w:ind w:left="720"/>
        <w:jc w:val="both"/>
        <w:rPr>
          <w:rFonts w:ascii="Times New Roman" w:hAnsi="Times New Roman" w:cs="Times New Roman"/>
          <w:lang w:val="en-US"/>
        </w:rPr>
      </w:pPr>
      <w:r w:rsidRPr="00883EEE">
        <w:rPr>
          <w:rFonts w:ascii="Times New Roman" w:hAnsi="Times New Roman" w:cs="Times New Roman"/>
          <w:lang w:val="en-US"/>
        </w:rPr>
        <w:t>A</w:t>
      </w:r>
      <w:r w:rsidR="008C7EBA">
        <w:rPr>
          <w:rFonts w:ascii="Times New Roman" w:hAnsi="Times New Roman" w:cs="Times New Roman"/>
          <w:lang w:val="en-US"/>
        </w:rPr>
        <w:t>t</w:t>
      </w:r>
      <w:r w:rsidRPr="00883EEE">
        <w:rPr>
          <w:rFonts w:ascii="Times New Roman" w:hAnsi="Times New Roman" w:cs="Times New Roman"/>
          <w:lang w:val="en-US"/>
        </w:rPr>
        <w:t xml:space="preserve"> an enquiry held on 13 September 2019 in terms of section 116 of the Administration of Estates Act, [</w:t>
      </w:r>
      <w:r w:rsidRPr="00883EEE">
        <w:rPr>
          <w:rFonts w:ascii="Times New Roman" w:hAnsi="Times New Roman" w:cs="Times New Roman"/>
          <w:i/>
          <w:iCs/>
          <w:lang w:val="en-US"/>
        </w:rPr>
        <w:t>Chapter 6:01</w:t>
      </w:r>
      <w:r w:rsidRPr="00883EEE">
        <w:rPr>
          <w:rFonts w:ascii="Times New Roman" w:hAnsi="Times New Roman" w:cs="Times New Roman"/>
          <w:lang w:val="en-US"/>
        </w:rPr>
        <w:t>], it was resolved with the consent of interested parties that the Master appoints a professional executor.  It is against this background and we call upon your Mr Tawanda Maguhudze to call in an take up appointment as an independent executor.</w:t>
      </w:r>
    </w:p>
    <w:p w14:paraId="0DC3BB2B" w14:textId="564CE3C8" w:rsidR="00883EEE" w:rsidRPr="00883EEE" w:rsidRDefault="00883EEE" w:rsidP="00883EEE">
      <w:pPr>
        <w:spacing w:line="240" w:lineRule="auto"/>
        <w:ind w:left="720"/>
        <w:jc w:val="both"/>
        <w:rPr>
          <w:rFonts w:ascii="Times New Roman" w:hAnsi="Times New Roman" w:cs="Times New Roman"/>
          <w:lang w:val="en-US"/>
        </w:rPr>
      </w:pPr>
      <w:r w:rsidRPr="00883EEE">
        <w:rPr>
          <w:rFonts w:ascii="Times New Roman" w:hAnsi="Times New Roman" w:cs="Times New Roman"/>
          <w:lang w:val="en-US"/>
        </w:rPr>
        <w:t>Meanwhile interested parties are by copy of this letter advised of your appointment.”</w:t>
      </w:r>
    </w:p>
    <w:p w14:paraId="5ECB61EC" w14:textId="5E9C22DC" w:rsidR="00883EEE" w:rsidRDefault="00883EEE" w:rsidP="00883EE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A copy of the letter was directed to the applicant who obviously was an interested party as the executor dative affected by the decision to revoke his appointment and </w:t>
      </w:r>
      <w:r w:rsidR="008C7EBA">
        <w:rPr>
          <w:rFonts w:ascii="Times New Roman" w:hAnsi="Times New Roman" w:cs="Times New Roman"/>
          <w:sz w:val="24"/>
          <w:szCs w:val="24"/>
          <w:lang w:val="en-US"/>
        </w:rPr>
        <w:t xml:space="preserve">the </w:t>
      </w:r>
      <w:r>
        <w:rPr>
          <w:rFonts w:ascii="Times New Roman" w:hAnsi="Times New Roman" w:cs="Times New Roman"/>
          <w:sz w:val="24"/>
          <w:szCs w:val="24"/>
          <w:lang w:val="en-US"/>
        </w:rPr>
        <w:t>appoint</w:t>
      </w:r>
      <w:r w:rsidR="008C7EBA">
        <w:rPr>
          <w:rFonts w:ascii="Times New Roman" w:hAnsi="Times New Roman" w:cs="Times New Roman"/>
          <w:sz w:val="24"/>
          <w:szCs w:val="24"/>
          <w:lang w:val="en-US"/>
        </w:rPr>
        <w:t>ment</w:t>
      </w:r>
      <w:r>
        <w:rPr>
          <w:rFonts w:ascii="Times New Roman" w:hAnsi="Times New Roman" w:cs="Times New Roman"/>
          <w:sz w:val="24"/>
          <w:szCs w:val="24"/>
          <w:lang w:val="en-US"/>
        </w:rPr>
        <w:t xml:space="preserve"> in his place </w:t>
      </w:r>
      <w:r w:rsidR="008C7EBA">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another executor dative.  The person referred to in the letter aforesaid did not appear to have taken up the offer to be the </w:t>
      </w:r>
      <w:r w:rsidR="008C7EBA">
        <w:rPr>
          <w:rFonts w:ascii="Times New Roman" w:hAnsi="Times New Roman" w:cs="Times New Roman"/>
          <w:sz w:val="24"/>
          <w:szCs w:val="24"/>
          <w:lang w:val="en-US"/>
        </w:rPr>
        <w:t xml:space="preserve">successor </w:t>
      </w:r>
      <w:r>
        <w:rPr>
          <w:rFonts w:ascii="Times New Roman" w:hAnsi="Times New Roman" w:cs="Times New Roman"/>
          <w:sz w:val="24"/>
          <w:szCs w:val="24"/>
          <w:lang w:val="en-US"/>
        </w:rPr>
        <w:t>executor dative</w:t>
      </w:r>
      <w:r w:rsidR="008C7EB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8C7EBA">
        <w:rPr>
          <w:rFonts w:ascii="Times New Roman" w:hAnsi="Times New Roman" w:cs="Times New Roman"/>
          <w:sz w:val="24"/>
          <w:szCs w:val="24"/>
          <w:lang w:val="en-US"/>
        </w:rPr>
        <w:t>T</w:t>
      </w:r>
      <w:r>
        <w:rPr>
          <w:rFonts w:ascii="Times New Roman" w:hAnsi="Times New Roman" w:cs="Times New Roman"/>
          <w:sz w:val="24"/>
          <w:szCs w:val="24"/>
          <w:lang w:val="en-US"/>
        </w:rPr>
        <w:t>he second respondent was then appointed as the executor dative on 19 December 2019.</w:t>
      </w:r>
    </w:p>
    <w:p w14:paraId="0D032C3A" w14:textId="34C20998" w:rsidR="00883EEE" w:rsidRDefault="00883EEE" w:rsidP="00883EE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applicant i</w:t>
      </w:r>
      <w:r w:rsidR="00905FE3">
        <w:rPr>
          <w:rFonts w:ascii="Times New Roman" w:hAnsi="Times New Roman" w:cs="Times New Roman"/>
          <w:sz w:val="24"/>
          <w:szCs w:val="24"/>
          <w:lang w:val="en-US"/>
        </w:rPr>
        <w:t>n contesting his removal as the executor dative averred that he had a substantial if not direct interest in the subject matter of the application and that his interest related to an existing right being th</w:t>
      </w:r>
      <w:r w:rsidR="00FA573D">
        <w:rPr>
          <w:rFonts w:ascii="Times New Roman" w:hAnsi="Times New Roman" w:cs="Times New Roman"/>
          <w:sz w:val="24"/>
          <w:szCs w:val="24"/>
          <w:lang w:val="en-US"/>
        </w:rPr>
        <w:t>e</w:t>
      </w:r>
      <w:r w:rsidR="00905FE3">
        <w:rPr>
          <w:rFonts w:ascii="Times New Roman" w:hAnsi="Times New Roman" w:cs="Times New Roman"/>
          <w:sz w:val="24"/>
          <w:szCs w:val="24"/>
          <w:lang w:val="en-US"/>
        </w:rPr>
        <w:t xml:space="preserve"> position of executor dative of the estate in issue.  The applicant contended that an executor could only be removed by order of court.  The applicant </w:t>
      </w:r>
      <w:r w:rsidR="00FA573D">
        <w:rPr>
          <w:rFonts w:ascii="Times New Roman" w:hAnsi="Times New Roman" w:cs="Times New Roman"/>
          <w:sz w:val="24"/>
          <w:szCs w:val="24"/>
          <w:lang w:val="en-US"/>
        </w:rPr>
        <w:t xml:space="preserve">also </w:t>
      </w:r>
      <w:r w:rsidR="00905FE3">
        <w:rPr>
          <w:rFonts w:ascii="Times New Roman" w:hAnsi="Times New Roman" w:cs="Times New Roman"/>
          <w:sz w:val="24"/>
          <w:szCs w:val="24"/>
          <w:lang w:val="en-US"/>
        </w:rPr>
        <w:t xml:space="preserve">averred that no one had filed a motion in court for </w:t>
      </w:r>
      <w:r w:rsidR="00FA573D">
        <w:rPr>
          <w:rFonts w:ascii="Times New Roman" w:hAnsi="Times New Roman" w:cs="Times New Roman"/>
          <w:sz w:val="24"/>
          <w:szCs w:val="24"/>
          <w:lang w:val="en-US"/>
        </w:rPr>
        <w:t xml:space="preserve">his </w:t>
      </w:r>
      <w:r w:rsidR="00905FE3">
        <w:rPr>
          <w:rFonts w:ascii="Times New Roman" w:hAnsi="Times New Roman" w:cs="Times New Roman"/>
          <w:sz w:val="24"/>
          <w:szCs w:val="24"/>
          <w:lang w:val="en-US"/>
        </w:rPr>
        <w:t>removal.  In paragraph 12.3 of the founding affidavit, the applicant deposed as follows:</w:t>
      </w:r>
    </w:p>
    <w:p w14:paraId="6CC7E439" w14:textId="5F187F13" w:rsidR="00905FE3" w:rsidRPr="00AF5FDE" w:rsidRDefault="00905FE3" w:rsidP="00AF5FDE">
      <w:pPr>
        <w:spacing w:line="240" w:lineRule="auto"/>
        <w:ind w:left="720"/>
        <w:jc w:val="both"/>
        <w:rPr>
          <w:rFonts w:ascii="Times New Roman" w:hAnsi="Times New Roman" w:cs="Times New Roman"/>
          <w:sz w:val="24"/>
          <w:szCs w:val="24"/>
          <w:lang w:val="en-US"/>
        </w:rPr>
      </w:pPr>
      <w:r w:rsidRPr="00AF5FDE">
        <w:rPr>
          <w:rFonts w:ascii="Times New Roman" w:hAnsi="Times New Roman" w:cs="Times New Roman"/>
          <w:sz w:val="24"/>
          <w:szCs w:val="24"/>
          <w:lang w:val="en-US"/>
        </w:rPr>
        <w:t>“12.3.  The power to remove or suspend an executor is clearly re</w:t>
      </w:r>
      <w:r w:rsidR="00AF5FDE" w:rsidRPr="00AF5FDE">
        <w:rPr>
          <w:rFonts w:ascii="Times New Roman" w:hAnsi="Times New Roman" w:cs="Times New Roman"/>
          <w:sz w:val="24"/>
          <w:szCs w:val="24"/>
          <w:lang w:val="en-US"/>
        </w:rPr>
        <w:t>posed in the High Court of Zimbabwe by way of motion and without any order of the High Court or judge thereof, there cannot be a valid and competent removal of an execut</w:t>
      </w:r>
      <w:r w:rsidR="00FA573D">
        <w:rPr>
          <w:rFonts w:ascii="Times New Roman" w:hAnsi="Times New Roman" w:cs="Times New Roman"/>
          <w:sz w:val="24"/>
          <w:szCs w:val="24"/>
          <w:lang w:val="en-US"/>
        </w:rPr>
        <w:t>or</w:t>
      </w:r>
      <w:r w:rsidR="00AF5FDE" w:rsidRPr="00AF5FDE">
        <w:rPr>
          <w:rFonts w:ascii="Times New Roman" w:hAnsi="Times New Roman" w:cs="Times New Roman"/>
          <w:sz w:val="24"/>
          <w:szCs w:val="24"/>
          <w:lang w:val="en-US"/>
        </w:rPr>
        <w:t>.”</w:t>
      </w:r>
    </w:p>
    <w:p w14:paraId="2205EBC0" w14:textId="36AB7062" w:rsidR="00AF5FDE" w:rsidRDefault="00AF5FDE" w:rsidP="00AF5FDE">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applicant further averred that even though he failed to attend the enquiry at which the decision to remove him as executor was reached, such default did not clothe the first respondent with power to remove the applicant as executor because the power to do so resided in the High Court.</w:t>
      </w:r>
    </w:p>
    <w:p w14:paraId="6A032EA6" w14:textId="0F38F5F2" w:rsidR="00AF5FDE" w:rsidRDefault="00AF5FDE" w:rsidP="00AF5FDE">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The applicant averred that the appointment of the second respondent as executor dative was irregular because it was founded upon an invalid removal of the applicant as executor dative.  The applicant averred that he only became aware of the appointment of the second respondent as executor in the applicant’s place upon receiving a letter dated 29 October 2020 from the second respondent which directed tenant</w:t>
      </w:r>
      <w:r w:rsidR="00FA573D">
        <w:rPr>
          <w:rFonts w:ascii="Times New Roman" w:hAnsi="Times New Roman" w:cs="Times New Roman"/>
          <w:sz w:val="24"/>
          <w:szCs w:val="24"/>
          <w:lang w:val="en-US"/>
        </w:rPr>
        <w:t>s</w:t>
      </w:r>
      <w:r>
        <w:rPr>
          <w:rFonts w:ascii="Times New Roman" w:hAnsi="Times New Roman" w:cs="Times New Roman"/>
          <w:sz w:val="24"/>
          <w:szCs w:val="24"/>
          <w:lang w:val="en-US"/>
        </w:rPr>
        <w:t xml:space="preserve"> occupying an estate property situate at Chikwanha Shopping Centre, Chiutungwiza to now pay rentals to the legal practitioners chosen by the second respondent to act for her in her capacity of execution dative of the estate in question.</w:t>
      </w:r>
    </w:p>
    <w:p w14:paraId="34712DE3" w14:textId="4155AF75" w:rsidR="00AF5FDE" w:rsidRDefault="00AF5FDE" w:rsidP="00AF5FDE">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applicant thus seeks the relief of a declaratory order as set out</w:t>
      </w:r>
      <w:r w:rsidR="00894BEE">
        <w:rPr>
          <w:rFonts w:ascii="Times New Roman" w:hAnsi="Times New Roman" w:cs="Times New Roman"/>
          <w:sz w:val="24"/>
          <w:szCs w:val="24"/>
          <w:lang w:val="en-US"/>
        </w:rPr>
        <w:t xml:space="preserve"> in his draft order which he co</w:t>
      </w:r>
      <w:r w:rsidR="00FA573D">
        <w:rPr>
          <w:rFonts w:ascii="Times New Roman" w:hAnsi="Times New Roman" w:cs="Times New Roman"/>
          <w:sz w:val="24"/>
          <w:szCs w:val="24"/>
          <w:lang w:val="en-US"/>
        </w:rPr>
        <w:t>uche</w:t>
      </w:r>
      <w:r w:rsidR="00894BEE">
        <w:rPr>
          <w:rFonts w:ascii="Times New Roman" w:hAnsi="Times New Roman" w:cs="Times New Roman"/>
          <w:sz w:val="24"/>
          <w:szCs w:val="24"/>
          <w:lang w:val="en-US"/>
        </w:rPr>
        <w:t>d as follows:</w:t>
      </w:r>
    </w:p>
    <w:p w14:paraId="67EA53E1" w14:textId="56A03234" w:rsidR="00894BEE" w:rsidRDefault="00894BEE" w:rsidP="00AF5FDE">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“IT IS ORDEERED THAT:</w:t>
      </w:r>
    </w:p>
    <w:p w14:paraId="5AB2D5FF" w14:textId="57327F8E" w:rsidR="00894BEE" w:rsidRDefault="00894BEE" w:rsidP="00894BEE">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appointment of the 2</w:t>
      </w:r>
      <w:r w:rsidRPr="00894BEE">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respondent as executor dative in the Estate of late Mapfumo Kunaka DR 1467/16 by the 1</w:t>
      </w:r>
      <w:r w:rsidRPr="00894BEE">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respondent be and is hereby declared null and void.</w:t>
      </w:r>
    </w:p>
    <w:p w14:paraId="475458CE" w14:textId="77585422" w:rsidR="00894BEE" w:rsidRDefault="00894BEE" w:rsidP="00894BEE">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Any and all acts purportedly performed by the 2</w:t>
      </w:r>
      <w:r w:rsidRPr="00894BEE">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respondent consequent to the invalid appointment be and are hereby declared null and void.</w:t>
      </w:r>
    </w:p>
    <w:p w14:paraId="12A088B3" w14:textId="32E2621B" w:rsidR="00894BEE" w:rsidRDefault="00894BEE" w:rsidP="00894BEE">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applicant be and is hereby declared to be the duly appointed executor in the Estate of the late Mapfumo Kunaka DR 1467/16 as per letters of administration dated 23 August 2016.</w:t>
      </w:r>
    </w:p>
    <w:p w14:paraId="31DA69FF" w14:textId="64A3D7B4" w:rsidR="00FD3C44" w:rsidRDefault="00FD3C44" w:rsidP="00894BEE">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Any party who opposed this application shall pay costs of suit.”</w:t>
      </w:r>
    </w:p>
    <w:p w14:paraId="33BA3E4D" w14:textId="10F2769D" w:rsidR="00FD3C44" w:rsidRDefault="00FD3C44" w:rsidP="00FD3C44">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second respondent did not oppose the application.  The first respondent filed a Master’s report and indicated that the report was being filed pursuant to the provisions of Order 32 r 248 of th</w:t>
      </w:r>
      <w:r w:rsidR="00EC2B2A">
        <w:rPr>
          <w:rFonts w:ascii="Times New Roman" w:hAnsi="Times New Roman" w:cs="Times New Roman"/>
          <w:sz w:val="24"/>
          <w:szCs w:val="24"/>
          <w:lang w:val="en-US"/>
        </w:rPr>
        <w:t>e High Court Rules 1971 (then in force0.  The applicant filed an answering affidavit in which he objected to the first respondent’s report on the basis that the first respondent was in this instance the principal respondent as opposed to him/her having been cited in a nominal capacity to comply with order 32 r 248.  The applicant averred that since the first respondent had not filed an opposing notice and opposing affidavit as required of him/her i</w:t>
      </w:r>
      <w:r w:rsidR="00446F94">
        <w:rPr>
          <w:rFonts w:ascii="Times New Roman" w:hAnsi="Times New Roman" w:cs="Times New Roman"/>
          <w:sz w:val="24"/>
          <w:szCs w:val="24"/>
          <w:lang w:val="en-US"/>
        </w:rPr>
        <w:t xml:space="preserve">t meant that </w:t>
      </w:r>
      <w:r w:rsidR="00EC2B2A">
        <w:rPr>
          <w:rFonts w:ascii="Times New Roman" w:hAnsi="Times New Roman" w:cs="Times New Roman"/>
          <w:sz w:val="24"/>
          <w:szCs w:val="24"/>
          <w:lang w:val="en-US"/>
        </w:rPr>
        <w:t>there was no valid opposition filed by the first respondent</w:t>
      </w:r>
      <w:r w:rsidR="00446F94">
        <w:rPr>
          <w:rFonts w:ascii="Times New Roman" w:hAnsi="Times New Roman" w:cs="Times New Roman"/>
          <w:sz w:val="24"/>
          <w:szCs w:val="24"/>
          <w:lang w:val="en-US"/>
        </w:rPr>
        <w:t>.  The applicant contended</w:t>
      </w:r>
      <w:r w:rsidR="00EC2B2A">
        <w:rPr>
          <w:rFonts w:ascii="Times New Roman" w:hAnsi="Times New Roman" w:cs="Times New Roman"/>
          <w:sz w:val="24"/>
          <w:szCs w:val="24"/>
          <w:lang w:val="en-US"/>
        </w:rPr>
        <w:t xml:space="preserve"> that the application</w:t>
      </w:r>
      <w:r>
        <w:rPr>
          <w:rFonts w:ascii="Times New Roman" w:hAnsi="Times New Roman" w:cs="Times New Roman"/>
          <w:sz w:val="24"/>
          <w:szCs w:val="24"/>
          <w:lang w:val="en-US"/>
        </w:rPr>
        <w:t xml:space="preserve"> </w:t>
      </w:r>
      <w:r w:rsidR="00774127">
        <w:rPr>
          <w:rFonts w:ascii="Times New Roman" w:hAnsi="Times New Roman" w:cs="Times New Roman"/>
          <w:sz w:val="24"/>
          <w:szCs w:val="24"/>
          <w:lang w:val="en-US"/>
        </w:rPr>
        <w:t>ought to be treated as unopposed and the order sought be in consequence granted.</w:t>
      </w:r>
    </w:p>
    <w:p w14:paraId="48922C48" w14:textId="5726E8B5" w:rsidR="00774127" w:rsidRDefault="00774127" w:rsidP="00FD3C44">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I deal with the issue of whether or not there was a valid opposition to the application filed by the first respondent.  It is clear from the application that the first respondent was cited as the principal wrongdoer whose actions in revoking the letters of administration issued to the applicant are challenged on review.  The notice of court application called upon the first and second respondents if they intended to oppose the application “to file a notice of opposition in Form No. 29A, together with one or more opposing affidavits with the Registrar of the High Court at Harare within 10 days after the date on which notice was served</w:t>
      </w:r>
      <w:r w:rsidR="00E121D3">
        <w:rPr>
          <w:rFonts w:ascii="Times New Roman" w:hAnsi="Times New Roman" w:cs="Times New Roman"/>
          <w:sz w:val="24"/>
          <w:szCs w:val="24"/>
          <w:lang w:val="en-US"/>
        </w:rPr>
        <w:t>” u</w:t>
      </w:r>
      <w:r>
        <w:rPr>
          <w:rFonts w:ascii="Times New Roman" w:hAnsi="Times New Roman" w:cs="Times New Roman"/>
          <w:sz w:val="24"/>
          <w:szCs w:val="24"/>
          <w:lang w:val="en-US"/>
        </w:rPr>
        <w:t>pon them.  It is noted that the first respondent filed a report which he purportedly compiled in terms of order 32 r 248.  The first respondent did not file a notice of opposition or an opposing affidavit.</w:t>
      </w:r>
    </w:p>
    <w:p w14:paraId="361A0BBA" w14:textId="3A5F927E" w:rsidR="00774127" w:rsidRDefault="00774127" w:rsidP="00FD3C44">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applicant took up the issue of the invalidity of the Master’s Report standing a</w:t>
      </w:r>
      <w:r w:rsidR="00E121D3">
        <w:rPr>
          <w:rFonts w:ascii="Times New Roman" w:hAnsi="Times New Roman" w:cs="Times New Roman"/>
          <w:sz w:val="24"/>
          <w:szCs w:val="24"/>
          <w:lang w:val="en-US"/>
        </w:rPr>
        <w:t>lone</w:t>
      </w:r>
      <w:r>
        <w:rPr>
          <w:rFonts w:ascii="Times New Roman" w:hAnsi="Times New Roman" w:cs="Times New Roman"/>
          <w:sz w:val="24"/>
          <w:szCs w:val="24"/>
          <w:lang w:val="en-US"/>
        </w:rPr>
        <w:t xml:space="preserve"> as a purported opposition to the application.  The issue here is whether or not the first respondent ought to have filed a formal opposition in the form of a form 29A notice of opposition and an opposing affidavit.  In this regard, note should be made that the principal basis of seeking the setting aside of the revocation order of the applicant’s</w:t>
      </w:r>
      <w:r w:rsidR="00421159">
        <w:rPr>
          <w:rFonts w:ascii="Times New Roman" w:hAnsi="Times New Roman" w:cs="Times New Roman"/>
          <w:sz w:val="24"/>
          <w:szCs w:val="24"/>
          <w:lang w:val="en-US"/>
        </w:rPr>
        <w:t xml:space="preserve"> letters of administration is that the first respondent exercised a </w:t>
      </w:r>
      <w:r w:rsidR="00421159" w:rsidRPr="00421159">
        <w:rPr>
          <w:rFonts w:ascii="Times New Roman" w:hAnsi="Times New Roman" w:cs="Times New Roman"/>
          <w:i/>
          <w:iCs/>
          <w:sz w:val="24"/>
          <w:szCs w:val="24"/>
          <w:lang w:val="en-US"/>
        </w:rPr>
        <w:t>quasi</w:t>
      </w:r>
      <w:r w:rsidR="00421159">
        <w:rPr>
          <w:rFonts w:ascii="Times New Roman" w:hAnsi="Times New Roman" w:cs="Times New Roman"/>
          <w:sz w:val="24"/>
          <w:szCs w:val="24"/>
          <w:lang w:val="en-US"/>
        </w:rPr>
        <w:t xml:space="preserve">-judicial power that he does not have.  Specifically, the applicant averred that the provisions of ss 116 and 117 of the Administration of Estates Act.  The applicant therefore impugns an alleged irregular act committed by the first respondent in the exercise of functions given to him by statute.  The first respondent does not or should not take sides where his decision is under challenge as to do so would be construed as being partial towards one party against the other.  The other point of not is that the first respondent in the absence of any provision of the law which allows for a revisitation of his order would have become </w:t>
      </w:r>
      <w:r w:rsidR="00421159" w:rsidRPr="00421159">
        <w:rPr>
          <w:rFonts w:ascii="Times New Roman" w:hAnsi="Times New Roman" w:cs="Times New Roman"/>
          <w:i/>
          <w:iCs/>
          <w:sz w:val="24"/>
          <w:szCs w:val="24"/>
          <w:lang w:val="en-US"/>
        </w:rPr>
        <w:t>functus officio</w:t>
      </w:r>
      <w:r w:rsidR="00421159">
        <w:rPr>
          <w:rFonts w:ascii="Times New Roman" w:hAnsi="Times New Roman" w:cs="Times New Roman"/>
          <w:sz w:val="24"/>
          <w:szCs w:val="24"/>
          <w:lang w:val="en-US"/>
        </w:rPr>
        <w:t xml:space="preserve"> upon making his determination.  Therefore, he cannot be required to answer a review application upon the pain of being barred and/or having a default judgment entered against him.</w:t>
      </w:r>
    </w:p>
    <w:p w14:paraId="7E3DC303" w14:textId="153D788F" w:rsidR="00421159" w:rsidRDefault="00421159" w:rsidP="00FD3C44">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In my understanding and generally speaking and in the absence of any law to the contrary or permitting</w:t>
      </w:r>
      <w:r w:rsidR="00E121D3">
        <w:rPr>
          <w:rFonts w:ascii="Times New Roman" w:hAnsi="Times New Roman" w:cs="Times New Roman"/>
          <w:sz w:val="24"/>
          <w:szCs w:val="24"/>
          <w:lang w:val="en-US"/>
        </w:rPr>
        <w:t>,</w:t>
      </w:r>
      <w:r>
        <w:rPr>
          <w:rFonts w:ascii="Times New Roman" w:hAnsi="Times New Roman" w:cs="Times New Roman"/>
          <w:sz w:val="24"/>
          <w:szCs w:val="24"/>
          <w:lang w:val="en-US"/>
        </w:rPr>
        <w:t xml:space="preserve"> the maker of a reviewable decision is cited as a party on review not because </w:t>
      </w:r>
      <w:r w:rsidR="003B67BD">
        <w:rPr>
          <w:rFonts w:ascii="Times New Roman" w:hAnsi="Times New Roman" w:cs="Times New Roman"/>
          <w:sz w:val="24"/>
          <w:szCs w:val="24"/>
          <w:lang w:val="en-US"/>
        </w:rPr>
        <w:t>he is under sanction to respond or face consequences of default but because the law requires that such decision maker should be cited.  Rule 62(1) of the High Court Rules, 2021 provides as follows:</w:t>
      </w:r>
    </w:p>
    <w:p w14:paraId="67712E5E" w14:textId="1DA2C792" w:rsidR="003B67BD" w:rsidRPr="0054218D" w:rsidRDefault="003B67BD" w:rsidP="0054218D">
      <w:pPr>
        <w:spacing w:line="240" w:lineRule="auto"/>
        <w:ind w:left="720"/>
        <w:jc w:val="both"/>
        <w:rPr>
          <w:rFonts w:ascii="Times New Roman" w:hAnsi="Times New Roman" w:cs="Times New Roman"/>
          <w:lang w:val="en-US"/>
        </w:rPr>
      </w:pPr>
      <w:r w:rsidRPr="0054218D">
        <w:rPr>
          <w:rFonts w:ascii="Times New Roman" w:hAnsi="Times New Roman" w:cs="Times New Roman"/>
          <w:lang w:val="en-US"/>
        </w:rPr>
        <w:t xml:space="preserve">“62(1) Save where any laws otherwise provides, any proceedings to bring under review the decision or proceedings of any inferior court or any tribunal, board or officer performing judicial quasi-judicial or administrative functions, shall be by way of court application directed and delivered by the party seeking to review such decision or proceedings to the magistrate, </w:t>
      </w:r>
      <w:r w:rsidRPr="0054218D">
        <w:rPr>
          <w:rFonts w:ascii="Times New Roman" w:hAnsi="Times New Roman" w:cs="Times New Roman"/>
          <w:lang w:val="en-US"/>
        </w:rPr>
        <w:lastRenderedPageBreak/>
        <w:t>presiding officer or chairperson of the court, tribunal or board or to the officer as the case may be and to all other interested parties.”</w:t>
      </w:r>
    </w:p>
    <w:p w14:paraId="499B54ED" w14:textId="77777777" w:rsidR="007C15BF" w:rsidRDefault="003B67BD" w:rsidP="0054218D">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Sub-rule</w:t>
      </w:r>
      <w:r w:rsidR="004002B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(5) of s 62 reposes upon the clerk of court whose </w:t>
      </w:r>
      <w:r w:rsidR="004002B9">
        <w:rPr>
          <w:rFonts w:ascii="Times New Roman" w:hAnsi="Times New Roman" w:cs="Times New Roman"/>
          <w:sz w:val="24"/>
          <w:szCs w:val="24"/>
          <w:lang w:val="en-US"/>
        </w:rPr>
        <w:t xml:space="preserve">proceedings are brought on review or the tribunal, board or officer who exercised the </w:t>
      </w:r>
      <w:r w:rsidR="004002B9" w:rsidRPr="0054218D">
        <w:rPr>
          <w:rFonts w:ascii="Times New Roman" w:hAnsi="Times New Roman" w:cs="Times New Roman"/>
          <w:i/>
          <w:iCs/>
          <w:sz w:val="24"/>
          <w:szCs w:val="24"/>
          <w:lang w:val="en-US"/>
        </w:rPr>
        <w:t>quasi</w:t>
      </w:r>
      <w:r w:rsidR="004002B9">
        <w:rPr>
          <w:rFonts w:ascii="Times New Roman" w:hAnsi="Times New Roman" w:cs="Times New Roman"/>
          <w:sz w:val="24"/>
          <w:szCs w:val="24"/>
          <w:lang w:val="en-US"/>
        </w:rPr>
        <w:t>-judicial functions</w:t>
      </w:r>
      <w:r w:rsidR="0054218D">
        <w:rPr>
          <w:rFonts w:ascii="Times New Roman" w:hAnsi="Times New Roman" w:cs="Times New Roman"/>
          <w:sz w:val="24"/>
          <w:szCs w:val="24"/>
          <w:lang w:val="en-US"/>
        </w:rPr>
        <w:t xml:space="preserve"> to be reviewed to prepare and transmit the record of proceedings to the reviewing court withing twelve (12) days of service of the review application.  It would appear obvious that r 623(1) requires that the application for review should be directed and delivered on the presiding officer because it is his or her duty in the case of the magistrate’s decision being placed on review to ensure that the clerk of court and in any other case the determining board, tribunal or officer to forward the record of proceedings on revie</w:t>
      </w:r>
      <w:r w:rsidR="00311645">
        <w:rPr>
          <w:rFonts w:ascii="Times New Roman" w:hAnsi="Times New Roman" w:cs="Times New Roman"/>
          <w:sz w:val="24"/>
          <w:szCs w:val="24"/>
          <w:lang w:val="en-US"/>
        </w:rPr>
        <w:t>w as the reviewing court would not be having the record.  Put simply by directing and serving the application, the rationale is not to require the determining body to defend its determination but to enable the process of having the proceedings sought to be reviewed being prepared for review as opposed to supporting or justifying his decision.</w:t>
      </w:r>
      <w:r w:rsidR="00662250">
        <w:rPr>
          <w:rFonts w:ascii="Times New Roman" w:hAnsi="Times New Roman" w:cs="Times New Roman"/>
          <w:sz w:val="24"/>
          <w:szCs w:val="24"/>
          <w:lang w:val="en-US"/>
        </w:rPr>
        <w:t xml:space="preserve"> </w:t>
      </w:r>
      <w:r w:rsidR="0054218D">
        <w:rPr>
          <w:rFonts w:ascii="Times New Roman" w:hAnsi="Times New Roman" w:cs="Times New Roman"/>
          <w:sz w:val="24"/>
          <w:szCs w:val="24"/>
          <w:lang w:val="en-US"/>
        </w:rPr>
        <w:t xml:space="preserve">    </w:t>
      </w:r>
    </w:p>
    <w:p w14:paraId="18F38E47" w14:textId="3A20BE9E" w:rsidR="006271BF" w:rsidRDefault="007C15BF" w:rsidP="007C15BF">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the case of </w:t>
      </w:r>
      <w:r w:rsidRPr="007C15BF">
        <w:rPr>
          <w:rFonts w:ascii="Times New Roman" w:hAnsi="Times New Roman" w:cs="Times New Roman"/>
          <w:i/>
          <w:iCs/>
          <w:sz w:val="24"/>
          <w:szCs w:val="24"/>
          <w:lang w:val="en-US"/>
        </w:rPr>
        <w:t>Crispen Chiremba</w:t>
      </w:r>
      <w:r>
        <w:rPr>
          <w:rFonts w:ascii="Times New Roman" w:hAnsi="Times New Roman" w:cs="Times New Roman"/>
          <w:sz w:val="24"/>
          <w:szCs w:val="24"/>
          <w:lang w:val="en-US"/>
        </w:rPr>
        <w:t xml:space="preserve"> v </w:t>
      </w:r>
      <w:r w:rsidRPr="007C15BF">
        <w:rPr>
          <w:rFonts w:ascii="Times New Roman" w:hAnsi="Times New Roman" w:cs="Times New Roman"/>
          <w:i/>
          <w:iCs/>
          <w:sz w:val="24"/>
          <w:szCs w:val="24"/>
          <w:lang w:val="en-US"/>
        </w:rPr>
        <w:t>Superintendent Chiroodza &amp; Commissioner of Police</w:t>
      </w:r>
      <w:r>
        <w:rPr>
          <w:rFonts w:ascii="Times New Roman" w:hAnsi="Times New Roman" w:cs="Times New Roman"/>
          <w:sz w:val="24"/>
          <w:szCs w:val="24"/>
          <w:lang w:val="en-US"/>
        </w:rPr>
        <w:t xml:space="preserve"> HH 163/18</w:t>
      </w:r>
      <w:r w:rsidR="0054218D">
        <w:rPr>
          <w:rFonts w:ascii="Times New Roman" w:hAnsi="Times New Roman" w:cs="Times New Roman"/>
          <w:sz w:val="24"/>
          <w:szCs w:val="24"/>
          <w:lang w:val="en-US"/>
        </w:rPr>
        <w:t xml:space="preserve"> </w:t>
      </w:r>
      <w:r w:rsidRPr="007C15BF">
        <w:rPr>
          <w:rFonts w:ascii="Times New Roman" w:hAnsi="Times New Roman" w:cs="Times New Roman"/>
          <w:smallCaps/>
          <w:sz w:val="24"/>
          <w:szCs w:val="24"/>
          <w:lang w:val="en-US"/>
        </w:rPr>
        <w:t>Mangota J</w:t>
      </w:r>
      <w:r>
        <w:rPr>
          <w:rFonts w:ascii="Times New Roman" w:hAnsi="Times New Roman" w:cs="Times New Roman"/>
          <w:sz w:val="24"/>
          <w:szCs w:val="24"/>
          <w:lang w:val="en-US"/>
        </w:rPr>
        <w:t xml:space="preserve"> in noting that a person who is dissatisfied with the discussion of a court has right to appeal against it or seek its review rightly stated that it was improper to compel the decision maker to defend this decision.  The learned judge also noted that the decision maker should not be cited as a substitute for the parties who were the proponents in the proceedings before him.  It is noted that the learned judge referred to </w:t>
      </w:r>
      <w:r w:rsidR="005F46D4">
        <w:rPr>
          <w:rFonts w:ascii="Times New Roman" w:hAnsi="Times New Roman" w:cs="Times New Roman"/>
          <w:sz w:val="24"/>
          <w:szCs w:val="24"/>
          <w:lang w:val="en-US"/>
        </w:rPr>
        <w:t>two advantages of citing the judicial officer as being firstly, that the judicial officer becomes aware that his decision is to be re</w:t>
      </w:r>
      <w:r w:rsidR="00E121D3">
        <w:rPr>
          <w:rFonts w:ascii="Times New Roman" w:hAnsi="Times New Roman" w:cs="Times New Roman"/>
          <w:sz w:val="24"/>
          <w:szCs w:val="24"/>
          <w:lang w:val="en-US"/>
        </w:rPr>
        <w:t>view</w:t>
      </w:r>
      <w:r w:rsidR="005F46D4">
        <w:rPr>
          <w:rFonts w:ascii="Times New Roman" w:hAnsi="Times New Roman" w:cs="Times New Roman"/>
          <w:sz w:val="24"/>
          <w:szCs w:val="24"/>
          <w:lang w:val="en-US"/>
        </w:rPr>
        <w:t xml:space="preserve">ed and secondly that it gives him an opportunity to make comments; or to clarify aspects of the judgment for the benefit of the </w:t>
      </w:r>
      <w:r w:rsidR="006271BF">
        <w:rPr>
          <w:rFonts w:ascii="Times New Roman" w:hAnsi="Times New Roman" w:cs="Times New Roman"/>
          <w:sz w:val="24"/>
          <w:szCs w:val="24"/>
          <w:lang w:val="en-US"/>
        </w:rPr>
        <w:t>reviewing court.  All that needs to be emphasized though is that the decision maker is not under any legal obligation to make comments, clarifications or oppose or support the review application.</w:t>
      </w:r>
    </w:p>
    <w:p w14:paraId="5D230A25" w14:textId="77777777" w:rsidR="008116A8" w:rsidRDefault="006271BF" w:rsidP="007C15BF">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judgment of the Supreme Court quoted by </w:t>
      </w:r>
      <w:r w:rsidRPr="006271BF">
        <w:rPr>
          <w:rFonts w:ascii="Times New Roman" w:hAnsi="Times New Roman" w:cs="Times New Roman"/>
          <w:smallCaps/>
          <w:sz w:val="24"/>
          <w:szCs w:val="24"/>
          <w:lang w:val="en-US"/>
        </w:rPr>
        <w:t>Mangota J</w:t>
      </w:r>
      <w:r>
        <w:rPr>
          <w:rFonts w:ascii="Times New Roman" w:hAnsi="Times New Roman" w:cs="Times New Roman"/>
          <w:sz w:val="24"/>
          <w:szCs w:val="24"/>
          <w:lang w:val="en-US"/>
        </w:rPr>
        <w:t xml:space="preserve"> in the </w:t>
      </w:r>
      <w:r w:rsidRPr="006271BF">
        <w:rPr>
          <w:rFonts w:ascii="Times New Roman" w:hAnsi="Times New Roman" w:cs="Times New Roman"/>
          <w:i/>
          <w:iCs/>
          <w:sz w:val="24"/>
          <w:szCs w:val="24"/>
          <w:lang w:val="en-US"/>
        </w:rPr>
        <w:t>Chiremba case</w:t>
      </w:r>
      <w:r>
        <w:rPr>
          <w:rFonts w:ascii="Times New Roman" w:hAnsi="Times New Roman" w:cs="Times New Roman"/>
          <w:sz w:val="24"/>
          <w:szCs w:val="24"/>
          <w:lang w:val="en-US"/>
        </w:rPr>
        <w:t>, (</w:t>
      </w:r>
      <w:r w:rsidRPr="006271BF">
        <w:rPr>
          <w:rFonts w:ascii="Times New Roman" w:hAnsi="Times New Roman" w:cs="Times New Roman"/>
          <w:i/>
          <w:iCs/>
          <w:sz w:val="24"/>
          <w:szCs w:val="24"/>
          <w:lang w:val="en-US"/>
        </w:rPr>
        <w:t>supra</w:t>
      </w:r>
      <w:r>
        <w:rPr>
          <w:rFonts w:ascii="Times New Roman" w:hAnsi="Times New Roman" w:cs="Times New Roman"/>
          <w:sz w:val="24"/>
          <w:szCs w:val="24"/>
          <w:lang w:val="en-US"/>
        </w:rPr>
        <w:t xml:space="preserve">), being </w:t>
      </w:r>
      <w:r w:rsidRPr="006271BF">
        <w:rPr>
          <w:rFonts w:ascii="Times New Roman" w:hAnsi="Times New Roman" w:cs="Times New Roman"/>
          <w:i/>
          <w:iCs/>
          <w:sz w:val="24"/>
          <w:szCs w:val="24"/>
          <w:lang w:val="en-US"/>
        </w:rPr>
        <w:t>Joram Mupa</w:t>
      </w:r>
      <w:r w:rsidR="008116A8">
        <w:rPr>
          <w:rFonts w:ascii="Times New Roman" w:hAnsi="Times New Roman" w:cs="Times New Roman"/>
          <w:i/>
          <w:iCs/>
          <w:sz w:val="24"/>
          <w:szCs w:val="24"/>
          <w:lang w:val="en-US"/>
        </w:rPr>
        <w:t>m</w:t>
      </w:r>
      <w:r w:rsidRPr="006271BF">
        <w:rPr>
          <w:rFonts w:ascii="Times New Roman" w:hAnsi="Times New Roman" w:cs="Times New Roman"/>
          <w:i/>
          <w:iCs/>
          <w:sz w:val="24"/>
          <w:szCs w:val="24"/>
          <w:lang w:val="en-US"/>
        </w:rPr>
        <w:t>birei &amp; Ors</w:t>
      </w:r>
      <w:r>
        <w:rPr>
          <w:rFonts w:ascii="Times New Roman" w:hAnsi="Times New Roman" w:cs="Times New Roman"/>
          <w:sz w:val="24"/>
          <w:szCs w:val="24"/>
          <w:lang w:val="en-US"/>
        </w:rPr>
        <w:t xml:space="preserve"> </w:t>
      </w:r>
      <w:r w:rsidRPr="006271BF">
        <w:rPr>
          <w:rFonts w:ascii="Times New Roman" w:hAnsi="Times New Roman" w:cs="Times New Roman"/>
          <w:i/>
          <w:iCs/>
          <w:sz w:val="24"/>
          <w:szCs w:val="24"/>
          <w:lang w:val="en-US"/>
        </w:rPr>
        <w:t>v Zvarivad</w:t>
      </w:r>
      <w:r w:rsidR="008116A8">
        <w:rPr>
          <w:rFonts w:ascii="Times New Roman" w:hAnsi="Times New Roman" w:cs="Times New Roman"/>
          <w:i/>
          <w:iCs/>
          <w:sz w:val="24"/>
          <w:szCs w:val="24"/>
          <w:lang w:val="en-US"/>
        </w:rPr>
        <w:t>z</w:t>
      </w:r>
      <w:r w:rsidRPr="006271BF">
        <w:rPr>
          <w:rFonts w:ascii="Times New Roman" w:hAnsi="Times New Roman" w:cs="Times New Roman"/>
          <w:i/>
          <w:iCs/>
          <w:sz w:val="24"/>
          <w:szCs w:val="24"/>
          <w:lang w:val="en-US"/>
        </w:rPr>
        <w:t>a &amp; Ors</w:t>
      </w:r>
      <w:r>
        <w:rPr>
          <w:rFonts w:ascii="Times New Roman" w:hAnsi="Times New Roman" w:cs="Times New Roman"/>
          <w:sz w:val="24"/>
          <w:szCs w:val="24"/>
          <w:lang w:val="en-US"/>
        </w:rPr>
        <w:t xml:space="preserve"> SC 94/96 where </w:t>
      </w:r>
      <w:r w:rsidRPr="008116A8">
        <w:rPr>
          <w:rFonts w:ascii="Times New Roman" w:hAnsi="Times New Roman" w:cs="Times New Roman"/>
          <w:smallCaps/>
          <w:sz w:val="24"/>
          <w:szCs w:val="24"/>
          <w:lang w:val="en-US"/>
        </w:rPr>
        <w:t>Korsah JA</w:t>
      </w:r>
      <w:r>
        <w:rPr>
          <w:rFonts w:ascii="Times New Roman" w:hAnsi="Times New Roman" w:cs="Times New Roman"/>
          <w:sz w:val="24"/>
          <w:szCs w:val="24"/>
          <w:lang w:val="en-US"/>
        </w:rPr>
        <w:t>, stated:</w:t>
      </w:r>
      <w:r w:rsidR="0054218D">
        <w:rPr>
          <w:rFonts w:ascii="Times New Roman" w:hAnsi="Times New Roman" w:cs="Times New Roman"/>
          <w:sz w:val="24"/>
          <w:szCs w:val="24"/>
          <w:lang w:val="en-US"/>
        </w:rPr>
        <w:t xml:space="preserve">    </w:t>
      </w:r>
    </w:p>
    <w:p w14:paraId="2AA1AF22" w14:textId="77777777" w:rsidR="008116A8" w:rsidRPr="008116A8" w:rsidRDefault="008116A8" w:rsidP="008116A8">
      <w:pPr>
        <w:spacing w:after="0" w:line="240" w:lineRule="auto"/>
        <w:ind w:left="720"/>
        <w:jc w:val="both"/>
        <w:rPr>
          <w:rFonts w:ascii="Times New Roman" w:hAnsi="Times New Roman" w:cs="Times New Roman"/>
          <w:lang w:val="en-US"/>
        </w:rPr>
      </w:pPr>
      <w:r w:rsidRPr="008116A8">
        <w:rPr>
          <w:rFonts w:ascii="Times New Roman" w:hAnsi="Times New Roman" w:cs="Times New Roman"/>
          <w:lang w:val="en-US"/>
        </w:rPr>
        <w:t>“The Minister as an arbiter in the proceedings, is firstly, not a party to the dispute, and, secondly is not adversely affected by the quasi-judicial findings he makes.  He ought not to have been made the substantive party in proceedings where his own decision was being challenged….”</w:t>
      </w:r>
      <w:r w:rsidR="0054218D" w:rsidRPr="008116A8">
        <w:rPr>
          <w:rFonts w:ascii="Times New Roman" w:hAnsi="Times New Roman" w:cs="Times New Roman"/>
          <w:lang w:val="en-US"/>
        </w:rPr>
        <w:t xml:space="preserve">           </w:t>
      </w:r>
    </w:p>
    <w:p w14:paraId="21F0A893" w14:textId="77777777" w:rsidR="008116A8" w:rsidRDefault="008116A8" w:rsidP="008116A8">
      <w:pPr>
        <w:spacing w:line="360" w:lineRule="auto"/>
        <w:ind w:left="720"/>
        <w:jc w:val="both"/>
        <w:rPr>
          <w:rFonts w:ascii="Times New Roman" w:hAnsi="Times New Roman" w:cs="Times New Roman"/>
          <w:sz w:val="24"/>
          <w:szCs w:val="24"/>
          <w:lang w:val="en-US"/>
        </w:rPr>
      </w:pPr>
    </w:p>
    <w:p w14:paraId="17AB9815" w14:textId="548C8CDC" w:rsidR="008116A8" w:rsidRDefault="008116A8" w:rsidP="008116A8">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And </w:t>
      </w:r>
      <w:r w:rsidR="00E121D3">
        <w:rPr>
          <w:rFonts w:ascii="Times New Roman" w:hAnsi="Times New Roman" w:cs="Times New Roman"/>
          <w:sz w:val="24"/>
          <w:szCs w:val="24"/>
          <w:lang w:val="en-US"/>
        </w:rPr>
        <w:t xml:space="preserve">in </w:t>
      </w:r>
      <w:r w:rsidRPr="008116A8">
        <w:rPr>
          <w:rFonts w:ascii="Times New Roman" w:hAnsi="Times New Roman" w:cs="Times New Roman"/>
          <w:i/>
          <w:iCs/>
          <w:sz w:val="24"/>
          <w:szCs w:val="24"/>
          <w:lang w:val="en-US"/>
        </w:rPr>
        <w:t>Blue Ribbon</w:t>
      </w:r>
      <w:r w:rsidR="00381330">
        <w:rPr>
          <w:rFonts w:ascii="Times New Roman" w:hAnsi="Times New Roman" w:cs="Times New Roman"/>
          <w:i/>
          <w:iCs/>
          <w:sz w:val="24"/>
          <w:szCs w:val="24"/>
          <w:lang w:val="en-US"/>
        </w:rPr>
        <w:t xml:space="preserve"> </w:t>
      </w:r>
      <w:r w:rsidRPr="008116A8">
        <w:rPr>
          <w:rFonts w:ascii="Times New Roman" w:hAnsi="Times New Roman" w:cs="Times New Roman"/>
          <w:i/>
          <w:iCs/>
          <w:sz w:val="24"/>
          <w:szCs w:val="24"/>
          <w:lang w:val="en-US"/>
        </w:rPr>
        <w:t>Foods Ltd</w:t>
      </w:r>
      <w:r>
        <w:rPr>
          <w:rFonts w:ascii="Times New Roman" w:hAnsi="Times New Roman" w:cs="Times New Roman"/>
          <w:sz w:val="24"/>
          <w:szCs w:val="24"/>
          <w:lang w:val="en-US"/>
        </w:rPr>
        <w:t xml:space="preserve"> v </w:t>
      </w:r>
      <w:r w:rsidRPr="008116A8">
        <w:rPr>
          <w:rFonts w:ascii="Times New Roman" w:hAnsi="Times New Roman" w:cs="Times New Roman"/>
          <w:i/>
          <w:iCs/>
          <w:sz w:val="24"/>
          <w:szCs w:val="24"/>
          <w:lang w:val="en-US"/>
        </w:rPr>
        <w:t>Dube N.O &amp; Anor</w:t>
      </w:r>
      <w:r>
        <w:rPr>
          <w:rFonts w:ascii="Times New Roman" w:hAnsi="Times New Roman" w:cs="Times New Roman"/>
          <w:sz w:val="24"/>
          <w:szCs w:val="24"/>
          <w:lang w:val="en-US"/>
        </w:rPr>
        <w:t xml:space="preserve"> 1993(2) ZLR 146 at 150B, where </w:t>
      </w:r>
      <w:r w:rsidRPr="008116A8">
        <w:rPr>
          <w:rFonts w:ascii="Times New Roman" w:hAnsi="Times New Roman" w:cs="Times New Roman"/>
          <w:smallCaps/>
          <w:sz w:val="24"/>
          <w:szCs w:val="24"/>
          <w:lang w:val="en-US"/>
        </w:rPr>
        <w:t>McNally</w:t>
      </w:r>
      <w:r>
        <w:rPr>
          <w:rFonts w:ascii="Times New Roman" w:hAnsi="Times New Roman" w:cs="Times New Roman"/>
          <w:smallCaps/>
          <w:sz w:val="24"/>
          <w:szCs w:val="24"/>
          <w:lang w:val="en-US"/>
        </w:rPr>
        <w:t> </w:t>
      </w:r>
      <w:r w:rsidRPr="008116A8">
        <w:rPr>
          <w:rFonts w:ascii="Times New Roman" w:hAnsi="Times New Roman" w:cs="Times New Roman"/>
          <w:smallCaps/>
          <w:sz w:val="24"/>
          <w:szCs w:val="24"/>
          <w:lang w:val="en-US"/>
        </w:rPr>
        <w:t>JA</w:t>
      </w:r>
      <w:r>
        <w:rPr>
          <w:rFonts w:ascii="Times New Roman" w:hAnsi="Times New Roman" w:cs="Times New Roman"/>
          <w:sz w:val="24"/>
          <w:szCs w:val="24"/>
          <w:lang w:val="en-US"/>
        </w:rPr>
        <w:t xml:space="preserve"> stated:</w:t>
      </w:r>
    </w:p>
    <w:p w14:paraId="2E37D9F1" w14:textId="4F753BC0" w:rsidR="008116A8" w:rsidRPr="00381330" w:rsidRDefault="008116A8" w:rsidP="00381330">
      <w:pPr>
        <w:spacing w:line="240" w:lineRule="auto"/>
        <w:ind w:left="720"/>
        <w:jc w:val="both"/>
        <w:rPr>
          <w:rFonts w:ascii="Times New Roman" w:hAnsi="Times New Roman" w:cs="Times New Roman"/>
          <w:lang w:val="en-US"/>
        </w:rPr>
      </w:pPr>
      <w:r w:rsidRPr="00381330">
        <w:rPr>
          <w:rFonts w:ascii="Times New Roman" w:hAnsi="Times New Roman" w:cs="Times New Roman"/>
          <w:lang w:val="en-US"/>
        </w:rPr>
        <w:t>“In review proceedings, allegations of procedural impropriety or bias are commonly made (those being the common grounds which justify review) the presiding officer whose conduct in question, may if he wishes, file an affidavit to clarify such matters as he may wish to clarify.  And in a proper case, though I think exceptional case, he may be represented by counsel but only on that issue.  It is not for him to enter into the merits of the case or defend his decision.  That is the function of counsel for the respondent’s employer or the respondent’s employee as the case may be.”</w:t>
      </w:r>
    </w:p>
    <w:p w14:paraId="5F821362" w14:textId="2D65C7FC" w:rsidR="008116A8" w:rsidRDefault="00381330" w:rsidP="0038133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are instructive.  In the l</w:t>
      </w:r>
      <w:r w:rsidR="00E121D3">
        <w:rPr>
          <w:rFonts w:ascii="Times New Roman" w:hAnsi="Times New Roman" w:cs="Times New Roman"/>
          <w:sz w:val="24"/>
          <w:szCs w:val="24"/>
          <w:lang w:val="en-US"/>
        </w:rPr>
        <w:t>a</w:t>
      </w:r>
      <w:r>
        <w:rPr>
          <w:rFonts w:ascii="Times New Roman" w:hAnsi="Times New Roman" w:cs="Times New Roman"/>
          <w:sz w:val="24"/>
          <w:szCs w:val="24"/>
          <w:lang w:val="en-US"/>
        </w:rPr>
        <w:t xml:space="preserve">tter case, the learned judge did not give an example of an exceptional circumstance which would require the engagement of counsel by the decision maker whose decision is brought on review.  I am not going to hazard a guess.  The crux of the matter remains that the judicial officer is not compelled to respond to the application and where he does so, it should be to clarify material points without inclining to support any of the parties who were before him.  Where the decision maker cannot do so without being dispassionate, then he should be guided as in the </w:t>
      </w:r>
      <w:r w:rsidRPr="00381330">
        <w:rPr>
          <w:rFonts w:ascii="Times New Roman" w:hAnsi="Times New Roman" w:cs="Times New Roman"/>
          <w:i/>
          <w:iCs/>
          <w:sz w:val="24"/>
          <w:szCs w:val="24"/>
          <w:lang w:val="en-US"/>
        </w:rPr>
        <w:t>Leopard Rock case</w:t>
      </w:r>
      <w:r>
        <w:rPr>
          <w:rFonts w:ascii="Times New Roman" w:hAnsi="Times New Roman" w:cs="Times New Roman"/>
          <w:sz w:val="24"/>
          <w:szCs w:val="24"/>
          <w:lang w:val="en-US"/>
        </w:rPr>
        <w:t xml:space="preserve"> (</w:t>
      </w:r>
      <w:r w:rsidRPr="00381330">
        <w:rPr>
          <w:rFonts w:ascii="Times New Roman" w:hAnsi="Times New Roman" w:cs="Times New Roman"/>
          <w:i/>
          <w:iCs/>
          <w:sz w:val="24"/>
          <w:szCs w:val="24"/>
          <w:lang w:val="en-US"/>
        </w:rPr>
        <w:t>supra</w:t>
      </w:r>
      <w:r>
        <w:rPr>
          <w:rFonts w:ascii="Times New Roman" w:hAnsi="Times New Roman" w:cs="Times New Roman"/>
          <w:sz w:val="24"/>
          <w:szCs w:val="24"/>
          <w:lang w:val="en-US"/>
        </w:rPr>
        <w:t>) where the learned judge stated that:</w:t>
      </w:r>
    </w:p>
    <w:p w14:paraId="1C2E26D8" w14:textId="7EF6E19C" w:rsidR="00381330" w:rsidRDefault="00381330" w:rsidP="00381330">
      <w:pPr>
        <w:spacing w:after="0" w:line="240" w:lineRule="auto"/>
        <w:ind w:left="720"/>
        <w:jc w:val="both"/>
        <w:rPr>
          <w:rFonts w:ascii="Times New Roman" w:hAnsi="Times New Roman" w:cs="Times New Roman"/>
          <w:lang w:val="en-US"/>
        </w:rPr>
      </w:pPr>
      <w:r w:rsidRPr="00381330">
        <w:rPr>
          <w:rFonts w:ascii="Times New Roman" w:hAnsi="Times New Roman" w:cs="Times New Roman"/>
          <w:lang w:val="en-US"/>
        </w:rPr>
        <w:t>“The second choice of the arbitrat</w:t>
      </w:r>
      <w:r w:rsidR="00E121D3">
        <w:rPr>
          <w:rFonts w:ascii="Times New Roman" w:hAnsi="Times New Roman" w:cs="Times New Roman"/>
          <w:lang w:val="en-US"/>
        </w:rPr>
        <w:t>or</w:t>
      </w:r>
      <w:r w:rsidRPr="00381330">
        <w:rPr>
          <w:rFonts w:ascii="Times New Roman" w:hAnsi="Times New Roman" w:cs="Times New Roman"/>
          <w:lang w:val="en-US"/>
        </w:rPr>
        <w:t xml:space="preserve"> or umpire when served with the notice of motion for his removal or to set aside his award is to take no action and abide by the court’s decision.”</w:t>
      </w:r>
    </w:p>
    <w:p w14:paraId="1E12B1CE" w14:textId="4E3BFB42" w:rsidR="00381330" w:rsidRDefault="00381330" w:rsidP="00381330">
      <w:pPr>
        <w:spacing w:after="0" w:line="240" w:lineRule="auto"/>
        <w:ind w:left="720"/>
        <w:jc w:val="both"/>
        <w:rPr>
          <w:rFonts w:ascii="Times New Roman" w:hAnsi="Times New Roman" w:cs="Times New Roman"/>
          <w:lang w:val="en-US"/>
        </w:rPr>
      </w:pPr>
    </w:p>
    <w:p w14:paraId="6E23017E" w14:textId="5BC6B0F4" w:rsidR="00381330" w:rsidRDefault="00381330" w:rsidP="00381330">
      <w:pPr>
        <w:spacing w:after="0" w:line="360" w:lineRule="auto"/>
        <w:ind w:firstLine="720"/>
        <w:jc w:val="both"/>
        <w:rPr>
          <w:rFonts w:ascii="Times New Roman" w:hAnsi="Times New Roman" w:cs="Times New Roman"/>
          <w:sz w:val="24"/>
          <w:szCs w:val="24"/>
          <w:lang w:val="en-US"/>
        </w:rPr>
      </w:pPr>
      <w:r w:rsidRPr="00381330">
        <w:rPr>
          <w:rFonts w:ascii="Times New Roman" w:hAnsi="Times New Roman" w:cs="Times New Roman"/>
          <w:i/>
          <w:iCs/>
          <w:sz w:val="24"/>
          <w:szCs w:val="24"/>
          <w:lang w:val="en-US"/>
        </w:rPr>
        <w:t>In casu</w:t>
      </w:r>
      <w:r>
        <w:rPr>
          <w:rFonts w:ascii="Times New Roman" w:hAnsi="Times New Roman" w:cs="Times New Roman"/>
          <w:sz w:val="24"/>
          <w:szCs w:val="24"/>
          <w:lang w:val="en-US"/>
        </w:rPr>
        <w:t xml:space="preserve">, as clearly alluded to, the first respondent prepared a report.  Albeit it is noted in the </w:t>
      </w:r>
      <w:r w:rsidRPr="00381330">
        <w:rPr>
          <w:rFonts w:ascii="Times New Roman" w:hAnsi="Times New Roman" w:cs="Times New Roman"/>
          <w:i/>
          <w:iCs/>
          <w:sz w:val="24"/>
          <w:szCs w:val="24"/>
          <w:lang w:val="en-US"/>
        </w:rPr>
        <w:t>Leopard Rock</w:t>
      </w:r>
      <w:r>
        <w:rPr>
          <w:rFonts w:ascii="Times New Roman" w:hAnsi="Times New Roman" w:cs="Times New Roman"/>
          <w:sz w:val="24"/>
          <w:szCs w:val="24"/>
          <w:lang w:val="en-US"/>
        </w:rPr>
        <w:t xml:space="preserve"> judgment by the Supreme Court that the presiding officer whose decision is on review may file an affidavit to clarify such matters as he may wish to clarify, it should be noted that such an affidavit is neither an opposing affidavit nor a consent to the order sought.   In this respect the criticism of the applicant’s counsel that the first respondent failed to comply with the requirements of Form 29A and filed a report instead d</w:t>
      </w:r>
      <w:r w:rsidR="00C37743">
        <w:rPr>
          <w:rFonts w:ascii="Times New Roman" w:hAnsi="Times New Roman" w:cs="Times New Roman"/>
          <w:sz w:val="24"/>
          <w:szCs w:val="24"/>
          <w:lang w:val="en-US"/>
        </w:rPr>
        <w:t>oes not hold water.  It has been discussed that despite r 62(1) of the High Court Rules providing for directing and delivering the application on the decision maker, in reality, the decision maker is not the principal respondent but the other respondent affected by the decision brought on review.  It is therefore the parties who were the protagonists before the decision maker who argue in support of or against the decision rendered.</w:t>
      </w:r>
    </w:p>
    <w:p w14:paraId="707F748D" w14:textId="5D08542F" w:rsidR="00C37743" w:rsidRDefault="00C37743" w:rsidP="00381330">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next issue is whether I can have recourse to the Master’s report.  It is not an affidavit.  I did not read the judgment of the Supreme Court in the Leopard Rock case to hold that the review court cannot have regard to any representations made by the decision maker in any other form, save by affidavit.  If I am wrong in so holding, then I still note that the application involving deceased estates are specially catered for in the rules.  The first </w:t>
      </w:r>
      <w:r>
        <w:rPr>
          <w:rFonts w:ascii="Times New Roman" w:hAnsi="Times New Roman" w:cs="Times New Roman"/>
          <w:sz w:val="24"/>
          <w:szCs w:val="24"/>
          <w:lang w:val="en-US"/>
        </w:rPr>
        <w:lastRenderedPageBreak/>
        <w:t>respondent acted in terms of Order 32 r 248 of the High Court Rules, 2021.  It provides as follows:</w:t>
      </w:r>
    </w:p>
    <w:p w14:paraId="23928085" w14:textId="4E018A6A" w:rsidR="00C37743" w:rsidRPr="00C37743" w:rsidRDefault="00C37743" w:rsidP="00C37743">
      <w:pPr>
        <w:spacing w:after="0" w:line="240" w:lineRule="auto"/>
        <w:ind w:firstLine="720"/>
        <w:jc w:val="both"/>
        <w:rPr>
          <w:rFonts w:ascii="Times New Roman" w:hAnsi="Times New Roman" w:cs="Times New Roman"/>
          <w:lang w:val="en-US"/>
        </w:rPr>
      </w:pPr>
      <w:r w:rsidRPr="00C37743">
        <w:rPr>
          <w:rFonts w:ascii="Times New Roman" w:hAnsi="Times New Roman" w:cs="Times New Roman"/>
          <w:lang w:val="en-US"/>
        </w:rPr>
        <w:t xml:space="preserve">“61(1) In the case of an application in connection with </w:t>
      </w:r>
    </w:p>
    <w:p w14:paraId="7EE6CDC7" w14:textId="2C27E205" w:rsidR="00C37743" w:rsidRPr="00C37743" w:rsidRDefault="00C37743" w:rsidP="00C37743">
      <w:pPr>
        <w:pStyle w:val="ListParagraph"/>
        <w:numPr>
          <w:ilvl w:val="0"/>
          <w:numId w:val="2"/>
        </w:numPr>
        <w:spacing w:after="0" w:line="240" w:lineRule="auto"/>
        <w:jc w:val="both"/>
        <w:rPr>
          <w:rFonts w:ascii="Times New Roman" w:hAnsi="Times New Roman" w:cs="Times New Roman"/>
          <w:lang w:val="en-US"/>
        </w:rPr>
      </w:pPr>
      <w:r w:rsidRPr="00C37743">
        <w:rPr>
          <w:rFonts w:ascii="Times New Roman" w:hAnsi="Times New Roman" w:cs="Times New Roman"/>
          <w:lang w:val="en-US"/>
        </w:rPr>
        <w:t>The estate of a deceased person; or</w:t>
      </w:r>
    </w:p>
    <w:p w14:paraId="1116A7AC" w14:textId="0C32EFF3" w:rsidR="00C37743" w:rsidRPr="00C37743" w:rsidRDefault="00C37743" w:rsidP="00C37743">
      <w:pPr>
        <w:pStyle w:val="ListParagraph"/>
        <w:numPr>
          <w:ilvl w:val="0"/>
          <w:numId w:val="2"/>
        </w:numPr>
        <w:spacing w:after="0" w:line="240" w:lineRule="auto"/>
        <w:jc w:val="both"/>
        <w:rPr>
          <w:rFonts w:ascii="Times New Roman" w:hAnsi="Times New Roman" w:cs="Times New Roman"/>
          <w:lang w:val="en-US"/>
        </w:rPr>
      </w:pPr>
      <w:r w:rsidRPr="00C37743">
        <w:rPr>
          <w:rFonts w:ascii="Times New Roman" w:hAnsi="Times New Roman" w:cs="Times New Roman"/>
          <w:lang w:val="en-US"/>
        </w:rPr>
        <w:t>……</w:t>
      </w:r>
    </w:p>
    <w:p w14:paraId="192BE30B" w14:textId="4390C328" w:rsidR="00C37743" w:rsidRPr="00C37743" w:rsidRDefault="00C37743" w:rsidP="00C37743">
      <w:pPr>
        <w:spacing w:after="0" w:line="240" w:lineRule="auto"/>
        <w:ind w:left="720"/>
        <w:jc w:val="both"/>
        <w:rPr>
          <w:rFonts w:ascii="Times New Roman" w:hAnsi="Times New Roman" w:cs="Times New Roman"/>
          <w:lang w:val="en-US"/>
        </w:rPr>
      </w:pPr>
      <w:r w:rsidRPr="00C37743">
        <w:rPr>
          <w:rFonts w:ascii="Times New Roman" w:hAnsi="Times New Roman" w:cs="Times New Roman"/>
          <w:lang w:val="en-US"/>
        </w:rPr>
        <w:t>a copy of the application of the application shall be served on the Master not less than 10 days before the date of set down for his or her consideration; and for a report by him or her if he or she considers it necessary or the court requires such a report.”</w:t>
      </w:r>
    </w:p>
    <w:p w14:paraId="239BBF42" w14:textId="290505C5" w:rsidR="00C37743" w:rsidRDefault="00C37743" w:rsidP="00C37743">
      <w:pPr>
        <w:spacing w:after="0" w:line="360" w:lineRule="auto"/>
        <w:ind w:left="720"/>
        <w:jc w:val="both"/>
        <w:rPr>
          <w:rFonts w:ascii="Times New Roman" w:hAnsi="Times New Roman" w:cs="Times New Roman"/>
          <w:sz w:val="24"/>
          <w:szCs w:val="24"/>
          <w:lang w:val="en-US"/>
        </w:rPr>
      </w:pPr>
    </w:p>
    <w:p w14:paraId="40BB1249" w14:textId="464934BD" w:rsidR="00C37743" w:rsidRDefault="00C37743" w:rsidP="00C3774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applicant averred that the first respondent was misdirected to file the report because he was the principal respondent who should have filed a notice of opposition and opposing affidavit and was therefore barred.  The applicant had moved for judgment in his favour on the basis that the application was not opposed by the respondent.  It is correct that the second respondent did not oppose the application.  The first respondent correctly filed his report because </w:t>
      </w:r>
      <w:r w:rsidR="00561638">
        <w:rPr>
          <w:rFonts w:ascii="Times New Roman" w:hAnsi="Times New Roman" w:cs="Times New Roman"/>
          <w:sz w:val="24"/>
          <w:szCs w:val="24"/>
          <w:lang w:val="en-US"/>
        </w:rPr>
        <w:t>r 61(1) permits him to do so where any application involving a deceased estate is served upon him.  The fact that the review application concerned a decision which the first respondent had made did not matter because the review application remains an application as envisaged in r 61(1).  This is so because the rule does not distinguish the type of application it envisages.  A review application is an application contemplated by the rule.  The first respondent was properly advised to prepare and file a report.</w:t>
      </w:r>
    </w:p>
    <w:p w14:paraId="017909C3" w14:textId="3C089AB0" w:rsidR="00561638" w:rsidRDefault="00561638" w:rsidP="00C3774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Rule 61(1) in my respectful opinion provides an answer on whether the decision maker whose decision has been taken on review and considers as stated by the Supreme Court in the </w:t>
      </w:r>
      <w:r w:rsidRPr="00561638">
        <w:rPr>
          <w:rFonts w:ascii="Times New Roman" w:hAnsi="Times New Roman" w:cs="Times New Roman"/>
          <w:i/>
          <w:iCs/>
          <w:sz w:val="24"/>
          <w:szCs w:val="24"/>
          <w:lang w:val="en-US"/>
        </w:rPr>
        <w:t>Leopard Rock case</w:t>
      </w:r>
      <w:r>
        <w:rPr>
          <w:rFonts w:ascii="Times New Roman" w:hAnsi="Times New Roman" w:cs="Times New Roman"/>
          <w:sz w:val="24"/>
          <w:szCs w:val="24"/>
          <w:lang w:val="en-US"/>
        </w:rPr>
        <w:t xml:space="preserve"> that he wants to file an affidavit to clarify issues he may with to.  I consider that the </w:t>
      </w:r>
      <w:r w:rsidRPr="00561638">
        <w:rPr>
          <w:rFonts w:ascii="Times New Roman" w:hAnsi="Times New Roman" w:cs="Times New Roman"/>
          <w:i/>
          <w:iCs/>
          <w:sz w:val="24"/>
          <w:szCs w:val="24"/>
          <w:lang w:val="en-US"/>
        </w:rPr>
        <w:t>Leopard Rock case</w:t>
      </w:r>
      <w:r>
        <w:rPr>
          <w:rFonts w:ascii="Times New Roman" w:hAnsi="Times New Roman" w:cs="Times New Roman"/>
          <w:sz w:val="24"/>
          <w:szCs w:val="24"/>
          <w:lang w:val="en-US"/>
        </w:rPr>
        <w:t xml:space="preserve"> should be read as laying out a general direction.  However in applications involving a deceased estate, the law is therefore clear as espoused in r 61(1) that the Master may on his own initiative if he considers it necessary or upon direction by the court, file a report.  There is no provision that the report should take the form of an affidavit.  At the same </w:t>
      </w:r>
      <w:r w:rsidR="005C5CC5">
        <w:rPr>
          <w:rFonts w:ascii="Times New Roman" w:hAnsi="Times New Roman" w:cs="Times New Roman"/>
          <w:sz w:val="24"/>
          <w:szCs w:val="24"/>
          <w:lang w:val="en-US"/>
        </w:rPr>
        <w:t xml:space="preserve">time </w:t>
      </w:r>
      <w:r>
        <w:rPr>
          <w:rFonts w:ascii="Times New Roman" w:hAnsi="Times New Roman" w:cs="Times New Roman"/>
          <w:sz w:val="24"/>
          <w:szCs w:val="24"/>
          <w:lang w:val="en-US"/>
        </w:rPr>
        <w:t xml:space="preserve">there is no provision that such a report should not be </w:t>
      </w:r>
      <w:r w:rsidR="005C5CC5">
        <w:rPr>
          <w:rFonts w:ascii="Times New Roman" w:hAnsi="Times New Roman" w:cs="Times New Roman"/>
          <w:sz w:val="24"/>
          <w:szCs w:val="24"/>
          <w:lang w:val="en-US"/>
        </w:rPr>
        <w:t>i</w:t>
      </w:r>
      <w:r>
        <w:rPr>
          <w:rFonts w:ascii="Times New Roman" w:hAnsi="Times New Roman" w:cs="Times New Roman"/>
          <w:sz w:val="24"/>
          <w:szCs w:val="24"/>
          <w:lang w:val="en-US"/>
        </w:rPr>
        <w:t xml:space="preserve">n affidavit </w:t>
      </w:r>
      <w:r w:rsidR="005C5CC5">
        <w:rPr>
          <w:rFonts w:ascii="Times New Roman" w:hAnsi="Times New Roman" w:cs="Times New Roman"/>
          <w:sz w:val="24"/>
          <w:szCs w:val="24"/>
          <w:lang w:val="en-US"/>
        </w:rPr>
        <w:t xml:space="preserve">form </w:t>
      </w:r>
      <w:r>
        <w:rPr>
          <w:rFonts w:ascii="Times New Roman" w:hAnsi="Times New Roman" w:cs="Times New Roman"/>
          <w:sz w:val="24"/>
          <w:szCs w:val="24"/>
          <w:lang w:val="en-US"/>
        </w:rPr>
        <w:t>either.  The applicant’s contrary view that the first respondent ought to have filed an affidavit fails again upon a consideration of r 61(1).</w:t>
      </w:r>
    </w:p>
    <w:p w14:paraId="6D6F0B2B" w14:textId="417356E4" w:rsidR="00561638" w:rsidRDefault="00561638" w:rsidP="00C3774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In preparing the report as he did, it was however important for the first respondent to appreciate the nature of the review</w:t>
      </w:r>
      <w:r w:rsidR="00FA6191">
        <w:rPr>
          <w:rFonts w:ascii="Times New Roman" w:hAnsi="Times New Roman" w:cs="Times New Roman"/>
          <w:sz w:val="24"/>
          <w:szCs w:val="24"/>
          <w:lang w:val="en-US"/>
        </w:rPr>
        <w:t xml:space="preserve"> application.  The main basis of the review was that the first respondent acted unlawfully in revoking the appointment of the applicant as executor dative of the estate concerned and appointing the second respondent in place thereof.  The reading of the report shows that the first respondent was justifying his decision.  He outlined the background </w:t>
      </w:r>
      <w:r w:rsidR="00FA6191">
        <w:rPr>
          <w:rFonts w:ascii="Times New Roman" w:hAnsi="Times New Roman" w:cs="Times New Roman"/>
          <w:sz w:val="24"/>
          <w:szCs w:val="24"/>
          <w:lang w:val="en-US"/>
        </w:rPr>
        <w:lastRenderedPageBreak/>
        <w:t>facts which led to the making of his decision.  He then interrogated the purport of s 116(1) of the Administration of Estates Act to justify that he was correct to remove the executor without reference to the High Court contrary to the applicant’s position that only the High Court had the power to remove an executor.  The first respondent stated as follows in para(s) 2.2 and 2.3:</w:t>
      </w:r>
    </w:p>
    <w:p w14:paraId="00D93795" w14:textId="038172E5" w:rsidR="00FA6191" w:rsidRPr="003D65CA" w:rsidRDefault="00FA6191" w:rsidP="003D65CA">
      <w:pPr>
        <w:spacing w:after="0" w:line="240" w:lineRule="auto"/>
        <w:ind w:left="1440" w:hanging="720"/>
        <w:jc w:val="both"/>
        <w:rPr>
          <w:rFonts w:ascii="Times New Roman" w:hAnsi="Times New Roman" w:cs="Times New Roman"/>
          <w:lang w:val="en-US"/>
        </w:rPr>
      </w:pPr>
      <w:r>
        <w:rPr>
          <w:rFonts w:ascii="Times New Roman" w:hAnsi="Times New Roman" w:cs="Times New Roman"/>
          <w:sz w:val="24"/>
          <w:szCs w:val="24"/>
          <w:lang w:val="en-US"/>
        </w:rPr>
        <w:t>“</w:t>
      </w:r>
      <w:r w:rsidRPr="003D65CA">
        <w:rPr>
          <w:rFonts w:ascii="Times New Roman" w:hAnsi="Times New Roman" w:cs="Times New Roman"/>
          <w:lang w:val="en-US"/>
        </w:rPr>
        <w:t>2.2</w:t>
      </w:r>
      <w:r w:rsidRPr="003D65CA">
        <w:rPr>
          <w:rFonts w:ascii="Times New Roman" w:hAnsi="Times New Roman" w:cs="Times New Roman"/>
          <w:lang w:val="en-US"/>
        </w:rPr>
        <w:tab/>
        <w:t>In terms of s 116(1) the Master is required to take such action as he deems expedient after considering the circumstances of the matter.  The ‘action’ to be taken by the Master is not defined and thus we believe same extends to removal of executors.</w:t>
      </w:r>
    </w:p>
    <w:p w14:paraId="53CB73EA" w14:textId="7C47EFE9" w:rsidR="00381330" w:rsidRPr="003D65CA" w:rsidRDefault="00FA6191" w:rsidP="003D65CA">
      <w:pPr>
        <w:spacing w:line="240" w:lineRule="auto"/>
        <w:ind w:left="1440" w:hanging="660"/>
        <w:jc w:val="both"/>
        <w:rPr>
          <w:rFonts w:ascii="Times New Roman" w:hAnsi="Times New Roman" w:cs="Times New Roman"/>
          <w:lang w:val="en-US"/>
        </w:rPr>
      </w:pPr>
      <w:r w:rsidRPr="003D65CA">
        <w:rPr>
          <w:rFonts w:ascii="Times New Roman" w:hAnsi="Times New Roman" w:cs="Times New Roman"/>
          <w:lang w:val="en-US"/>
        </w:rPr>
        <w:t>2.3.</w:t>
      </w:r>
      <w:r w:rsidRPr="003D65CA">
        <w:rPr>
          <w:rFonts w:ascii="Times New Roman" w:hAnsi="Times New Roman" w:cs="Times New Roman"/>
          <w:lang w:val="en-US"/>
        </w:rPr>
        <w:tab/>
      </w:r>
      <w:r w:rsidR="00D15E80" w:rsidRPr="003D65CA">
        <w:rPr>
          <w:rFonts w:ascii="Times New Roman" w:hAnsi="Times New Roman" w:cs="Times New Roman"/>
          <w:lang w:val="en-US"/>
        </w:rPr>
        <w:t xml:space="preserve">Furthermore, in the case of </w:t>
      </w:r>
      <w:r w:rsidR="00D15E80" w:rsidRPr="003D65CA">
        <w:rPr>
          <w:rFonts w:ascii="Times New Roman" w:hAnsi="Times New Roman" w:cs="Times New Roman"/>
          <w:i/>
          <w:iCs/>
          <w:lang w:val="en-US"/>
        </w:rPr>
        <w:t>Matsind</w:t>
      </w:r>
      <w:r w:rsidR="00D15E80" w:rsidRPr="003D65CA">
        <w:rPr>
          <w:rFonts w:ascii="Times New Roman" w:hAnsi="Times New Roman" w:cs="Times New Roman"/>
          <w:lang w:val="en-US"/>
        </w:rPr>
        <w:t xml:space="preserve">e v </w:t>
      </w:r>
      <w:r w:rsidR="00D15E80" w:rsidRPr="003D65CA">
        <w:rPr>
          <w:rFonts w:ascii="Times New Roman" w:hAnsi="Times New Roman" w:cs="Times New Roman"/>
          <w:i/>
          <w:iCs/>
          <w:lang w:val="en-US"/>
        </w:rPr>
        <w:t>Nyamukapa</w:t>
      </w:r>
      <w:r w:rsidR="00D15E80" w:rsidRPr="003D65CA">
        <w:rPr>
          <w:rFonts w:ascii="Times New Roman" w:hAnsi="Times New Roman" w:cs="Times New Roman"/>
          <w:lang w:val="en-US"/>
        </w:rPr>
        <w:t xml:space="preserve"> HH 106/06, </w:t>
      </w:r>
      <w:r w:rsidR="00D15E80" w:rsidRPr="003D65CA">
        <w:rPr>
          <w:rFonts w:ascii="Times New Roman" w:hAnsi="Times New Roman" w:cs="Times New Roman"/>
          <w:smallCaps/>
          <w:lang w:val="en-US"/>
        </w:rPr>
        <w:t>Makarau J</w:t>
      </w:r>
      <w:r w:rsidR="00D15E80" w:rsidRPr="003D65CA">
        <w:rPr>
          <w:rFonts w:ascii="Times New Roman" w:hAnsi="Times New Roman" w:cs="Times New Roman"/>
          <w:lang w:val="en-US"/>
        </w:rPr>
        <w:t>, as she then was highlighted that:</w:t>
      </w:r>
    </w:p>
    <w:p w14:paraId="6ECBB886" w14:textId="3D5DFCE2" w:rsidR="00D15E80" w:rsidRPr="003D65CA" w:rsidRDefault="00D15E80" w:rsidP="003D65CA">
      <w:pPr>
        <w:spacing w:line="240" w:lineRule="auto"/>
        <w:ind w:left="1440" w:hanging="660"/>
        <w:jc w:val="both"/>
        <w:rPr>
          <w:rFonts w:ascii="Times New Roman" w:hAnsi="Times New Roman" w:cs="Times New Roman"/>
          <w:lang w:val="en-US"/>
        </w:rPr>
      </w:pPr>
      <w:r w:rsidRPr="003D65CA">
        <w:rPr>
          <w:rFonts w:ascii="Times New Roman" w:hAnsi="Times New Roman" w:cs="Times New Roman"/>
          <w:lang w:val="en-US"/>
        </w:rPr>
        <w:tab/>
        <w:t>“I pause to observe that the removal of an executor dative should primarily be done by the Master on good grounds shown.  The appointment of an executor is an administrative function in the hands of the Master</w:t>
      </w:r>
      <w:r w:rsidR="003D65CA" w:rsidRPr="003D65CA">
        <w:rPr>
          <w:rFonts w:ascii="Times New Roman" w:hAnsi="Times New Roman" w:cs="Times New Roman"/>
          <w:lang w:val="en-US"/>
        </w:rPr>
        <w:t>.  It is therefore to him that allegations of unbecoming conduct by an executor should be made in the first instance.  The decision of the Master to remove or retain the executor after complaints have been lodged with him is then brought on review to this court on the recognized ground of review of an administrative decision. (My emphasis)</w:t>
      </w:r>
    </w:p>
    <w:p w14:paraId="50A4A6E5" w14:textId="59BB34A7" w:rsidR="003D65CA" w:rsidRDefault="003D65CA" w:rsidP="003D65CA">
      <w:pPr>
        <w:spacing w:line="240" w:lineRule="auto"/>
        <w:ind w:left="1440" w:hanging="660"/>
        <w:jc w:val="both"/>
        <w:rPr>
          <w:rFonts w:ascii="Times New Roman" w:hAnsi="Times New Roman" w:cs="Times New Roman"/>
          <w:sz w:val="24"/>
          <w:szCs w:val="24"/>
          <w:lang w:val="en-US"/>
        </w:rPr>
      </w:pPr>
      <w:r w:rsidRPr="003D65CA">
        <w:rPr>
          <w:rFonts w:ascii="Times New Roman" w:hAnsi="Times New Roman" w:cs="Times New Roman"/>
          <w:lang w:val="en-US"/>
        </w:rPr>
        <w:tab/>
        <w:t>Considering the above pronouncements by the court, we do not believe we erred in removing applicant from office.”</w:t>
      </w:r>
    </w:p>
    <w:p w14:paraId="7DDFE09A" w14:textId="2BB23479" w:rsidR="003D65CA" w:rsidRDefault="003D65CA" w:rsidP="003D65CA">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first respondent therefore justified his decision.  He did so by arguing a point of law.  I do not believe that interpreting a provision of the law in the first respondent’s understanding amounts to be partiality.  The second respondent in any event not having opposed the application, the first respondent could not be said to have been partial in his report wherein he simply explained the reason why he came up with the decision </w:t>
      </w:r>
      <w:r w:rsidR="00FE0B6C">
        <w:rPr>
          <w:rFonts w:ascii="Times New Roman" w:hAnsi="Times New Roman" w:cs="Times New Roman"/>
          <w:sz w:val="24"/>
          <w:szCs w:val="24"/>
          <w:lang w:val="en-US"/>
        </w:rPr>
        <w:t>which he reached.  The expression that he believed that he did not err in removing the applicant from office was an opinion which does not affect or influence a proper determination of the case.</w:t>
      </w:r>
    </w:p>
    <w:p w14:paraId="6E93CD23" w14:textId="5619422C" w:rsidR="00FE0B6C" w:rsidRDefault="00FE0B6C" w:rsidP="003D65CA">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 should also observe that in the </w:t>
      </w:r>
      <w:r w:rsidRPr="00FE0B6C">
        <w:rPr>
          <w:rFonts w:ascii="Times New Roman" w:hAnsi="Times New Roman" w:cs="Times New Roman"/>
          <w:i/>
          <w:iCs/>
          <w:sz w:val="24"/>
          <w:szCs w:val="24"/>
          <w:lang w:val="en-US"/>
        </w:rPr>
        <w:t>Blue Ribbon case</w:t>
      </w:r>
      <w:r>
        <w:rPr>
          <w:rFonts w:ascii="Times New Roman" w:hAnsi="Times New Roman" w:cs="Times New Roman"/>
          <w:sz w:val="24"/>
          <w:szCs w:val="24"/>
          <w:lang w:val="en-US"/>
        </w:rPr>
        <w:t xml:space="preserve">, the learned judge </w:t>
      </w:r>
      <w:r w:rsidRPr="00FE0B6C">
        <w:rPr>
          <w:rFonts w:ascii="Times New Roman" w:hAnsi="Times New Roman" w:cs="Times New Roman"/>
          <w:smallCaps/>
          <w:sz w:val="24"/>
          <w:szCs w:val="24"/>
          <w:lang w:val="en-US"/>
        </w:rPr>
        <w:t>McNally JA</w:t>
      </w:r>
      <w:r>
        <w:rPr>
          <w:rFonts w:ascii="Times New Roman" w:hAnsi="Times New Roman" w:cs="Times New Roman"/>
          <w:sz w:val="24"/>
          <w:szCs w:val="24"/>
          <w:lang w:val="en-US"/>
        </w:rPr>
        <w:t xml:space="preserve"> did not give a blanket right of the presiding officer whose decision is brought on review to file an affidavit of clarification.  The learned judge singled out cases where on review allegations of “bias” or “impropriety” are made against the presiding officer as the cases where the presiding office may elect to file an affidavit to clarify issues.  It is therefore not in every case that the learned judge gave the opening for a presiding officer to respond.  The learned judge did indicate that arguments on the correctness or otherwise of proceedings on review are for parties to advance.  My view is that the presiding officer whose decision is on review must generally refrain from commenting on the proceedings except in circumstances where there is a personal attack of bias or impropriety on his part</w:t>
      </w:r>
      <w:r w:rsidRPr="00FE0B6C">
        <w:rPr>
          <w:rFonts w:ascii="Times New Roman" w:hAnsi="Times New Roman" w:cs="Times New Roman"/>
          <w:i/>
          <w:iCs/>
          <w:sz w:val="24"/>
          <w:szCs w:val="24"/>
          <w:lang w:val="en-US"/>
        </w:rPr>
        <w:t>.   In casu</w:t>
      </w:r>
      <w:r>
        <w:rPr>
          <w:rFonts w:ascii="Times New Roman" w:hAnsi="Times New Roman" w:cs="Times New Roman"/>
          <w:sz w:val="24"/>
          <w:szCs w:val="24"/>
          <w:lang w:val="en-US"/>
        </w:rPr>
        <w:t xml:space="preserve">, the applicant based his attack on the decision brought on review upon the alleged failure of he first respondent to properly interpret the law which is not the same as alleging </w:t>
      </w:r>
      <w:r w:rsidR="00C07EE3">
        <w:rPr>
          <w:rFonts w:ascii="Times New Roman" w:hAnsi="Times New Roman" w:cs="Times New Roman"/>
          <w:sz w:val="24"/>
          <w:szCs w:val="24"/>
          <w:lang w:val="en-US"/>
        </w:rPr>
        <w:t xml:space="preserve">bias or impropriety.  The </w:t>
      </w:r>
      <w:r w:rsidR="00C07EE3" w:rsidRPr="005C5CC5">
        <w:rPr>
          <w:rFonts w:ascii="Times New Roman" w:hAnsi="Times New Roman" w:cs="Times New Roman"/>
          <w:i/>
          <w:sz w:val="24"/>
          <w:szCs w:val="24"/>
          <w:lang w:val="en-US"/>
        </w:rPr>
        <w:t>Blue Ribbon case</w:t>
      </w:r>
      <w:r w:rsidR="00C07EE3">
        <w:rPr>
          <w:rFonts w:ascii="Times New Roman" w:hAnsi="Times New Roman" w:cs="Times New Roman"/>
          <w:sz w:val="24"/>
          <w:szCs w:val="24"/>
          <w:lang w:val="en-US"/>
        </w:rPr>
        <w:t xml:space="preserve"> should be read in </w:t>
      </w:r>
      <w:r w:rsidR="00C07EE3">
        <w:rPr>
          <w:rFonts w:ascii="Times New Roman" w:hAnsi="Times New Roman" w:cs="Times New Roman"/>
          <w:sz w:val="24"/>
          <w:szCs w:val="24"/>
          <w:lang w:val="en-US"/>
        </w:rPr>
        <w:lastRenderedPageBreak/>
        <w:t xml:space="preserve">the context of what the learned judge explicitly stated to be the instances where a presiding officer may file an affidavit of clarification.  </w:t>
      </w:r>
      <w:r w:rsidR="00C07EE3" w:rsidRPr="00C07EE3">
        <w:rPr>
          <w:rFonts w:ascii="Times New Roman" w:hAnsi="Times New Roman" w:cs="Times New Roman"/>
          <w:i/>
          <w:iCs/>
          <w:sz w:val="24"/>
          <w:szCs w:val="24"/>
          <w:lang w:val="en-US"/>
        </w:rPr>
        <w:t>In casu</w:t>
      </w:r>
      <w:r w:rsidR="00C07EE3">
        <w:rPr>
          <w:rFonts w:ascii="Times New Roman" w:hAnsi="Times New Roman" w:cs="Times New Roman"/>
          <w:sz w:val="24"/>
          <w:szCs w:val="24"/>
          <w:lang w:val="en-US"/>
        </w:rPr>
        <w:t xml:space="preserve"> I consider that the report clarified the legal basis on which the first respondent made his decision.</w:t>
      </w:r>
    </w:p>
    <w:p w14:paraId="4B7F16C4" w14:textId="66DA0C5D" w:rsidR="00C07EE3" w:rsidRDefault="00C07EE3" w:rsidP="003D65CA">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issue that remains i</w:t>
      </w:r>
      <w:r w:rsidR="005C5CC5">
        <w:rPr>
          <w:rFonts w:ascii="Times New Roman" w:hAnsi="Times New Roman" w:cs="Times New Roman"/>
          <w:sz w:val="24"/>
          <w:szCs w:val="24"/>
          <w:lang w:val="en-US"/>
        </w:rPr>
        <w:t>s</w:t>
      </w:r>
      <w:r>
        <w:rPr>
          <w:rFonts w:ascii="Times New Roman" w:hAnsi="Times New Roman" w:cs="Times New Roman"/>
          <w:sz w:val="24"/>
          <w:szCs w:val="24"/>
          <w:lang w:val="en-US"/>
        </w:rPr>
        <w:t xml:space="preserve"> to answer the question whether the first respondent had legal power to remove the executor.  The provisions of ss 116 and 117 of the Administration of Estates Act deal with the question.  The provisions read as follows:</w:t>
      </w:r>
    </w:p>
    <w:p w14:paraId="3FB7D651" w14:textId="194C4B53" w:rsidR="00C07EE3" w:rsidRPr="007A370B" w:rsidRDefault="00C07EE3" w:rsidP="007A370B">
      <w:pPr>
        <w:spacing w:line="240" w:lineRule="auto"/>
        <w:ind w:firstLine="720"/>
        <w:jc w:val="both"/>
        <w:rPr>
          <w:rFonts w:ascii="Times New Roman" w:hAnsi="Times New Roman" w:cs="Times New Roman"/>
          <w:b/>
          <w:bCs/>
          <w:lang w:val="en-US"/>
        </w:rPr>
      </w:pPr>
      <w:r>
        <w:rPr>
          <w:rFonts w:ascii="Times New Roman" w:hAnsi="Times New Roman" w:cs="Times New Roman"/>
          <w:sz w:val="24"/>
          <w:szCs w:val="24"/>
          <w:lang w:val="en-US"/>
        </w:rPr>
        <w:t>“</w:t>
      </w:r>
      <w:r w:rsidRPr="007A370B">
        <w:rPr>
          <w:rFonts w:ascii="Times New Roman" w:hAnsi="Times New Roman" w:cs="Times New Roman"/>
          <w:b/>
          <w:bCs/>
          <w:lang w:val="en-US"/>
        </w:rPr>
        <w:t>116   Supervision of executors, tutors and curators</w:t>
      </w:r>
    </w:p>
    <w:p w14:paraId="1EF2707E" w14:textId="24A92B65" w:rsidR="00C07EE3" w:rsidRPr="007A370B" w:rsidRDefault="00C07EE3" w:rsidP="007A370B">
      <w:pPr>
        <w:pStyle w:val="ListParagraph"/>
        <w:numPr>
          <w:ilvl w:val="0"/>
          <w:numId w:val="3"/>
        </w:numPr>
        <w:spacing w:line="240" w:lineRule="auto"/>
        <w:jc w:val="both"/>
        <w:rPr>
          <w:rFonts w:ascii="Times New Roman" w:hAnsi="Times New Roman" w:cs="Times New Roman"/>
          <w:lang w:val="en-US"/>
        </w:rPr>
      </w:pPr>
      <w:r w:rsidRPr="007A370B">
        <w:rPr>
          <w:rFonts w:ascii="Times New Roman" w:hAnsi="Times New Roman" w:cs="Times New Roman"/>
          <w:lang w:val="en-US"/>
        </w:rPr>
        <w:t>If it appears to the Master that any executor, tutor or curator is failing or neglecting to perform satisfactorily his duties or to observe all the requirements imposed upon him by law or otherwise in regard thereto, or if any complaint is made to the Master by any creditor, legatee or heir in regard thereto, the Master shall inquire into the matter and take such action thereon as he shall think expedient.</w:t>
      </w:r>
    </w:p>
    <w:p w14:paraId="08F276BF" w14:textId="5DD2F4EE" w:rsidR="003166F8" w:rsidRPr="007A370B" w:rsidRDefault="003166F8" w:rsidP="007A370B">
      <w:pPr>
        <w:pStyle w:val="ListParagraph"/>
        <w:numPr>
          <w:ilvl w:val="0"/>
          <w:numId w:val="3"/>
        </w:numPr>
        <w:spacing w:line="240" w:lineRule="auto"/>
        <w:jc w:val="both"/>
        <w:rPr>
          <w:rFonts w:ascii="Times New Roman" w:hAnsi="Times New Roman" w:cs="Times New Roman"/>
          <w:lang w:val="en-US"/>
        </w:rPr>
      </w:pPr>
      <w:r w:rsidRPr="007A370B">
        <w:rPr>
          <w:rFonts w:ascii="Times New Roman" w:hAnsi="Times New Roman" w:cs="Times New Roman"/>
          <w:lang w:val="en-US"/>
        </w:rPr>
        <w:t>For the purposes of any inquiry under subsection (1), the Master may –</w:t>
      </w:r>
    </w:p>
    <w:p w14:paraId="010B3963" w14:textId="75AF403B" w:rsidR="003166F8" w:rsidRPr="007A370B" w:rsidRDefault="003166F8" w:rsidP="007A370B">
      <w:pPr>
        <w:pStyle w:val="ListParagraph"/>
        <w:numPr>
          <w:ilvl w:val="0"/>
          <w:numId w:val="4"/>
        </w:numPr>
        <w:spacing w:line="240" w:lineRule="auto"/>
        <w:jc w:val="both"/>
        <w:rPr>
          <w:rFonts w:ascii="Times New Roman" w:hAnsi="Times New Roman" w:cs="Times New Roman"/>
          <w:lang w:val="en-US"/>
        </w:rPr>
      </w:pPr>
      <w:r w:rsidRPr="007A370B">
        <w:rPr>
          <w:rFonts w:ascii="Times New Roman" w:hAnsi="Times New Roman" w:cs="Times New Roman"/>
          <w:lang w:val="en-US"/>
        </w:rPr>
        <w:t>Require the executor, tutor or curator concerned or any other person to furnish him with such information as he may require and to produce for examination by the Master or by any person appointed by him for that purpose at a time and place specified by the Master any deeds, plans, instruments, books, accounts, stock lists or documents which the Master may specify:</w:t>
      </w:r>
    </w:p>
    <w:p w14:paraId="4C69C823" w14:textId="3B2A7DFF" w:rsidR="003166F8" w:rsidRPr="007A370B" w:rsidRDefault="003166F8" w:rsidP="007A370B">
      <w:pPr>
        <w:pStyle w:val="ListParagraph"/>
        <w:numPr>
          <w:ilvl w:val="0"/>
          <w:numId w:val="4"/>
        </w:numPr>
        <w:spacing w:line="240" w:lineRule="auto"/>
        <w:jc w:val="both"/>
        <w:rPr>
          <w:rFonts w:ascii="Times New Roman" w:hAnsi="Times New Roman" w:cs="Times New Roman"/>
          <w:lang w:val="en-US"/>
        </w:rPr>
      </w:pPr>
      <w:r w:rsidRPr="007A370B">
        <w:rPr>
          <w:rFonts w:ascii="Times New Roman" w:hAnsi="Times New Roman" w:cs="Times New Roman"/>
          <w:lang w:val="en-US"/>
        </w:rPr>
        <w:t>Serve a written notice upon the executor, tutor or curator concerned requiring him to attend at a time and place to be specified by the Master for the purpose of being examined on oath by the Master of by any person appointed by him for that purpose respecting any transactions or matters affecting the estate which such executor, tutor or curator is administering.</w:t>
      </w:r>
    </w:p>
    <w:p w14:paraId="62E3282A" w14:textId="4F5CA747" w:rsidR="003166F8" w:rsidRPr="007A370B" w:rsidRDefault="003166F8" w:rsidP="007A370B">
      <w:pPr>
        <w:pStyle w:val="ListParagraph"/>
        <w:numPr>
          <w:ilvl w:val="0"/>
          <w:numId w:val="3"/>
        </w:numPr>
        <w:spacing w:line="240" w:lineRule="auto"/>
        <w:jc w:val="both"/>
        <w:rPr>
          <w:rFonts w:ascii="Times New Roman" w:hAnsi="Times New Roman" w:cs="Times New Roman"/>
          <w:lang w:val="en-US"/>
        </w:rPr>
      </w:pPr>
      <w:r w:rsidRPr="007A370B">
        <w:rPr>
          <w:rFonts w:ascii="Times New Roman" w:hAnsi="Times New Roman" w:cs="Times New Roman"/>
          <w:lang w:val="en-US"/>
        </w:rPr>
        <w:t>Any executor, tutor or curator called upon to be examined in terms of this section may be represented at such inquiry by an accountant or by a legal practitioner</w:t>
      </w:r>
      <w:r w:rsidR="00DA62F4" w:rsidRPr="007A370B">
        <w:rPr>
          <w:rFonts w:ascii="Times New Roman" w:hAnsi="Times New Roman" w:cs="Times New Roman"/>
          <w:lang w:val="en-US"/>
        </w:rPr>
        <w:t>.</w:t>
      </w:r>
    </w:p>
    <w:p w14:paraId="308A391E" w14:textId="50C58602" w:rsidR="00DA62F4" w:rsidRPr="007A370B" w:rsidRDefault="00DA62F4" w:rsidP="007A370B">
      <w:pPr>
        <w:pStyle w:val="ListParagraph"/>
        <w:numPr>
          <w:ilvl w:val="0"/>
          <w:numId w:val="3"/>
        </w:numPr>
        <w:spacing w:line="240" w:lineRule="auto"/>
        <w:jc w:val="both"/>
        <w:rPr>
          <w:rFonts w:ascii="Times New Roman" w:hAnsi="Times New Roman" w:cs="Times New Roman"/>
          <w:lang w:val="en-US"/>
        </w:rPr>
      </w:pPr>
      <w:r w:rsidRPr="007A370B">
        <w:rPr>
          <w:rFonts w:ascii="Times New Roman" w:hAnsi="Times New Roman" w:cs="Times New Roman"/>
          <w:lang w:val="en-US"/>
        </w:rPr>
        <w:t>Any executor, tutor or curator or other person who –</w:t>
      </w:r>
    </w:p>
    <w:p w14:paraId="43A03572" w14:textId="4B4079C1" w:rsidR="00DA62F4" w:rsidRPr="007A370B" w:rsidRDefault="00DA62F4" w:rsidP="007A370B">
      <w:pPr>
        <w:pStyle w:val="ListParagraph"/>
        <w:numPr>
          <w:ilvl w:val="0"/>
          <w:numId w:val="5"/>
        </w:numPr>
        <w:spacing w:line="240" w:lineRule="auto"/>
        <w:jc w:val="both"/>
        <w:rPr>
          <w:rFonts w:ascii="Times New Roman" w:hAnsi="Times New Roman" w:cs="Times New Roman"/>
          <w:lang w:val="en-US"/>
        </w:rPr>
      </w:pPr>
      <w:r w:rsidRPr="007A370B">
        <w:rPr>
          <w:rFonts w:ascii="Times New Roman" w:hAnsi="Times New Roman" w:cs="Times New Roman"/>
          <w:lang w:val="en-US"/>
        </w:rPr>
        <w:t>fails to comply with the requirements of the Master in terms of subsection (2); or</w:t>
      </w:r>
    </w:p>
    <w:p w14:paraId="55C6614D" w14:textId="3170BCF6" w:rsidR="00DA62F4" w:rsidRPr="007A370B" w:rsidRDefault="00DA62F4" w:rsidP="007A370B">
      <w:pPr>
        <w:pStyle w:val="ListParagraph"/>
        <w:numPr>
          <w:ilvl w:val="0"/>
          <w:numId w:val="5"/>
        </w:numPr>
        <w:spacing w:line="240" w:lineRule="auto"/>
        <w:jc w:val="both"/>
        <w:rPr>
          <w:rFonts w:ascii="Times New Roman" w:hAnsi="Times New Roman" w:cs="Times New Roman"/>
          <w:lang w:val="en-US"/>
        </w:rPr>
      </w:pPr>
      <w:r w:rsidRPr="007A370B">
        <w:rPr>
          <w:rFonts w:ascii="Times New Roman" w:hAnsi="Times New Roman" w:cs="Times New Roman"/>
          <w:lang w:val="en-US"/>
        </w:rPr>
        <w:t xml:space="preserve">fails to attend at the time and place specified by the Master in terms of subsection (2); or </w:t>
      </w:r>
    </w:p>
    <w:p w14:paraId="4D0DE576" w14:textId="57050D58" w:rsidR="00DA62F4" w:rsidRPr="007A370B" w:rsidRDefault="00DA62F4" w:rsidP="007A370B">
      <w:pPr>
        <w:pStyle w:val="ListParagraph"/>
        <w:numPr>
          <w:ilvl w:val="0"/>
          <w:numId w:val="5"/>
        </w:numPr>
        <w:spacing w:line="240" w:lineRule="auto"/>
        <w:jc w:val="both"/>
        <w:rPr>
          <w:rFonts w:ascii="Times New Roman" w:hAnsi="Times New Roman" w:cs="Times New Roman"/>
          <w:lang w:val="en-US"/>
        </w:rPr>
      </w:pPr>
      <w:r w:rsidRPr="007A370B">
        <w:rPr>
          <w:rFonts w:ascii="Times New Roman" w:hAnsi="Times New Roman" w:cs="Times New Roman"/>
          <w:lang w:val="en-US"/>
        </w:rPr>
        <w:t xml:space="preserve">refuses to answer any question put to him by the Master or by any person appointed by him in terms of subsection (2) otherwise than on the grounds the answer may tend to incriminate him; </w:t>
      </w:r>
    </w:p>
    <w:p w14:paraId="77DDC0EE" w14:textId="2D309763" w:rsidR="00DA62F4" w:rsidRPr="007A370B" w:rsidRDefault="00DA62F4" w:rsidP="007A370B">
      <w:pPr>
        <w:spacing w:line="240" w:lineRule="auto"/>
        <w:ind w:left="1440"/>
        <w:jc w:val="both"/>
        <w:rPr>
          <w:rFonts w:ascii="Times New Roman" w:hAnsi="Times New Roman" w:cs="Times New Roman"/>
          <w:lang w:val="en-US"/>
        </w:rPr>
      </w:pPr>
      <w:r w:rsidRPr="007A370B">
        <w:rPr>
          <w:rFonts w:ascii="Times New Roman" w:hAnsi="Times New Roman" w:cs="Times New Roman"/>
          <w:lang w:val="en-US"/>
        </w:rPr>
        <w:t xml:space="preserve">shall be guilty </w:t>
      </w:r>
      <w:r w:rsidR="00AB203F" w:rsidRPr="007A370B">
        <w:rPr>
          <w:rFonts w:ascii="Times New Roman" w:hAnsi="Times New Roman" w:cs="Times New Roman"/>
          <w:lang w:val="en-US"/>
        </w:rPr>
        <w:t>of an offence and liable to a fine not exceeding level four or to imprisonment for a period not exceeding three months or to both such fine and such imprisonment.</w:t>
      </w:r>
    </w:p>
    <w:p w14:paraId="3C2C7C45" w14:textId="3247011F" w:rsidR="00AB203F" w:rsidRPr="007A370B" w:rsidRDefault="00AB203F" w:rsidP="007A370B">
      <w:pPr>
        <w:spacing w:line="240" w:lineRule="auto"/>
        <w:ind w:left="1440"/>
        <w:jc w:val="both"/>
        <w:rPr>
          <w:rFonts w:ascii="Times New Roman" w:hAnsi="Times New Roman" w:cs="Times New Roman"/>
          <w:lang w:val="en-US"/>
        </w:rPr>
      </w:pPr>
      <w:r w:rsidRPr="007A370B">
        <w:rPr>
          <w:rFonts w:ascii="Times New Roman" w:hAnsi="Times New Roman" w:cs="Times New Roman"/>
          <w:lang w:val="en-US"/>
        </w:rPr>
        <w:tab/>
      </w:r>
      <w:r w:rsidRPr="007A370B">
        <w:rPr>
          <w:rFonts w:ascii="Times New Roman" w:hAnsi="Times New Roman" w:cs="Times New Roman"/>
          <w:lang w:val="en-US"/>
        </w:rPr>
        <w:tab/>
      </w:r>
      <w:r w:rsidRPr="007A370B">
        <w:rPr>
          <w:rFonts w:ascii="Times New Roman" w:hAnsi="Times New Roman" w:cs="Times New Roman"/>
          <w:lang w:val="en-US"/>
        </w:rPr>
        <w:tab/>
        <w:t>(Section amended by section 4 of Act 22 of 2001.</w:t>
      </w:r>
    </w:p>
    <w:p w14:paraId="6902DF3F" w14:textId="171EEEE7" w:rsidR="00AB203F" w:rsidRPr="007A370B" w:rsidRDefault="00AB203F" w:rsidP="007A370B">
      <w:pPr>
        <w:spacing w:line="240" w:lineRule="auto"/>
        <w:ind w:firstLine="720"/>
        <w:jc w:val="both"/>
        <w:rPr>
          <w:rFonts w:ascii="Times New Roman" w:hAnsi="Times New Roman" w:cs="Times New Roman"/>
          <w:b/>
          <w:bCs/>
          <w:lang w:val="en-US"/>
        </w:rPr>
      </w:pPr>
      <w:r w:rsidRPr="007A370B">
        <w:rPr>
          <w:rFonts w:ascii="Times New Roman" w:hAnsi="Times New Roman" w:cs="Times New Roman"/>
          <w:b/>
          <w:bCs/>
          <w:lang w:val="en-US"/>
        </w:rPr>
        <w:t xml:space="preserve">117 </w:t>
      </w:r>
      <w:r w:rsidRPr="007A370B">
        <w:rPr>
          <w:rFonts w:ascii="Times New Roman" w:hAnsi="Times New Roman" w:cs="Times New Roman"/>
          <w:b/>
          <w:bCs/>
          <w:lang w:val="en-US"/>
        </w:rPr>
        <w:tab/>
        <w:t>Master may apply for removal of executor, tutor or curator from office</w:t>
      </w:r>
    </w:p>
    <w:p w14:paraId="18BFC3CD" w14:textId="387B41BE" w:rsidR="00AB203F" w:rsidRPr="007A370B" w:rsidRDefault="00AB203F" w:rsidP="007A370B">
      <w:pPr>
        <w:pStyle w:val="ListParagraph"/>
        <w:numPr>
          <w:ilvl w:val="0"/>
          <w:numId w:val="6"/>
        </w:numPr>
        <w:spacing w:line="240" w:lineRule="auto"/>
        <w:jc w:val="both"/>
        <w:rPr>
          <w:rFonts w:ascii="Times New Roman" w:hAnsi="Times New Roman" w:cs="Times New Roman"/>
          <w:lang w:val="en-US"/>
        </w:rPr>
      </w:pPr>
      <w:r w:rsidRPr="007A370B">
        <w:rPr>
          <w:rFonts w:ascii="Times New Roman" w:hAnsi="Times New Roman" w:cs="Times New Roman"/>
          <w:lang w:val="en-US"/>
        </w:rPr>
        <w:t>The Master may apply to a judge in chambers for the removal of an executor, tutor or curator from his office on the ground –</w:t>
      </w:r>
    </w:p>
    <w:p w14:paraId="21F7902D" w14:textId="361481E2" w:rsidR="00AB203F" w:rsidRPr="007A370B" w:rsidRDefault="00AB203F" w:rsidP="007A370B">
      <w:pPr>
        <w:pStyle w:val="ListParagraph"/>
        <w:numPr>
          <w:ilvl w:val="0"/>
          <w:numId w:val="7"/>
        </w:numPr>
        <w:spacing w:line="240" w:lineRule="auto"/>
        <w:jc w:val="both"/>
        <w:rPr>
          <w:rFonts w:ascii="Times New Roman" w:hAnsi="Times New Roman" w:cs="Times New Roman"/>
          <w:lang w:val="en-US"/>
        </w:rPr>
      </w:pPr>
      <w:r w:rsidRPr="007A370B">
        <w:rPr>
          <w:rFonts w:ascii="Times New Roman" w:hAnsi="Times New Roman" w:cs="Times New Roman"/>
          <w:lang w:val="en-US"/>
        </w:rPr>
        <w:t>that he was not qualified for appointment to such office or that his appointment was for any other reason illegal; or</w:t>
      </w:r>
    </w:p>
    <w:p w14:paraId="4BC77F5C" w14:textId="39E3A89F" w:rsidR="00AB203F" w:rsidRPr="007A370B" w:rsidRDefault="00AB203F" w:rsidP="007A370B">
      <w:pPr>
        <w:pStyle w:val="ListParagraph"/>
        <w:numPr>
          <w:ilvl w:val="0"/>
          <w:numId w:val="7"/>
        </w:numPr>
        <w:spacing w:line="240" w:lineRule="auto"/>
        <w:jc w:val="both"/>
        <w:rPr>
          <w:rFonts w:ascii="Times New Roman" w:hAnsi="Times New Roman" w:cs="Times New Roman"/>
          <w:lang w:val="en-US"/>
        </w:rPr>
      </w:pPr>
      <w:r w:rsidRPr="007A370B">
        <w:rPr>
          <w:rFonts w:ascii="Times New Roman" w:hAnsi="Times New Roman" w:cs="Times New Roman"/>
          <w:lang w:val="en-US"/>
        </w:rPr>
        <w:t>that he has failed to perform satisfactorily any duty or requirement imposed upon him by or in terms of any law; or</w:t>
      </w:r>
    </w:p>
    <w:p w14:paraId="6DC8A424" w14:textId="3BAA7E04" w:rsidR="00AB203F" w:rsidRPr="007A370B" w:rsidRDefault="00AB203F" w:rsidP="007A370B">
      <w:pPr>
        <w:pStyle w:val="ListParagraph"/>
        <w:numPr>
          <w:ilvl w:val="0"/>
          <w:numId w:val="7"/>
        </w:numPr>
        <w:spacing w:line="240" w:lineRule="auto"/>
        <w:jc w:val="both"/>
        <w:rPr>
          <w:rFonts w:ascii="Times New Roman" w:hAnsi="Times New Roman" w:cs="Times New Roman"/>
          <w:lang w:val="en-US"/>
        </w:rPr>
      </w:pPr>
      <w:r w:rsidRPr="007A370B">
        <w:rPr>
          <w:rFonts w:ascii="Times New Roman" w:hAnsi="Times New Roman" w:cs="Times New Roman"/>
          <w:lang w:val="en-US"/>
        </w:rPr>
        <w:lastRenderedPageBreak/>
        <w:t xml:space="preserve">that he is mentally or physically incapable of performing satisfactorily his duties; or </w:t>
      </w:r>
    </w:p>
    <w:p w14:paraId="16B1412A" w14:textId="669E16B8" w:rsidR="00AB203F" w:rsidRPr="007A370B" w:rsidRDefault="00AB203F" w:rsidP="007A370B">
      <w:pPr>
        <w:pStyle w:val="ListParagraph"/>
        <w:numPr>
          <w:ilvl w:val="0"/>
          <w:numId w:val="7"/>
        </w:numPr>
        <w:spacing w:line="240" w:lineRule="auto"/>
        <w:jc w:val="both"/>
        <w:rPr>
          <w:rFonts w:ascii="Times New Roman" w:hAnsi="Times New Roman" w:cs="Times New Roman"/>
          <w:lang w:val="en-US"/>
        </w:rPr>
      </w:pPr>
      <w:r w:rsidRPr="007A370B">
        <w:rPr>
          <w:rFonts w:ascii="Times New Roman" w:hAnsi="Times New Roman" w:cs="Times New Roman"/>
          <w:lang w:val="en-US"/>
        </w:rPr>
        <w:t>that in his opinion such person is no longer suitable to hold such office</w:t>
      </w:r>
      <w:r w:rsidR="007A370B" w:rsidRPr="007A370B">
        <w:rPr>
          <w:rFonts w:ascii="Times New Roman" w:hAnsi="Times New Roman" w:cs="Times New Roman"/>
          <w:lang w:val="en-US"/>
        </w:rPr>
        <w:t>;</w:t>
      </w:r>
    </w:p>
    <w:p w14:paraId="59D8FDD6" w14:textId="748ED15B" w:rsidR="005C5CC5" w:rsidRDefault="007A370B" w:rsidP="005C5CC5">
      <w:pPr>
        <w:spacing w:line="240" w:lineRule="auto"/>
        <w:ind w:left="720"/>
        <w:jc w:val="both"/>
        <w:rPr>
          <w:rFonts w:ascii="Times New Roman" w:hAnsi="Times New Roman" w:cs="Times New Roman"/>
          <w:lang w:val="en-US"/>
        </w:rPr>
      </w:pPr>
      <w:r w:rsidRPr="007A370B">
        <w:rPr>
          <w:rFonts w:ascii="Times New Roman" w:hAnsi="Times New Roman" w:cs="Times New Roman"/>
          <w:lang w:val="en-US"/>
        </w:rPr>
        <w:t>and the judge may, upon such application, remove the executor, tutor or curator concerned from his office or make</w:t>
      </w:r>
      <w:r>
        <w:rPr>
          <w:rFonts w:ascii="Times New Roman" w:hAnsi="Times New Roman" w:cs="Times New Roman"/>
          <w:sz w:val="24"/>
          <w:szCs w:val="24"/>
          <w:lang w:val="en-US"/>
        </w:rPr>
        <w:t xml:space="preserve"> </w:t>
      </w:r>
      <w:r w:rsidRPr="007A370B">
        <w:rPr>
          <w:rFonts w:ascii="Times New Roman" w:hAnsi="Times New Roman" w:cs="Times New Roman"/>
          <w:lang w:val="en-US"/>
        </w:rPr>
        <w:t>such other order as he sees fit.”</w:t>
      </w:r>
    </w:p>
    <w:p w14:paraId="3C35F866" w14:textId="462A70BC" w:rsidR="00622C87" w:rsidRDefault="00622C87" w:rsidP="00622C87">
      <w:pPr>
        <w:spacing w:line="360" w:lineRule="auto"/>
        <w:ind w:firstLine="720"/>
        <w:jc w:val="both"/>
        <w:rPr>
          <w:rFonts w:ascii="Times New Roman" w:hAnsi="Times New Roman" w:cs="Times New Roman"/>
          <w:sz w:val="24"/>
          <w:szCs w:val="24"/>
          <w:lang w:val="en-US"/>
        </w:rPr>
      </w:pPr>
      <w:r w:rsidRPr="00622C87">
        <w:rPr>
          <w:rFonts w:ascii="Times New Roman" w:hAnsi="Times New Roman" w:cs="Times New Roman"/>
          <w:sz w:val="24"/>
          <w:szCs w:val="24"/>
          <w:lang w:val="en-US"/>
        </w:rPr>
        <w:t xml:space="preserve">A close analysis of s 116 simply gives power to the first respondent to enquire into the issues to do </w:t>
      </w:r>
      <w:r>
        <w:rPr>
          <w:rFonts w:ascii="Times New Roman" w:hAnsi="Times New Roman" w:cs="Times New Roman"/>
          <w:sz w:val="24"/>
          <w:szCs w:val="24"/>
          <w:lang w:val="en-US"/>
        </w:rPr>
        <w:t>with the failure by an executor tutor or curator to satisfactorily perform his duties or to observe requirements of the law reposed on the office aforesaid.  Section 117 provides for instances when the first respondent may apply to the court for the removal of the executor</w:t>
      </w:r>
      <w:r w:rsidR="001814BC">
        <w:rPr>
          <w:rFonts w:ascii="Times New Roman" w:hAnsi="Times New Roman" w:cs="Times New Roman"/>
          <w:sz w:val="24"/>
          <w:szCs w:val="24"/>
          <w:lang w:val="en-US"/>
        </w:rPr>
        <w:t>, tutor or curator from his office.  In particular para (b) of subs. (1) of the s 117 deals with the removal of an executor, curator or tutor on grounds mentioned in s 116 as matter upon whose reporting, the first respondent would be required to investigate, enquire into the matter and take such action as he or she shall think expedient.</w:t>
      </w:r>
    </w:p>
    <w:p w14:paraId="6AC611BF" w14:textId="4B42ADA3" w:rsidR="007A370B" w:rsidRDefault="001814BC" w:rsidP="001814BC">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Reverting to s 116 in particular, it deal</w:t>
      </w:r>
      <w:r w:rsidR="005C5CC5">
        <w:rPr>
          <w:rFonts w:ascii="Times New Roman" w:hAnsi="Times New Roman" w:cs="Times New Roman"/>
          <w:sz w:val="24"/>
          <w:szCs w:val="24"/>
          <w:lang w:val="en-US"/>
        </w:rPr>
        <w:t>s</w:t>
      </w:r>
      <w:r>
        <w:rPr>
          <w:rFonts w:ascii="Times New Roman" w:hAnsi="Times New Roman" w:cs="Times New Roman"/>
          <w:sz w:val="24"/>
          <w:szCs w:val="24"/>
          <w:lang w:val="en-US"/>
        </w:rPr>
        <w:t xml:space="preserve"> with supervisory </w:t>
      </w:r>
      <w:r w:rsidR="007A370B">
        <w:rPr>
          <w:rFonts w:ascii="Times New Roman" w:hAnsi="Times New Roman" w:cs="Times New Roman"/>
          <w:sz w:val="24"/>
          <w:szCs w:val="24"/>
          <w:lang w:val="en-US"/>
        </w:rPr>
        <w:t xml:space="preserve">powers of the first respondent.  The first respondent is given wide powers in conducting an investigation of the performance of the executor, curator or </w:t>
      </w:r>
      <w:r w:rsidR="007E3955">
        <w:rPr>
          <w:rFonts w:ascii="Times New Roman" w:hAnsi="Times New Roman" w:cs="Times New Roman"/>
          <w:sz w:val="24"/>
          <w:szCs w:val="24"/>
          <w:lang w:val="en-US"/>
        </w:rPr>
        <w:t xml:space="preserve">tutor </w:t>
      </w:r>
      <w:r w:rsidR="007A370B">
        <w:rPr>
          <w:rFonts w:ascii="Times New Roman" w:hAnsi="Times New Roman" w:cs="Times New Roman"/>
          <w:sz w:val="24"/>
          <w:szCs w:val="24"/>
          <w:lang w:val="en-US"/>
        </w:rPr>
        <w:t>where due performance of his functions.  These include requiring the executor, tutor or curator to produce “deeds, plans, instruments, books, accounts, stock or other documents” as the first respondent may specify.  The first respondent may hold a formal enquiry at which the executor, curator or tutor as the case may be is required to give evidence on oath surrounding the transactions or any matters which affect the estate under administration by that executor, curator or tutor.  So serious is the enquiry when one is held that the executor, curator or tutor who may be represented by a legal practitioner may be liable to criminal sanction that includes being fined, imprisoned or both in the event of committing any of the conduct set out in para(s) (a-c) of subsection 4 of s 116.</w:t>
      </w:r>
    </w:p>
    <w:p w14:paraId="6060B3C1" w14:textId="02CD78C0" w:rsidR="007A370B" w:rsidRDefault="007A370B" w:rsidP="007A370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first respondent in the event of the executor, curator or tutor </w:t>
      </w:r>
      <w:r w:rsidR="007E3955">
        <w:rPr>
          <w:rFonts w:ascii="Times New Roman" w:hAnsi="Times New Roman" w:cs="Times New Roman"/>
          <w:sz w:val="24"/>
          <w:szCs w:val="24"/>
          <w:lang w:val="en-US"/>
        </w:rPr>
        <w:t xml:space="preserve">having </w:t>
      </w:r>
      <w:r>
        <w:rPr>
          <w:rFonts w:ascii="Times New Roman" w:hAnsi="Times New Roman" w:cs="Times New Roman"/>
          <w:sz w:val="24"/>
          <w:szCs w:val="24"/>
          <w:lang w:val="en-US"/>
        </w:rPr>
        <w:t>committ</w:t>
      </w:r>
      <w:r w:rsidR="007E3955">
        <w:rPr>
          <w:rFonts w:ascii="Times New Roman" w:hAnsi="Times New Roman" w:cs="Times New Roman"/>
          <w:sz w:val="24"/>
          <w:szCs w:val="24"/>
          <w:lang w:val="en-US"/>
        </w:rPr>
        <w:t xml:space="preserve">ed </w:t>
      </w:r>
      <w:r>
        <w:rPr>
          <w:rFonts w:ascii="Times New Roman" w:hAnsi="Times New Roman" w:cs="Times New Roman"/>
          <w:sz w:val="24"/>
          <w:szCs w:val="24"/>
          <w:lang w:val="en-US"/>
        </w:rPr>
        <w:t>any of the conduct aforesaid will be the complainant who reports to the police and the criminal process ensues culminating in the trial of the executor, curator or tutor by a court with criminal jurisdiction</w:t>
      </w:r>
      <w:r w:rsidR="00E16D9F">
        <w:rPr>
          <w:rFonts w:ascii="Times New Roman" w:hAnsi="Times New Roman" w:cs="Times New Roman"/>
          <w:sz w:val="24"/>
          <w:szCs w:val="24"/>
          <w:lang w:val="en-US"/>
        </w:rPr>
        <w:t>.  The first respondent it must be emphasized does not have power to hold a trial of or p</w:t>
      </w:r>
      <w:r w:rsidR="007E3955">
        <w:rPr>
          <w:rFonts w:ascii="Times New Roman" w:hAnsi="Times New Roman" w:cs="Times New Roman"/>
          <w:sz w:val="24"/>
          <w:szCs w:val="24"/>
          <w:lang w:val="en-US"/>
        </w:rPr>
        <w:t>r</w:t>
      </w:r>
      <w:r w:rsidR="00E16D9F">
        <w:rPr>
          <w:rFonts w:ascii="Times New Roman" w:hAnsi="Times New Roman" w:cs="Times New Roman"/>
          <w:sz w:val="24"/>
          <w:szCs w:val="24"/>
          <w:lang w:val="en-US"/>
        </w:rPr>
        <w:t>o</w:t>
      </w:r>
      <w:r w:rsidR="007E3955">
        <w:rPr>
          <w:rFonts w:ascii="Times New Roman" w:hAnsi="Times New Roman" w:cs="Times New Roman"/>
          <w:sz w:val="24"/>
          <w:szCs w:val="24"/>
          <w:lang w:val="en-US"/>
        </w:rPr>
        <w:t>no</w:t>
      </w:r>
      <w:r w:rsidR="00E16D9F">
        <w:rPr>
          <w:rFonts w:ascii="Times New Roman" w:hAnsi="Times New Roman" w:cs="Times New Roman"/>
          <w:sz w:val="24"/>
          <w:szCs w:val="24"/>
          <w:lang w:val="en-US"/>
        </w:rPr>
        <w:t>unce any guilty verdict on the executor, curator or tutor.  I say so deliberately although it may appear to be obvious because the first respondent in his report averred that in the absence of s 116 which gives him power to do anything expedient, he believes that such power would include a revocation of letters of administration and removal of the executor.</w:t>
      </w:r>
    </w:p>
    <w:p w14:paraId="635986DD" w14:textId="4DD35341" w:rsidR="00E16D9F" w:rsidRDefault="00E16D9F" w:rsidP="007A370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t>In his report, the first respondent as I noted found refuge to support his actions to remove the applicant as executor in s 116(1).  The error which he made was to consider s 116(1) as a stand-alone section.  He did not consider that s 117 is the one which specifically provided for and reposed the power of removal of an executor, curator or tutor in a judge of the High Court in chambers upon application by the first respondent for such removal.</w:t>
      </w:r>
    </w:p>
    <w:p w14:paraId="3F2DC113" w14:textId="4ACB2F07" w:rsidR="00E16D9F" w:rsidRDefault="00E16D9F" w:rsidP="007A370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A reading of s 117(1) sets out the grounds upon which the executor, curator or tutor may be removed from office.  There are four such grounds which are listed (a) to (d) as quoted.  Where the first respondent in the discharge of his supervisory powers of the administration of a deceased estate has cause upon an investigation and fact finding that an executor, curator or tutor ought to be removed from office for any or more </w:t>
      </w:r>
      <w:r w:rsidR="00EC7C4F">
        <w:rPr>
          <w:rFonts w:ascii="Times New Roman" w:hAnsi="Times New Roman" w:cs="Times New Roman"/>
          <w:sz w:val="24"/>
          <w:szCs w:val="24"/>
          <w:lang w:val="en-US"/>
        </w:rPr>
        <w:t>or all of the grounds listed (a) to (d) then the first respondent may make or file a chamber application for the removal of the executor, curator or tutor.  The judge upon considering the application may then remove the executor, curator or tutor from office or makes such order as the judge deems fit, which means that the judge may refuse to grant the relief of removal and grant such order as considered appropriate the main consideration being to ensure the due and proper administration of the estate in issue in accordance with the dictates of the law.</w:t>
      </w:r>
    </w:p>
    <w:p w14:paraId="6FD80DD6" w14:textId="0C43D0C3" w:rsidR="00EC7C4F" w:rsidRDefault="00EC7C4F" w:rsidP="007A370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first respondent’s attention is also referred to the provisions of subs. (2) of s 117.  The provisions thereof are very clear that the first respondent is required by law to revoke the letters of administration or confirmation or </w:t>
      </w:r>
      <w:r w:rsidR="00345A57">
        <w:rPr>
          <w:rFonts w:ascii="Times New Roman" w:hAnsi="Times New Roman" w:cs="Times New Roman"/>
          <w:sz w:val="24"/>
          <w:szCs w:val="24"/>
          <w:lang w:val="en-US"/>
        </w:rPr>
        <w:t>the case maybe only upon removal of the executor, curator or tutor by the judge pursuant to an application made in terms of s 117(1) as discussed (</w:t>
      </w:r>
      <w:r w:rsidR="00345A57" w:rsidRPr="00345A57">
        <w:rPr>
          <w:rFonts w:ascii="Times New Roman" w:hAnsi="Times New Roman" w:cs="Times New Roman"/>
          <w:i/>
          <w:iCs/>
          <w:sz w:val="24"/>
          <w:szCs w:val="24"/>
          <w:lang w:val="en-US"/>
        </w:rPr>
        <w:t>supra</w:t>
      </w:r>
      <w:r w:rsidR="00345A57">
        <w:rPr>
          <w:rFonts w:ascii="Times New Roman" w:hAnsi="Times New Roman" w:cs="Times New Roman"/>
          <w:sz w:val="24"/>
          <w:szCs w:val="24"/>
          <w:lang w:val="en-US"/>
        </w:rPr>
        <w:t>).</w:t>
      </w:r>
    </w:p>
    <w:p w14:paraId="20AC8C39" w14:textId="3BBB0452" w:rsidR="00345A57" w:rsidRDefault="00345A57" w:rsidP="007A370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It is important that when one interprets the provisions of a statute, notwithstanding whatever school of statutory interpretation is approached one adopts, one considers the language and structure of the statute first.  There is convergence of consensus that a statute be read harmoniously as one and individual parts be interpreted in a broader statutory context.  Simply put the first respondent ought to have read s 116 in harmony with s 117.  If the legislature had intended that upon the exercise by the first respondent of the power granted to him in s 116(1</w:t>
      </w:r>
      <w:r>
        <w:rPr>
          <w:rFonts w:ascii="Times New Roman" w:hAnsi="Times New Roman" w:cs="Times New Roman"/>
          <w:sz w:val="24"/>
          <w:szCs w:val="24"/>
          <w:lang w:val="en-US"/>
        </w:rPr>
        <w:tab/>
        <w:t xml:space="preserve">), the first respondent could remove an executor from office, then the legislature would not have by the same token provided for removal of an executor by chamber application </w:t>
      </w:r>
      <w:r w:rsidR="00A42FD6">
        <w:rPr>
          <w:rFonts w:ascii="Times New Roman" w:hAnsi="Times New Roman" w:cs="Times New Roman"/>
          <w:sz w:val="24"/>
          <w:szCs w:val="24"/>
          <w:lang w:val="en-US"/>
        </w:rPr>
        <w:t xml:space="preserve">initiated by the first respondent.  When ss 116(1) and 117(1) are read in harmony, the correct construction to be given is that the express mention of the removal of the executor being granted to the judge upon application by the first respondent of necessity means that such power is </w:t>
      </w:r>
      <w:r w:rsidR="00A42FD6">
        <w:rPr>
          <w:rFonts w:ascii="Times New Roman" w:hAnsi="Times New Roman" w:cs="Times New Roman"/>
          <w:sz w:val="24"/>
          <w:szCs w:val="24"/>
          <w:lang w:val="en-US"/>
        </w:rPr>
        <w:lastRenderedPageBreak/>
        <w:t xml:space="preserve">excluded from any powers which the first respondent may exercise in terms of s 116(1) which provides that the first respondent may do anything expedient in the exercise of his supervisory power over matters therein provided.  The expression or rule </w:t>
      </w:r>
      <w:r w:rsidR="00A42FD6" w:rsidRPr="00A42FD6">
        <w:rPr>
          <w:rFonts w:ascii="Times New Roman" w:hAnsi="Times New Roman" w:cs="Times New Roman"/>
          <w:i/>
          <w:iCs/>
          <w:sz w:val="24"/>
          <w:szCs w:val="24"/>
          <w:lang w:val="en-US"/>
        </w:rPr>
        <w:t>expressio unius est exclusic alterius</w:t>
      </w:r>
      <w:r w:rsidR="00A42FD6">
        <w:rPr>
          <w:rFonts w:ascii="Times New Roman" w:hAnsi="Times New Roman" w:cs="Times New Roman"/>
          <w:sz w:val="24"/>
          <w:szCs w:val="24"/>
          <w:lang w:val="en-US"/>
        </w:rPr>
        <w:t xml:space="preserve"> (the expression of one thing is the exclusion of the other) as an aid to try and establish the intention of the legislature when it is not clearly manifest comes into </w:t>
      </w:r>
      <w:r w:rsidR="007E3955">
        <w:rPr>
          <w:rFonts w:ascii="Times New Roman" w:hAnsi="Times New Roman" w:cs="Times New Roman"/>
          <w:sz w:val="24"/>
          <w:szCs w:val="24"/>
          <w:lang w:val="en-US"/>
        </w:rPr>
        <w:t>p</w:t>
      </w:r>
      <w:r w:rsidR="00A42FD6">
        <w:rPr>
          <w:rFonts w:ascii="Times New Roman" w:hAnsi="Times New Roman" w:cs="Times New Roman"/>
          <w:sz w:val="24"/>
          <w:szCs w:val="24"/>
          <w:lang w:val="en-US"/>
        </w:rPr>
        <w:t>lay.  The first respondent can therefore in terms of s 116 do what he considers expedient in the exercise of supervisory power over an executor, curator or tutor</w:t>
      </w:r>
      <w:r w:rsidR="001F74FD">
        <w:rPr>
          <w:rFonts w:ascii="Times New Roman" w:hAnsi="Times New Roman" w:cs="Times New Roman"/>
          <w:sz w:val="24"/>
          <w:szCs w:val="24"/>
          <w:lang w:val="en-US"/>
        </w:rPr>
        <w:t>.  This</w:t>
      </w:r>
      <w:r w:rsidR="00A42FD6">
        <w:rPr>
          <w:rFonts w:ascii="Times New Roman" w:hAnsi="Times New Roman" w:cs="Times New Roman"/>
          <w:sz w:val="24"/>
          <w:szCs w:val="24"/>
          <w:lang w:val="en-US"/>
        </w:rPr>
        <w:t xml:space="preserve"> however exclude</w:t>
      </w:r>
      <w:r w:rsidR="001F74FD">
        <w:rPr>
          <w:rFonts w:ascii="Times New Roman" w:hAnsi="Times New Roman" w:cs="Times New Roman"/>
          <w:sz w:val="24"/>
          <w:szCs w:val="24"/>
          <w:lang w:val="en-US"/>
        </w:rPr>
        <w:t>s</w:t>
      </w:r>
      <w:r w:rsidR="00A42FD6">
        <w:rPr>
          <w:rFonts w:ascii="Times New Roman" w:hAnsi="Times New Roman" w:cs="Times New Roman"/>
          <w:sz w:val="24"/>
          <w:szCs w:val="24"/>
          <w:lang w:val="en-US"/>
        </w:rPr>
        <w:t xml:space="preserve"> removal </w:t>
      </w:r>
      <w:r w:rsidR="001F74FD">
        <w:rPr>
          <w:rFonts w:ascii="Times New Roman" w:hAnsi="Times New Roman" w:cs="Times New Roman"/>
          <w:sz w:val="24"/>
          <w:szCs w:val="24"/>
          <w:lang w:val="en-US"/>
        </w:rPr>
        <w:t xml:space="preserve">of that person </w:t>
      </w:r>
      <w:r w:rsidR="00A42FD6">
        <w:rPr>
          <w:rFonts w:ascii="Times New Roman" w:hAnsi="Times New Roman" w:cs="Times New Roman"/>
          <w:sz w:val="24"/>
          <w:szCs w:val="24"/>
          <w:lang w:val="en-US"/>
        </w:rPr>
        <w:t xml:space="preserve">from office.  In the case of </w:t>
      </w:r>
      <w:r w:rsidR="00A42FD6" w:rsidRPr="008F25BF">
        <w:rPr>
          <w:rFonts w:ascii="Times New Roman" w:hAnsi="Times New Roman" w:cs="Times New Roman"/>
          <w:i/>
          <w:iCs/>
          <w:sz w:val="24"/>
          <w:szCs w:val="24"/>
          <w:lang w:val="en-US"/>
        </w:rPr>
        <w:t>Eagle Insurance Co. Ltd</w:t>
      </w:r>
      <w:r w:rsidR="00A42FD6">
        <w:rPr>
          <w:rFonts w:ascii="Times New Roman" w:hAnsi="Times New Roman" w:cs="Times New Roman"/>
          <w:sz w:val="24"/>
          <w:szCs w:val="24"/>
          <w:lang w:val="en-US"/>
        </w:rPr>
        <w:t xml:space="preserve"> v </w:t>
      </w:r>
      <w:r w:rsidR="00A42FD6" w:rsidRPr="008F25BF">
        <w:rPr>
          <w:rFonts w:ascii="Times New Roman" w:hAnsi="Times New Roman" w:cs="Times New Roman"/>
          <w:i/>
          <w:iCs/>
          <w:sz w:val="24"/>
          <w:szCs w:val="24"/>
          <w:lang w:val="en-US"/>
        </w:rPr>
        <w:t xml:space="preserve">Grant </w:t>
      </w:r>
      <w:r w:rsidR="00A42FD6">
        <w:rPr>
          <w:rFonts w:ascii="Times New Roman" w:hAnsi="Times New Roman" w:cs="Times New Roman"/>
          <w:sz w:val="24"/>
          <w:szCs w:val="24"/>
          <w:lang w:val="en-US"/>
        </w:rPr>
        <w:t xml:space="preserve">1989(3) ZLR 278(S) at 280F, the learned </w:t>
      </w:r>
      <w:r w:rsidR="00A42FD6" w:rsidRPr="00A42FD6">
        <w:rPr>
          <w:rFonts w:ascii="Times New Roman" w:hAnsi="Times New Roman" w:cs="Times New Roman"/>
          <w:smallCaps/>
          <w:sz w:val="24"/>
          <w:szCs w:val="24"/>
          <w:lang w:val="en-US"/>
        </w:rPr>
        <w:t>Korsah JA</w:t>
      </w:r>
      <w:r w:rsidR="00A42FD6">
        <w:rPr>
          <w:rFonts w:ascii="Times New Roman" w:hAnsi="Times New Roman" w:cs="Times New Roman"/>
          <w:sz w:val="24"/>
          <w:szCs w:val="24"/>
          <w:lang w:val="en-US"/>
        </w:rPr>
        <w:t xml:space="preserve"> stated:</w:t>
      </w:r>
    </w:p>
    <w:p w14:paraId="549EC1A1" w14:textId="548F2687" w:rsidR="00A42FD6" w:rsidRPr="00127457" w:rsidRDefault="00A42FD6" w:rsidP="008F25BF">
      <w:pPr>
        <w:spacing w:line="240" w:lineRule="auto"/>
        <w:ind w:left="720"/>
        <w:jc w:val="both"/>
        <w:rPr>
          <w:rFonts w:ascii="Times New Roman" w:hAnsi="Times New Roman" w:cs="Times New Roman"/>
          <w:lang w:val="en-US"/>
        </w:rPr>
      </w:pPr>
      <w:r>
        <w:rPr>
          <w:rFonts w:ascii="Times New Roman" w:hAnsi="Times New Roman" w:cs="Times New Roman"/>
          <w:sz w:val="24"/>
          <w:szCs w:val="24"/>
          <w:lang w:val="en-US"/>
        </w:rPr>
        <w:t>“</w:t>
      </w:r>
      <w:r w:rsidRPr="00127457">
        <w:rPr>
          <w:rFonts w:ascii="Times New Roman" w:hAnsi="Times New Roman" w:cs="Times New Roman"/>
          <w:lang w:val="en-US"/>
        </w:rPr>
        <w:t xml:space="preserve">A rule which is variably resorted to in the interpretation of statutes, the </w:t>
      </w:r>
      <w:r w:rsidR="008F25BF" w:rsidRPr="00127457">
        <w:rPr>
          <w:rFonts w:ascii="Times New Roman" w:hAnsi="Times New Roman" w:cs="Times New Roman"/>
          <w:i/>
          <w:iCs/>
          <w:lang w:val="en-US"/>
        </w:rPr>
        <w:t>expressio unius</w:t>
      </w:r>
      <w:r w:rsidR="008F25BF" w:rsidRPr="00127457">
        <w:rPr>
          <w:rFonts w:ascii="Times New Roman" w:hAnsi="Times New Roman" w:cs="Times New Roman"/>
          <w:lang w:val="en-US"/>
        </w:rPr>
        <w:t xml:space="preserve"> rule – is that the mention of one or more things of a particular class may be regarded as silently excluding all other member of the class.”</w:t>
      </w:r>
    </w:p>
    <w:p w14:paraId="526C1666" w14:textId="28029A53" w:rsidR="008F25BF" w:rsidRPr="007A370B" w:rsidRDefault="008F25BF" w:rsidP="007A370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See </w:t>
      </w:r>
      <w:r w:rsidRPr="00127457">
        <w:rPr>
          <w:rFonts w:ascii="Times New Roman" w:hAnsi="Times New Roman" w:cs="Times New Roman"/>
          <w:i/>
          <w:iCs/>
          <w:sz w:val="24"/>
          <w:szCs w:val="24"/>
          <w:lang w:val="en-US"/>
        </w:rPr>
        <w:t xml:space="preserve">Godfrey Tapedza &amp; </w:t>
      </w:r>
      <w:r w:rsidR="00127457" w:rsidRPr="00127457">
        <w:rPr>
          <w:rFonts w:ascii="Times New Roman" w:hAnsi="Times New Roman" w:cs="Times New Roman"/>
          <w:i/>
          <w:iCs/>
          <w:sz w:val="24"/>
          <w:szCs w:val="24"/>
          <w:lang w:val="en-US"/>
        </w:rPr>
        <w:t xml:space="preserve">9 </w:t>
      </w:r>
      <w:r w:rsidRPr="00127457">
        <w:rPr>
          <w:rFonts w:ascii="Times New Roman" w:hAnsi="Times New Roman" w:cs="Times New Roman"/>
          <w:i/>
          <w:iCs/>
          <w:sz w:val="24"/>
          <w:szCs w:val="24"/>
          <w:lang w:val="en-US"/>
        </w:rPr>
        <w:t>Ors</w:t>
      </w:r>
      <w:r>
        <w:rPr>
          <w:rFonts w:ascii="Times New Roman" w:hAnsi="Times New Roman" w:cs="Times New Roman"/>
          <w:sz w:val="24"/>
          <w:szCs w:val="24"/>
          <w:lang w:val="en-US"/>
        </w:rPr>
        <w:t xml:space="preserve"> v </w:t>
      </w:r>
      <w:r w:rsidRPr="00127457">
        <w:rPr>
          <w:rFonts w:ascii="Times New Roman" w:hAnsi="Times New Roman" w:cs="Times New Roman"/>
          <w:i/>
          <w:iCs/>
          <w:sz w:val="24"/>
          <w:szCs w:val="24"/>
          <w:lang w:val="en-US"/>
        </w:rPr>
        <w:t>Zimbabwe Energy Regulatory Authority &amp; Anor</w:t>
      </w:r>
      <w:r>
        <w:rPr>
          <w:rFonts w:ascii="Times New Roman" w:hAnsi="Times New Roman" w:cs="Times New Roman"/>
          <w:sz w:val="24"/>
          <w:szCs w:val="24"/>
          <w:lang w:val="en-US"/>
        </w:rPr>
        <w:t xml:space="preserve"> SC 30/20.  </w:t>
      </w:r>
    </w:p>
    <w:p w14:paraId="767F925D" w14:textId="657E20EF" w:rsidR="00AB203F" w:rsidRDefault="00127457" w:rsidP="0012745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To conclude, the applicant has made a proper case for the setting aside of the revocation of the letters of administrators issued to the applicant.  Although the applicant avers that he seeks a declaratur to the effect  that he is the duly appointed executor of the estate of the late Mapfumo Kunaka, there is no need for a declaratur to be pronounced.  Once it is determined that the actions </w:t>
      </w:r>
      <w:r w:rsidR="001F74FD">
        <w:rPr>
          <w:rFonts w:ascii="Times New Roman" w:hAnsi="Times New Roman" w:cs="Times New Roman"/>
          <w:sz w:val="24"/>
          <w:szCs w:val="24"/>
          <w:lang w:val="en-US"/>
        </w:rPr>
        <w:t>o</w:t>
      </w:r>
      <w:r>
        <w:rPr>
          <w:rFonts w:ascii="Times New Roman" w:hAnsi="Times New Roman" w:cs="Times New Roman"/>
          <w:sz w:val="24"/>
          <w:szCs w:val="24"/>
          <w:lang w:val="en-US"/>
        </w:rPr>
        <w:t xml:space="preserve">f the first respondent in revoking the applicant’s letter of administration were a nullity, nothing arises from them.  See </w:t>
      </w:r>
      <w:r w:rsidRPr="00127457">
        <w:rPr>
          <w:rFonts w:ascii="Times New Roman" w:hAnsi="Times New Roman" w:cs="Times New Roman"/>
          <w:i/>
          <w:iCs/>
          <w:sz w:val="24"/>
          <w:szCs w:val="24"/>
          <w:lang w:val="en-US"/>
        </w:rPr>
        <w:t>Folly Cornishe (Pvt) Ltd</w:t>
      </w:r>
      <w:r>
        <w:rPr>
          <w:rFonts w:ascii="Times New Roman" w:hAnsi="Times New Roman" w:cs="Times New Roman"/>
          <w:sz w:val="24"/>
          <w:szCs w:val="24"/>
          <w:lang w:val="en-US"/>
        </w:rPr>
        <w:t xml:space="preserve"> v </w:t>
      </w:r>
      <w:r w:rsidRPr="00127457">
        <w:rPr>
          <w:rFonts w:ascii="Times New Roman" w:hAnsi="Times New Roman" w:cs="Times New Roman"/>
          <w:i/>
          <w:iCs/>
          <w:sz w:val="24"/>
          <w:szCs w:val="24"/>
          <w:lang w:val="en-US"/>
        </w:rPr>
        <w:t>Taponwa N.O &amp; Ors</w:t>
      </w:r>
      <w:r>
        <w:rPr>
          <w:rFonts w:ascii="Times New Roman" w:hAnsi="Times New Roman" w:cs="Times New Roman"/>
          <w:sz w:val="24"/>
          <w:szCs w:val="24"/>
          <w:lang w:val="en-US"/>
        </w:rPr>
        <w:t xml:space="preserve"> SC</w:t>
      </w:r>
      <w:r w:rsidR="003C4320">
        <w:rPr>
          <w:rFonts w:ascii="Times New Roman" w:hAnsi="Times New Roman" w:cs="Times New Roman"/>
          <w:sz w:val="24"/>
          <w:szCs w:val="24"/>
          <w:lang w:val="en-US"/>
        </w:rPr>
        <w:t> </w:t>
      </w:r>
      <w:r>
        <w:rPr>
          <w:rFonts w:ascii="Times New Roman" w:hAnsi="Times New Roman" w:cs="Times New Roman"/>
          <w:sz w:val="24"/>
          <w:szCs w:val="24"/>
          <w:lang w:val="en-US"/>
        </w:rPr>
        <w:t xml:space="preserve">26/14, </w:t>
      </w:r>
      <w:r w:rsidRPr="00127457">
        <w:rPr>
          <w:rFonts w:ascii="Times New Roman" w:hAnsi="Times New Roman" w:cs="Times New Roman"/>
          <w:i/>
          <w:iCs/>
          <w:sz w:val="24"/>
          <w:szCs w:val="24"/>
          <w:lang w:val="en-US"/>
        </w:rPr>
        <w:t>Macfoy</w:t>
      </w:r>
      <w:r>
        <w:rPr>
          <w:rFonts w:ascii="Times New Roman" w:hAnsi="Times New Roman" w:cs="Times New Roman"/>
          <w:sz w:val="24"/>
          <w:szCs w:val="24"/>
          <w:lang w:val="en-US"/>
        </w:rPr>
        <w:t xml:space="preserve"> v </w:t>
      </w:r>
      <w:r w:rsidRPr="003C4320">
        <w:rPr>
          <w:rFonts w:ascii="Times New Roman" w:hAnsi="Times New Roman" w:cs="Times New Roman"/>
          <w:i/>
          <w:iCs/>
          <w:sz w:val="24"/>
          <w:szCs w:val="24"/>
          <w:lang w:val="en-US"/>
        </w:rPr>
        <w:t>United Africa Company Ltd</w:t>
      </w:r>
      <w:r>
        <w:rPr>
          <w:rFonts w:ascii="Times New Roman" w:hAnsi="Times New Roman" w:cs="Times New Roman"/>
          <w:sz w:val="24"/>
          <w:szCs w:val="24"/>
          <w:lang w:val="en-US"/>
        </w:rPr>
        <w:t xml:space="preserve"> (1961) 3 All ER 1169.  The situation that necessarily obtains is that the applicant until properly removed from office of executor dative of the estate in issue remains properly appointed and retains his letters of administration.</w:t>
      </w:r>
    </w:p>
    <w:p w14:paraId="51502A09" w14:textId="63E2FB65" w:rsidR="003C4320" w:rsidRDefault="003C4320" w:rsidP="0012745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last issue concerns costs </w:t>
      </w:r>
      <w:r w:rsidR="00EC104B">
        <w:rPr>
          <w:rFonts w:ascii="Times New Roman" w:hAnsi="Times New Roman" w:cs="Times New Roman"/>
          <w:sz w:val="24"/>
          <w:szCs w:val="24"/>
          <w:lang w:val="en-US"/>
        </w:rPr>
        <w:t>which the applicant claims from a respondent or anyone who opposes the relief sought.  The prayer for costs in this matter is misplaced.  The first respondent did not oppose the application.  He compiled a report as permitted b</w:t>
      </w:r>
      <w:r w:rsidR="001F74FD">
        <w:rPr>
          <w:rFonts w:ascii="Times New Roman" w:hAnsi="Times New Roman" w:cs="Times New Roman"/>
          <w:sz w:val="24"/>
          <w:szCs w:val="24"/>
          <w:lang w:val="en-US"/>
        </w:rPr>
        <w:t>y</w:t>
      </w:r>
      <w:r w:rsidR="00EC104B">
        <w:rPr>
          <w:rFonts w:ascii="Times New Roman" w:hAnsi="Times New Roman" w:cs="Times New Roman"/>
          <w:sz w:val="24"/>
          <w:szCs w:val="24"/>
          <w:lang w:val="en-US"/>
        </w:rPr>
        <w:t xml:space="preserve"> law and filed it.  The fact that the applicant may differ with the first respondent upon the interpretation of the law as per the first respondent’s report is no ground to hold that the applicant has </w:t>
      </w:r>
      <w:r w:rsidR="009317D9">
        <w:rPr>
          <w:rFonts w:ascii="Times New Roman" w:hAnsi="Times New Roman" w:cs="Times New Roman"/>
          <w:sz w:val="24"/>
          <w:szCs w:val="24"/>
          <w:lang w:val="en-US"/>
        </w:rPr>
        <w:t>succeeded and the first respondent’s defence has failed.  No defence was filed by the first respondent.  The second respondent did not oppose the application.  I refuse to grant a costs order against the first respondent</w:t>
      </w:r>
      <w:r w:rsidR="00D13896">
        <w:rPr>
          <w:rFonts w:ascii="Times New Roman" w:hAnsi="Times New Roman" w:cs="Times New Roman"/>
          <w:sz w:val="24"/>
          <w:szCs w:val="24"/>
          <w:lang w:val="en-US"/>
        </w:rPr>
        <w:t xml:space="preserve"> whom I determined in any event to be a nominal respondent.</w:t>
      </w:r>
    </w:p>
    <w:p w14:paraId="391F32E9" w14:textId="48555BC9" w:rsidR="00D13896" w:rsidRDefault="00D13896" w:rsidP="0012745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In the result, the following order is made, </w:t>
      </w:r>
      <w:r w:rsidRPr="00D13896">
        <w:rPr>
          <w:rFonts w:ascii="Times New Roman" w:hAnsi="Times New Roman" w:cs="Times New Roman"/>
          <w:b/>
          <w:bCs/>
          <w:sz w:val="24"/>
          <w:szCs w:val="24"/>
          <w:lang w:val="en-US"/>
        </w:rPr>
        <w:t>IT IS ORDERED THAT</w:t>
      </w:r>
      <w:r>
        <w:rPr>
          <w:rFonts w:ascii="Times New Roman" w:hAnsi="Times New Roman" w:cs="Times New Roman"/>
          <w:sz w:val="24"/>
          <w:szCs w:val="24"/>
          <w:lang w:val="en-US"/>
        </w:rPr>
        <w:t>:</w:t>
      </w:r>
    </w:p>
    <w:p w14:paraId="3D926FA9" w14:textId="0DAF10DA" w:rsidR="00D13896" w:rsidRDefault="00D13896" w:rsidP="00D13896">
      <w:pPr>
        <w:pStyle w:val="ListParagraph"/>
        <w:numPr>
          <w:ilvl w:val="0"/>
          <w:numId w:val="8"/>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The purported revocation by the first respondent of letters of administration issued to the applicant on 23 August 2016 in the Estate of the late Mapfumo Kunaka DR 1467/16 is set aside.</w:t>
      </w:r>
    </w:p>
    <w:p w14:paraId="10264514" w14:textId="6FEA512A" w:rsidR="00D13896" w:rsidRDefault="00D13896" w:rsidP="00D13896">
      <w:pPr>
        <w:pStyle w:val="ListParagraph"/>
        <w:numPr>
          <w:ilvl w:val="0"/>
          <w:numId w:val="8"/>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letters of administration in the same estate issued to the 2</w:t>
      </w:r>
      <w:r w:rsidRPr="00D13896">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respondent on 19 December 2019 are set aside.</w:t>
      </w:r>
    </w:p>
    <w:p w14:paraId="0B389D31" w14:textId="0FF44F0D" w:rsidR="00D13896" w:rsidRDefault="00D13896" w:rsidP="00D13896">
      <w:pPr>
        <w:pStyle w:val="ListParagraph"/>
        <w:numPr>
          <w:ilvl w:val="0"/>
          <w:numId w:val="8"/>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For the avoidance of doubt, nothing in this judgment shall be construed as barring the first respondent from properly and lawfully exercising the powers granted to him in terms of ss 116 and 117 of the Administration of Estates Act, [</w:t>
      </w:r>
      <w:r w:rsidRPr="00D13896">
        <w:rPr>
          <w:rFonts w:ascii="Times New Roman" w:hAnsi="Times New Roman" w:cs="Times New Roman"/>
          <w:i/>
          <w:iCs/>
          <w:sz w:val="24"/>
          <w:szCs w:val="24"/>
          <w:lang w:val="en-US"/>
        </w:rPr>
        <w:t>Chapter 6:01</w:t>
      </w:r>
      <w:r>
        <w:rPr>
          <w:rFonts w:ascii="Times New Roman" w:hAnsi="Times New Roman" w:cs="Times New Roman"/>
          <w:sz w:val="24"/>
          <w:szCs w:val="24"/>
          <w:lang w:val="en-US"/>
        </w:rPr>
        <w:t>].</w:t>
      </w:r>
    </w:p>
    <w:p w14:paraId="2A895C92" w14:textId="3CB343DE" w:rsidR="00D13896" w:rsidRDefault="00D13896" w:rsidP="00D13896">
      <w:pPr>
        <w:pStyle w:val="ListParagraph"/>
        <w:numPr>
          <w:ilvl w:val="0"/>
          <w:numId w:val="8"/>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There is no order as to costs.</w:t>
      </w:r>
    </w:p>
    <w:p w14:paraId="443F7FAE" w14:textId="015AEAC0" w:rsidR="00D13896" w:rsidRDefault="00D13896" w:rsidP="00D13896">
      <w:pPr>
        <w:pStyle w:val="ListParagraph"/>
        <w:numPr>
          <w:ilvl w:val="0"/>
          <w:numId w:val="8"/>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Registrar must serve copy of this judgment on the Master.</w:t>
      </w:r>
    </w:p>
    <w:p w14:paraId="17EC662C" w14:textId="61BBB02E" w:rsidR="00D13896" w:rsidRDefault="00D13896" w:rsidP="00D13896">
      <w:pPr>
        <w:spacing w:line="360" w:lineRule="auto"/>
        <w:jc w:val="both"/>
        <w:rPr>
          <w:rFonts w:ascii="Times New Roman" w:hAnsi="Times New Roman" w:cs="Times New Roman"/>
          <w:sz w:val="24"/>
          <w:szCs w:val="24"/>
          <w:lang w:val="en-US"/>
        </w:rPr>
      </w:pPr>
    </w:p>
    <w:p w14:paraId="7862BB82" w14:textId="77777777" w:rsidR="00D13896" w:rsidRDefault="00D13896" w:rsidP="00D13896">
      <w:pPr>
        <w:spacing w:line="360" w:lineRule="auto"/>
        <w:jc w:val="both"/>
        <w:rPr>
          <w:rFonts w:ascii="Times New Roman" w:hAnsi="Times New Roman" w:cs="Times New Roman"/>
          <w:sz w:val="24"/>
          <w:szCs w:val="24"/>
          <w:lang w:val="en-US"/>
        </w:rPr>
      </w:pPr>
    </w:p>
    <w:p w14:paraId="3329123A" w14:textId="6806A382" w:rsidR="00D13896" w:rsidRPr="00D13896" w:rsidRDefault="00D13896" w:rsidP="00D13896">
      <w:pPr>
        <w:spacing w:line="360" w:lineRule="auto"/>
        <w:jc w:val="both"/>
        <w:rPr>
          <w:rFonts w:ascii="Times New Roman" w:hAnsi="Times New Roman" w:cs="Times New Roman"/>
          <w:sz w:val="24"/>
          <w:szCs w:val="24"/>
          <w:lang w:val="en-US"/>
        </w:rPr>
      </w:pPr>
      <w:r w:rsidRPr="00D13896">
        <w:rPr>
          <w:rFonts w:ascii="Times New Roman" w:hAnsi="Times New Roman" w:cs="Times New Roman"/>
          <w:i/>
          <w:iCs/>
          <w:sz w:val="24"/>
          <w:szCs w:val="24"/>
          <w:lang w:val="en-US"/>
        </w:rPr>
        <w:t>Mavhunga &amp; Associates</w:t>
      </w:r>
      <w:r>
        <w:rPr>
          <w:rFonts w:ascii="Times New Roman" w:hAnsi="Times New Roman" w:cs="Times New Roman"/>
          <w:sz w:val="24"/>
          <w:szCs w:val="24"/>
          <w:lang w:val="en-US"/>
        </w:rPr>
        <w:t>, applicant’s legal practitioners</w:t>
      </w:r>
    </w:p>
    <w:p w14:paraId="6420FCA1" w14:textId="60889529" w:rsidR="00D13896" w:rsidRPr="00DA62F4" w:rsidRDefault="00D13896" w:rsidP="0012745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p>
    <w:p w14:paraId="08CEF553" w14:textId="28386C9D" w:rsidR="003B67BD" w:rsidRPr="00FD3C44" w:rsidRDefault="0054218D" w:rsidP="008116A8">
      <w:pPr>
        <w:spacing w:line="36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002B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
    <w:sectPr w:rsidR="003B67BD" w:rsidRPr="00FD3C4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5A91A6" w14:textId="77777777" w:rsidR="00330787" w:rsidRDefault="00330787" w:rsidP="00EA2D71">
      <w:pPr>
        <w:spacing w:after="0" w:line="240" w:lineRule="auto"/>
      </w:pPr>
      <w:r>
        <w:separator/>
      </w:r>
    </w:p>
  </w:endnote>
  <w:endnote w:type="continuationSeparator" w:id="0">
    <w:p w14:paraId="28083C1B" w14:textId="77777777" w:rsidR="00330787" w:rsidRDefault="00330787" w:rsidP="00EA2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786812" w14:textId="77777777" w:rsidR="00330787" w:rsidRDefault="00330787" w:rsidP="00EA2D71">
      <w:pPr>
        <w:spacing w:after="0" w:line="240" w:lineRule="auto"/>
      </w:pPr>
      <w:r>
        <w:separator/>
      </w:r>
    </w:p>
  </w:footnote>
  <w:footnote w:type="continuationSeparator" w:id="0">
    <w:p w14:paraId="3369BF0B" w14:textId="77777777" w:rsidR="00330787" w:rsidRDefault="00330787" w:rsidP="00EA2D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2938087"/>
      <w:docPartObj>
        <w:docPartGallery w:val="Page Numbers (Top of Page)"/>
        <w:docPartUnique/>
      </w:docPartObj>
    </w:sdtPr>
    <w:sdtEndPr>
      <w:rPr>
        <w:noProof/>
      </w:rPr>
    </w:sdtEndPr>
    <w:sdtContent>
      <w:p w14:paraId="710EFC24" w14:textId="0026E136" w:rsidR="00EA2D71" w:rsidRDefault="00EA2D71">
        <w:pPr>
          <w:pStyle w:val="Header"/>
          <w:jc w:val="right"/>
          <w:rPr>
            <w:noProof/>
          </w:rPr>
        </w:pPr>
        <w:r>
          <w:fldChar w:fldCharType="begin"/>
        </w:r>
        <w:r>
          <w:instrText xml:space="preserve"> PAGE   \* MERGEFORMAT </w:instrText>
        </w:r>
        <w:r>
          <w:fldChar w:fldCharType="separate"/>
        </w:r>
        <w:r w:rsidR="007D4AF2">
          <w:rPr>
            <w:noProof/>
          </w:rPr>
          <w:t>1</w:t>
        </w:r>
        <w:r>
          <w:rPr>
            <w:noProof/>
          </w:rPr>
          <w:fldChar w:fldCharType="end"/>
        </w:r>
      </w:p>
      <w:p w14:paraId="79390CF3" w14:textId="64EBD3E1" w:rsidR="00EA2D71" w:rsidRDefault="00EA2D71">
        <w:pPr>
          <w:pStyle w:val="Header"/>
          <w:jc w:val="right"/>
          <w:rPr>
            <w:noProof/>
          </w:rPr>
        </w:pPr>
        <w:r>
          <w:rPr>
            <w:noProof/>
          </w:rPr>
          <w:t>HH</w:t>
        </w:r>
        <w:r w:rsidR="00CE4C30">
          <w:rPr>
            <w:noProof/>
          </w:rPr>
          <w:t xml:space="preserve"> 298</w:t>
        </w:r>
        <w:r>
          <w:rPr>
            <w:noProof/>
          </w:rPr>
          <w:t>-23</w:t>
        </w:r>
      </w:p>
      <w:p w14:paraId="0046B494" w14:textId="7485A3B6" w:rsidR="00EA2D71" w:rsidRDefault="00EA2D71">
        <w:pPr>
          <w:pStyle w:val="Header"/>
          <w:jc w:val="right"/>
        </w:pPr>
        <w:r>
          <w:rPr>
            <w:noProof/>
          </w:rPr>
          <w:t>HC 7012/20</w:t>
        </w:r>
      </w:p>
    </w:sdtContent>
  </w:sdt>
  <w:p w14:paraId="47795124" w14:textId="77777777" w:rsidR="00EA2D71" w:rsidRDefault="00EA2D7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42125"/>
    <w:multiLevelType w:val="hybridMultilevel"/>
    <w:tmpl w:val="8884B468"/>
    <w:lvl w:ilvl="0" w:tplc="D54084C2">
      <w:start w:val="1"/>
      <w:numFmt w:val="lowerLetter"/>
      <w:lvlText w:val="(%1)"/>
      <w:lvlJc w:val="left"/>
      <w:pPr>
        <w:ind w:left="2040" w:hanging="360"/>
      </w:pPr>
      <w:rPr>
        <w:rFonts w:hint="default"/>
      </w:rPr>
    </w:lvl>
    <w:lvl w:ilvl="1" w:tplc="30090019" w:tentative="1">
      <w:start w:val="1"/>
      <w:numFmt w:val="lowerLetter"/>
      <w:lvlText w:val="%2."/>
      <w:lvlJc w:val="left"/>
      <w:pPr>
        <w:ind w:left="2760" w:hanging="360"/>
      </w:pPr>
    </w:lvl>
    <w:lvl w:ilvl="2" w:tplc="3009001B" w:tentative="1">
      <w:start w:val="1"/>
      <w:numFmt w:val="lowerRoman"/>
      <w:lvlText w:val="%3."/>
      <w:lvlJc w:val="right"/>
      <w:pPr>
        <w:ind w:left="3480" w:hanging="180"/>
      </w:pPr>
    </w:lvl>
    <w:lvl w:ilvl="3" w:tplc="3009000F" w:tentative="1">
      <w:start w:val="1"/>
      <w:numFmt w:val="decimal"/>
      <w:lvlText w:val="%4."/>
      <w:lvlJc w:val="left"/>
      <w:pPr>
        <w:ind w:left="4200" w:hanging="360"/>
      </w:pPr>
    </w:lvl>
    <w:lvl w:ilvl="4" w:tplc="30090019" w:tentative="1">
      <w:start w:val="1"/>
      <w:numFmt w:val="lowerLetter"/>
      <w:lvlText w:val="%5."/>
      <w:lvlJc w:val="left"/>
      <w:pPr>
        <w:ind w:left="4920" w:hanging="360"/>
      </w:pPr>
    </w:lvl>
    <w:lvl w:ilvl="5" w:tplc="3009001B" w:tentative="1">
      <w:start w:val="1"/>
      <w:numFmt w:val="lowerRoman"/>
      <w:lvlText w:val="%6."/>
      <w:lvlJc w:val="right"/>
      <w:pPr>
        <w:ind w:left="5640" w:hanging="180"/>
      </w:pPr>
    </w:lvl>
    <w:lvl w:ilvl="6" w:tplc="3009000F" w:tentative="1">
      <w:start w:val="1"/>
      <w:numFmt w:val="decimal"/>
      <w:lvlText w:val="%7."/>
      <w:lvlJc w:val="left"/>
      <w:pPr>
        <w:ind w:left="6360" w:hanging="360"/>
      </w:pPr>
    </w:lvl>
    <w:lvl w:ilvl="7" w:tplc="30090019" w:tentative="1">
      <w:start w:val="1"/>
      <w:numFmt w:val="lowerLetter"/>
      <w:lvlText w:val="%8."/>
      <w:lvlJc w:val="left"/>
      <w:pPr>
        <w:ind w:left="7080" w:hanging="360"/>
      </w:pPr>
    </w:lvl>
    <w:lvl w:ilvl="8" w:tplc="3009001B" w:tentative="1">
      <w:start w:val="1"/>
      <w:numFmt w:val="lowerRoman"/>
      <w:lvlText w:val="%9."/>
      <w:lvlJc w:val="right"/>
      <w:pPr>
        <w:ind w:left="7800" w:hanging="180"/>
      </w:pPr>
    </w:lvl>
  </w:abstractNum>
  <w:abstractNum w:abstractNumId="1" w15:restartNumberingAfterBreak="0">
    <w:nsid w:val="21376350"/>
    <w:multiLevelType w:val="hybridMultilevel"/>
    <w:tmpl w:val="58FAE504"/>
    <w:lvl w:ilvl="0" w:tplc="51DA725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298105F1"/>
    <w:multiLevelType w:val="hybridMultilevel"/>
    <w:tmpl w:val="ECC4D45A"/>
    <w:lvl w:ilvl="0" w:tplc="CF50C88A">
      <w:start w:val="1"/>
      <w:numFmt w:val="decimal"/>
      <w:lvlText w:val="(%1)"/>
      <w:lvlJc w:val="left"/>
      <w:pPr>
        <w:ind w:left="1680" w:hanging="360"/>
      </w:pPr>
      <w:rPr>
        <w:rFonts w:hint="default"/>
        <w:b/>
      </w:rPr>
    </w:lvl>
    <w:lvl w:ilvl="1" w:tplc="30090019" w:tentative="1">
      <w:start w:val="1"/>
      <w:numFmt w:val="lowerLetter"/>
      <w:lvlText w:val="%2."/>
      <w:lvlJc w:val="left"/>
      <w:pPr>
        <w:ind w:left="2400" w:hanging="360"/>
      </w:pPr>
    </w:lvl>
    <w:lvl w:ilvl="2" w:tplc="3009001B" w:tentative="1">
      <w:start w:val="1"/>
      <w:numFmt w:val="lowerRoman"/>
      <w:lvlText w:val="%3."/>
      <w:lvlJc w:val="right"/>
      <w:pPr>
        <w:ind w:left="3120" w:hanging="180"/>
      </w:pPr>
    </w:lvl>
    <w:lvl w:ilvl="3" w:tplc="3009000F" w:tentative="1">
      <w:start w:val="1"/>
      <w:numFmt w:val="decimal"/>
      <w:lvlText w:val="%4."/>
      <w:lvlJc w:val="left"/>
      <w:pPr>
        <w:ind w:left="3840" w:hanging="360"/>
      </w:pPr>
    </w:lvl>
    <w:lvl w:ilvl="4" w:tplc="30090019" w:tentative="1">
      <w:start w:val="1"/>
      <w:numFmt w:val="lowerLetter"/>
      <w:lvlText w:val="%5."/>
      <w:lvlJc w:val="left"/>
      <w:pPr>
        <w:ind w:left="4560" w:hanging="360"/>
      </w:pPr>
    </w:lvl>
    <w:lvl w:ilvl="5" w:tplc="3009001B" w:tentative="1">
      <w:start w:val="1"/>
      <w:numFmt w:val="lowerRoman"/>
      <w:lvlText w:val="%6."/>
      <w:lvlJc w:val="right"/>
      <w:pPr>
        <w:ind w:left="5280" w:hanging="180"/>
      </w:pPr>
    </w:lvl>
    <w:lvl w:ilvl="6" w:tplc="3009000F" w:tentative="1">
      <w:start w:val="1"/>
      <w:numFmt w:val="decimal"/>
      <w:lvlText w:val="%7."/>
      <w:lvlJc w:val="left"/>
      <w:pPr>
        <w:ind w:left="6000" w:hanging="360"/>
      </w:pPr>
    </w:lvl>
    <w:lvl w:ilvl="7" w:tplc="30090019" w:tentative="1">
      <w:start w:val="1"/>
      <w:numFmt w:val="lowerLetter"/>
      <w:lvlText w:val="%8."/>
      <w:lvlJc w:val="left"/>
      <w:pPr>
        <w:ind w:left="6720" w:hanging="360"/>
      </w:pPr>
    </w:lvl>
    <w:lvl w:ilvl="8" w:tplc="3009001B" w:tentative="1">
      <w:start w:val="1"/>
      <w:numFmt w:val="lowerRoman"/>
      <w:lvlText w:val="%9."/>
      <w:lvlJc w:val="right"/>
      <w:pPr>
        <w:ind w:left="7440" w:hanging="180"/>
      </w:pPr>
    </w:lvl>
  </w:abstractNum>
  <w:abstractNum w:abstractNumId="3" w15:restartNumberingAfterBreak="0">
    <w:nsid w:val="39D61622"/>
    <w:multiLevelType w:val="hybridMultilevel"/>
    <w:tmpl w:val="5F1C0C16"/>
    <w:lvl w:ilvl="0" w:tplc="38D0DE0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3DC2725F"/>
    <w:multiLevelType w:val="hybridMultilevel"/>
    <w:tmpl w:val="35A2E4EC"/>
    <w:lvl w:ilvl="0" w:tplc="89B213DC">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5" w15:restartNumberingAfterBreak="0">
    <w:nsid w:val="6D8C5E4D"/>
    <w:multiLevelType w:val="hybridMultilevel"/>
    <w:tmpl w:val="A9BABDB2"/>
    <w:lvl w:ilvl="0" w:tplc="5D2CD1D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73097E7D"/>
    <w:multiLevelType w:val="hybridMultilevel"/>
    <w:tmpl w:val="57C0F196"/>
    <w:lvl w:ilvl="0" w:tplc="6DA820EC">
      <w:start w:val="1"/>
      <w:numFmt w:val="lowerLetter"/>
      <w:lvlText w:val="(%1)"/>
      <w:lvlJc w:val="left"/>
      <w:pPr>
        <w:ind w:left="2040" w:hanging="360"/>
      </w:pPr>
      <w:rPr>
        <w:rFonts w:hint="default"/>
      </w:rPr>
    </w:lvl>
    <w:lvl w:ilvl="1" w:tplc="30090019" w:tentative="1">
      <w:start w:val="1"/>
      <w:numFmt w:val="lowerLetter"/>
      <w:lvlText w:val="%2."/>
      <w:lvlJc w:val="left"/>
      <w:pPr>
        <w:ind w:left="2760" w:hanging="360"/>
      </w:pPr>
    </w:lvl>
    <w:lvl w:ilvl="2" w:tplc="3009001B" w:tentative="1">
      <w:start w:val="1"/>
      <w:numFmt w:val="lowerRoman"/>
      <w:lvlText w:val="%3."/>
      <w:lvlJc w:val="right"/>
      <w:pPr>
        <w:ind w:left="3480" w:hanging="180"/>
      </w:pPr>
    </w:lvl>
    <w:lvl w:ilvl="3" w:tplc="3009000F" w:tentative="1">
      <w:start w:val="1"/>
      <w:numFmt w:val="decimal"/>
      <w:lvlText w:val="%4."/>
      <w:lvlJc w:val="left"/>
      <w:pPr>
        <w:ind w:left="4200" w:hanging="360"/>
      </w:pPr>
    </w:lvl>
    <w:lvl w:ilvl="4" w:tplc="30090019" w:tentative="1">
      <w:start w:val="1"/>
      <w:numFmt w:val="lowerLetter"/>
      <w:lvlText w:val="%5."/>
      <w:lvlJc w:val="left"/>
      <w:pPr>
        <w:ind w:left="4920" w:hanging="360"/>
      </w:pPr>
    </w:lvl>
    <w:lvl w:ilvl="5" w:tplc="3009001B" w:tentative="1">
      <w:start w:val="1"/>
      <w:numFmt w:val="lowerRoman"/>
      <w:lvlText w:val="%6."/>
      <w:lvlJc w:val="right"/>
      <w:pPr>
        <w:ind w:left="5640" w:hanging="180"/>
      </w:pPr>
    </w:lvl>
    <w:lvl w:ilvl="6" w:tplc="3009000F" w:tentative="1">
      <w:start w:val="1"/>
      <w:numFmt w:val="decimal"/>
      <w:lvlText w:val="%7."/>
      <w:lvlJc w:val="left"/>
      <w:pPr>
        <w:ind w:left="6360" w:hanging="360"/>
      </w:pPr>
    </w:lvl>
    <w:lvl w:ilvl="7" w:tplc="30090019" w:tentative="1">
      <w:start w:val="1"/>
      <w:numFmt w:val="lowerLetter"/>
      <w:lvlText w:val="%8."/>
      <w:lvlJc w:val="left"/>
      <w:pPr>
        <w:ind w:left="7080" w:hanging="360"/>
      </w:pPr>
    </w:lvl>
    <w:lvl w:ilvl="8" w:tplc="3009001B" w:tentative="1">
      <w:start w:val="1"/>
      <w:numFmt w:val="lowerRoman"/>
      <w:lvlText w:val="%9."/>
      <w:lvlJc w:val="right"/>
      <w:pPr>
        <w:ind w:left="7800" w:hanging="180"/>
      </w:pPr>
    </w:lvl>
  </w:abstractNum>
  <w:abstractNum w:abstractNumId="7" w15:restartNumberingAfterBreak="0">
    <w:nsid w:val="7FAB13AE"/>
    <w:multiLevelType w:val="hybridMultilevel"/>
    <w:tmpl w:val="171E2104"/>
    <w:lvl w:ilvl="0" w:tplc="0930E8D0">
      <w:start w:val="1"/>
      <w:numFmt w:val="lowerLetter"/>
      <w:lvlText w:val="(%1)"/>
      <w:lvlJc w:val="left"/>
      <w:pPr>
        <w:ind w:left="2160" w:hanging="36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num w:numId="1">
    <w:abstractNumId w:val="3"/>
  </w:num>
  <w:num w:numId="2">
    <w:abstractNumId w:val="5"/>
  </w:num>
  <w:num w:numId="3">
    <w:abstractNumId w:val="2"/>
  </w:num>
  <w:num w:numId="4">
    <w:abstractNumId w:val="0"/>
  </w:num>
  <w:num w:numId="5">
    <w:abstractNumId w:val="6"/>
  </w:num>
  <w:num w:numId="6">
    <w:abstractNumId w:val="4"/>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FFF"/>
    <w:rsid w:val="00014C15"/>
    <w:rsid w:val="00020EF3"/>
    <w:rsid w:val="00127457"/>
    <w:rsid w:val="001814BC"/>
    <w:rsid w:val="001F74FD"/>
    <w:rsid w:val="00263701"/>
    <w:rsid w:val="00311645"/>
    <w:rsid w:val="003166F8"/>
    <w:rsid w:val="00330787"/>
    <w:rsid w:val="00345A57"/>
    <w:rsid w:val="00374892"/>
    <w:rsid w:val="00381330"/>
    <w:rsid w:val="003B67BD"/>
    <w:rsid w:val="003C2783"/>
    <w:rsid w:val="003C4320"/>
    <w:rsid w:val="003D65CA"/>
    <w:rsid w:val="004002B9"/>
    <w:rsid w:val="00421159"/>
    <w:rsid w:val="00446F94"/>
    <w:rsid w:val="0054218D"/>
    <w:rsid w:val="00561638"/>
    <w:rsid w:val="005C5CC5"/>
    <w:rsid w:val="005F46D4"/>
    <w:rsid w:val="00622C87"/>
    <w:rsid w:val="006271BF"/>
    <w:rsid w:val="00662250"/>
    <w:rsid w:val="00752854"/>
    <w:rsid w:val="00774127"/>
    <w:rsid w:val="007A370B"/>
    <w:rsid w:val="007C15BF"/>
    <w:rsid w:val="007D4AF2"/>
    <w:rsid w:val="007E3955"/>
    <w:rsid w:val="008116A8"/>
    <w:rsid w:val="00883EEE"/>
    <w:rsid w:val="00894BEE"/>
    <w:rsid w:val="008C7EBA"/>
    <w:rsid w:val="008F25BF"/>
    <w:rsid w:val="00904F12"/>
    <w:rsid w:val="00905FE3"/>
    <w:rsid w:val="009317D9"/>
    <w:rsid w:val="00995613"/>
    <w:rsid w:val="00A05D7F"/>
    <w:rsid w:val="00A42FD6"/>
    <w:rsid w:val="00A66FFF"/>
    <w:rsid w:val="00AB203F"/>
    <w:rsid w:val="00AF5FDE"/>
    <w:rsid w:val="00C07EE3"/>
    <w:rsid w:val="00C13FC9"/>
    <w:rsid w:val="00C17921"/>
    <w:rsid w:val="00C37743"/>
    <w:rsid w:val="00C74900"/>
    <w:rsid w:val="00CE4C30"/>
    <w:rsid w:val="00D13896"/>
    <w:rsid w:val="00D15E80"/>
    <w:rsid w:val="00DA62F4"/>
    <w:rsid w:val="00E121D3"/>
    <w:rsid w:val="00E16D9F"/>
    <w:rsid w:val="00EA2D71"/>
    <w:rsid w:val="00EC104B"/>
    <w:rsid w:val="00EC2B2A"/>
    <w:rsid w:val="00EC7C4F"/>
    <w:rsid w:val="00F35CB0"/>
    <w:rsid w:val="00F57A2E"/>
    <w:rsid w:val="00FA573D"/>
    <w:rsid w:val="00FA6191"/>
    <w:rsid w:val="00FD3C44"/>
    <w:rsid w:val="00FE0B6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4A368"/>
  <w15:chartTrackingRefBased/>
  <w15:docId w15:val="{DBDC2C2B-60B9-4A0E-B0B2-00A12146E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4BEE"/>
    <w:pPr>
      <w:ind w:left="720"/>
      <w:contextualSpacing/>
    </w:pPr>
  </w:style>
  <w:style w:type="paragraph" w:styleId="Header">
    <w:name w:val="header"/>
    <w:basedOn w:val="Normal"/>
    <w:link w:val="HeaderChar"/>
    <w:uiPriority w:val="99"/>
    <w:unhideWhenUsed/>
    <w:rsid w:val="00EA2D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2D71"/>
  </w:style>
  <w:style w:type="paragraph" w:styleId="Footer">
    <w:name w:val="footer"/>
    <w:basedOn w:val="Normal"/>
    <w:link w:val="FooterChar"/>
    <w:uiPriority w:val="99"/>
    <w:unhideWhenUsed/>
    <w:rsid w:val="00EA2D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2D71"/>
  </w:style>
  <w:style w:type="paragraph" w:styleId="BalloonText">
    <w:name w:val="Balloon Text"/>
    <w:basedOn w:val="Normal"/>
    <w:link w:val="BalloonTextChar"/>
    <w:uiPriority w:val="99"/>
    <w:semiHidden/>
    <w:unhideWhenUsed/>
    <w:rsid w:val="00C179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79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4898</Words>
  <Characters>27922</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cp:lastPrinted>2023-05-15T08:12:00Z</cp:lastPrinted>
  <dcterms:created xsi:type="dcterms:W3CDTF">2023-05-19T09:48:00Z</dcterms:created>
  <dcterms:modified xsi:type="dcterms:W3CDTF">2023-05-19T09:48:00Z</dcterms:modified>
</cp:coreProperties>
</file>