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2963" w:type="dxa"/>
        <w:tblInd w:w="-601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6"/>
        <w:gridCol w:w="1491"/>
        <w:gridCol w:w="4394"/>
        <w:gridCol w:w="4394"/>
        <w:gridCol w:w="4394"/>
        <w:gridCol w:w="4394"/>
      </w:tblGrid>
      <w:tr w:rsidR="00F809E6" w14:paraId="3052B50C" w14:textId="77777777" w:rsidTr="00F809E6">
        <w:trPr>
          <w:trHeight w:val="70"/>
        </w:trPr>
        <w:tc>
          <w:tcPr>
            <w:tcW w:w="3896" w:type="dxa"/>
            <w:tcBorders>
              <w:bottom w:val="nil"/>
            </w:tcBorders>
          </w:tcPr>
          <w:p w14:paraId="45E7C48D" w14:textId="77777777" w:rsidR="00F809E6" w:rsidRPr="00267D05" w:rsidRDefault="00F809E6" w:rsidP="0043046A">
            <w:pPr>
              <w:tabs>
                <w:tab w:val="left" w:pos="1134"/>
                <w:tab w:val="left" w:pos="1276"/>
                <w:tab w:val="left" w:pos="1560"/>
                <w:tab w:val="center" w:pos="4395"/>
                <w:tab w:val="right" w:pos="8505"/>
              </w:tabs>
              <w:jc w:val="both"/>
              <w:rPr>
                <w:b/>
                <w:sz w:val="2"/>
                <w:szCs w:val="2"/>
              </w:rPr>
            </w:pPr>
            <w:bookmarkStart w:id="0" w:name="_GoBack"/>
            <w:bookmarkEnd w:id="0"/>
          </w:p>
        </w:tc>
        <w:tc>
          <w:tcPr>
            <w:tcW w:w="1491" w:type="dxa"/>
            <w:tcBorders>
              <w:bottom w:val="nil"/>
            </w:tcBorders>
          </w:tcPr>
          <w:p w14:paraId="676C3461" w14:textId="77777777" w:rsidR="00F809E6" w:rsidRDefault="00F809E6" w:rsidP="0043046A">
            <w:pPr>
              <w:tabs>
                <w:tab w:val="center" w:pos="4395"/>
                <w:tab w:val="right" w:pos="8505"/>
              </w:tabs>
              <w:jc w:val="both"/>
              <w:rPr>
                <w:sz w:val="19"/>
              </w:rPr>
            </w:pPr>
          </w:p>
        </w:tc>
        <w:tc>
          <w:tcPr>
            <w:tcW w:w="4394" w:type="dxa"/>
            <w:tcBorders>
              <w:bottom w:val="nil"/>
            </w:tcBorders>
          </w:tcPr>
          <w:p w14:paraId="3D22614D" w14:textId="77777777" w:rsidR="00F809E6" w:rsidRDefault="00F809E6" w:rsidP="0043046A">
            <w:pPr>
              <w:tabs>
                <w:tab w:val="center" w:pos="4395"/>
                <w:tab w:val="right" w:pos="8505"/>
              </w:tabs>
              <w:jc w:val="both"/>
              <w:rPr>
                <w:b/>
                <w:sz w:val="19"/>
              </w:rPr>
            </w:pPr>
          </w:p>
        </w:tc>
        <w:tc>
          <w:tcPr>
            <w:tcW w:w="4394" w:type="dxa"/>
            <w:tcBorders>
              <w:bottom w:val="nil"/>
            </w:tcBorders>
          </w:tcPr>
          <w:p w14:paraId="6AFBAEAC" w14:textId="77777777" w:rsidR="00F809E6" w:rsidRDefault="00F809E6" w:rsidP="0043046A">
            <w:pPr>
              <w:tabs>
                <w:tab w:val="center" w:pos="4395"/>
                <w:tab w:val="right" w:pos="8505"/>
              </w:tabs>
              <w:jc w:val="both"/>
              <w:rPr>
                <w:b/>
                <w:sz w:val="19"/>
              </w:rPr>
            </w:pPr>
          </w:p>
        </w:tc>
        <w:tc>
          <w:tcPr>
            <w:tcW w:w="4394" w:type="dxa"/>
            <w:tcBorders>
              <w:bottom w:val="nil"/>
            </w:tcBorders>
          </w:tcPr>
          <w:p w14:paraId="5468E54F" w14:textId="77777777" w:rsidR="00F809E6" w:rsidRDefault="00F809E6" w:rsidP="0043046A">
            <w:pPr>
              <w:tabs>
                <w:tab w:val="center" w:pos="4395"/>
                <w:tab w:val="right" w:pos="8505"/>
              </w:tabs>
              <w:jc w:val="both"/>
              <w:rPr>
                <w:b/>
                <w:sz w:val="19"/>
              </w:rPr>
            </w:pPr>
          </w:p>
        </w:tc>
        <w:tc>
          <w:tcPr>
            <w:tcW w:w="4394" w:type="dxa"/>
            <w:tcBorders>
              <w:bottom w:val="nil"/>
            </w:tcBorders>
          </w:tcPr>
          <w:p w14:paraId="5731E608" w14:textId="77777777" w:rsidR="00F809E6" w:rsidRDefault="00F809E6" w:rsidP="0043046A">
            <w:pPr>
              <w:tabs>
                <w:tab w:val="center" w:pos="4395"/>
                <w:tab w:val="right" w:pos="8505"/>
              </w:tabs>
              <w:jc w:val="both"/>
              <w:rPr>
                <w:b/>
                <w:sz w:val="19"/>
              </w:rPr>
            </w:pPr>
          </w:p>
        </w:tc>
      </w:tr>
    </w:tbl>
    <w:p w14:paraId="4B97F653" w14:textId="77777777" w:rsidR="00ED527C" w:rsidRDefault="00ED527C" w:rsidP="00EA682E">
      <w:pPr>
        <w:jc w:val="both"/>
      </w:pPr>
      <w:r>
        <w:t>TAWANDA MUNGATE</w:t>
      </w:r>
    </w:p>
    <w:p w14:paraId="1FD1A9DE" w14:textId="4E8CB86E" w:rsidR="00ED527C" w:rsidRDefault="0043046A" w:rsidP="00EA682E">
      <w:pPr>
        <w:jc w:val="both"/>
      </w:pPr>
      <w:r>
        <w:t>a</w:t>
      </w:r>
      <w:r w:rsidR="00ED527C">
        <w:t>nd</w:t>
      </w:r>
    </w:p>
    <w:p w14:paraId="496E69B6" w14:textId="77777777" w:rsidR="00ED527C" w:rsidRDefault="00ED527C" w:rsidP="00EA682E">
      <w:pPr>
        <w:jc w:val="both"/>
      </w:pPr>
      <w:r>
        <w:t>KENNETH MUSHAIKWA</w:t>
      </w:r>
    </w:p>
    <w:p w14:paraId="2BDA5092" w14:textId="77777777" w:rsidR="00ED527C" w:rsidRDefault="00ED527C" w:rsidP="00EA682E">
      <w:pPr>
        <w:jc w:val="both"/>
      </w:pPr>
      <w:r>
        <w:t>versus</w:t>
      </w:r>
    </w:p>
    <w:p w14:paraId="7151C8A1" w14:textId="77777777" w:rsidR="00ED527C" w:rsidRDefault="00ED527C" w:rsidP="00EA682E">
      <w:pPr>
        <w:jc w:val="both"/>
      </w:pPr>
      <w:r>
        <w:t>ZIMBABWE REVENUE AUTHORITY</w:t>
      </w:r>
    </w:p>
    <w:p w14:paraId="698AAF4A" w14:textId="359AC416" w:rsidR="00ED527C" w:rsidRDefault="0043046A" w:rsidP="00EA682E">
      <w:pPr>
        <w:jc w:val="both"/>
      </w:pPr>
      <w:r>
        <w:t>a</w:t>
      </w:r>
      <w:r w:rsidR="00ED527C">
        <w:t>nd</w:t>
      </w:r>
    </w:p>
    <w:p w14:paraId="08738BD1" w14:textId="77777777" w:rsidR="00ED527C" w:rsidRDefault="00ED527C" w:rsidP="00EA682E">
      <w:pPr>
        <w:jc w:val="both"/>
      </w:pPr>
      <w:r>
        <w:t>COMMISSIONER GENERAL OF THE ZIMBABWE</w:t>
      </w:r>
    </w:p>
    <w:p w14:paraId="0D643C60" w14:textId="77777777" w:rsidR="00EA682E" w:rsidRDefault="00EA682E" w:rsidP="00EA682E">
      <w:pPr>
        <w:jc w:val="both"/>
      </w:pPr>
    </w:p>
    <w:p w14:paraId="596CE3FF" w14:textId="77777777" w:rsidR="00EA682E" w:rsidRDefault="00EA682E" w:rsidP="00EA682E">
      <w:pPr>
        <w:jc w:val="both"/>
      </w:pPr>
    </w:p>
    <w:p w14:paraId="53C793E9" w14:textId="60E1DB97" w:rsidR="00ED527C" w:rsidRDefault="00ED527C" w:rsidP="00EA682E">
      <w:pPr>
        <w:jc w:val="both"/>
      </w:pPr>
      <w:r>
        <w:t>HIGH COURT OF ZIMBABWE</w:t>
      </w:r>
    </w:p>
    <w:p w14:paraId="2A823A52" w14:textId="77777777" w:rsidR="00ED527C" w:rsidRDefault="00ED527C" w:rsidP="00EA682E">
      <w:pPr>
        <w:jc w:val="both"/>
      </w:pPr>
      <w:r>
        <w:t>CHINAMORA J</w:t>
      </w:r>
    </w:p>
    <w:p w14:paraId="61042C1C" w14:textId="1C884A2F" w:rsidR="00ED527C" w:rsidRDefault="00DC4093" w:rsidP="00EA682E">
      <w:pPr>
        <w:jc w:val="both"/>
      </w:pPr>
      <w:r>
        <w:t xml:space="preserve">HARARE, 22 March </w:t>
      </w:r>
      <w:r w:rsidR="00F6541E">
        <w:t xml:space="preserve">2019 </w:t>
      </w:r>
      <w:r w:rsidR="00E16FF0">
        <w:t xml:space="preserve">&amp; </w:t>
      </w:r>
      <w:r>
        <w:t xml:space="preserve">16 October </w:t>
      </w:r>
      <w:r w:rsidR="00ED527C">
        <w:t>20</w:t>
      </w:r>
      <w:r w:rsidR="00F6541E">
        <w:t>23</w:t>
      </w:r>
    </w:p>
    <w:p w14:paraId="0CA1D123" w14:textId="77777777" w:rsidR="00EA682E" w:rsidRDefault="00EA682E" w:rsidP="00EA682E">
      <w:pPr>
        <w:jc w:val="both"/>
      </w:pPr>
    </w:p>
    <w:p w14:paraId="781D2395" w14:textId="329D7A13" w:rsidR="00ED527C" w:rsidRDefault="00ED527C" w:rsidP="00EA682E">
      <w:pPr>
        <w:jc w:val="both"/>
      </w:pPr>
    </w:p>
    <w:p w14:paraId="5E610869" w14:textId="77777777" w:rsidR="00B92BF8" w:rsidRPr="00643F63" w:rsidRDefault="00B92BF8" w:rsidP="00ED527C">
      <w:pPr>
        <w:spacing w:line="360" w:lineRule="auto"/>
        <w:jc w:val="both"/>
        <w:rPr>
          <w:sz w:val="4"/>
          <w:szCs w:val="4"/>
        </w:rPr>
      </w:pPr>
    </w:p>
    <w:p w14:paraId="10EAFD2C" w14:textId="7F0135E2" w:rsidR="00ED527C" w:rsidRPr="00B92BF8" w:rsidRDefault="00ED527C" w:rsidP="00ED527C">
      <w:pPr>
        <w:spacing w:line="360" w:lineRule="auto"/>
        <w:jc w:val="both"/>
        <w:rPr>
          <w:b/>
        </w:rPr>
      </w:pPr>
      <w:r w:rsidRPr="00B92BF8">
        <w:rPr>
          <w:b/>
        </w:rPr>
        <w:t xml:space="preserve">Opposed </w:t>
      </w:r>
      <w:r w:rsidR="00EA682E">
        <w:rPr>
          <w:b/>
        </w:rPr>
        <w:t>A</w:t>
      </w:r>
      <w:r w:rsidRPr="00B92BF8">
        <w:rPr>
          <w:b/>
        </w:rPr>
        <w:t>pplication</w:t>
      </w:r>
      <w:r w:rsidR="00FE7155">
        <w:rPr>
          <w:b/>
        </w:rPr>
        <w:t xml:space="preserve"> for </w:t>
      </w:r>
      <w:r w:rsidR="00EA682E">
        <w:rPr>
          <w:b/>
        </w:rPr>
        <w:t>C</w:t>
      </w:r>
      <w:r w:rsidR="00FE7155">
        <w:rPr>
          <w:b/>
        </w:rPr>
        <w:t xml:space="preserve">ivil </w:t>
      </w:r>
      <w:r w:rsidR="00EA682E">
        <w:rPr>
          <w:b/>
        </w:rPr>
        <w:t>C</w:t>
      </w:r>
      <w:r w:rsidR="00FE7155">
        <w:rPr>
          <w:b/>
        </w:rPr>
        <w:t xml:space="preserve">ontempt of </w:t>
      </w:r>
      <w:r w:rsidR="00EA682E">
        <w:rPr>
          <w:b/>
        </w:rPr>
        <w:t>C</w:t>
      </w:r>
      <w:r w:rsidR="00FE7155">
        <w:rPr>
          <w:b/>
        </w:rPr>
        <w:t>ourt</w:t>
      </w:r>
    </w:p>
    <w:p w14:paraId="21FF4625" w14:textId="77777777" w:rsidR="00ED527C" w:rsidRDefault="00ED527C" w:rsidP="00ED527C">
      <w:pPr>
        <w:spacing w:line="360" w:lineRule="auto"/>
        <w:jc w:val="both"/>
      </w:pPr>
    </w:p>
    <w:p w14:paraId="5932C604" w14:textId="5047D0CF" w:rsidR="00ED527C" w:rsidRDefault="00EA682E" w:rsidP="00B92BF8">
      <w:pPr>
        <w:jc w:val="both"/>
      </w:pPr>
      <w:r w:rsidRPr="00EA682E">
        <w:t>Mr</w:t>
      </w:r>
      <w:r>
        <w:rPr>
          <w:i/>
        </w:rPr>
        <w:t xml:space="preserve"> </w:t>
      </w:r>
      <w:r w:rsidR="00D510CB" w:rsidRPr="00D510CB">
        <w:rPr>
          <w:i/>
        </w:rPr>
        <w:t>L Ze</w:t>
      </w:r>
      <w:r w:rsidR="00ED527C" w:rsidRPr="00D510CB">
        <w:rPr>
          <w:i/>
        </w:rPr>
        <w:t>ro</w:t>
      </w:r>
      <w:r w:rsidR="00D510CB" w:rsidRPr="00D510CB">
        <w:rPr>
          <w:i/>
        </w:rPr>
        <w:t>,</w:t>
      </w:r>
      <w:r w:rsidR="00ED527C">
        <w:t xml:space="preserve"> for </w:t>
      </w:r>
      <w:r w:rsidR="00D510CB">
        <w:t xml:space="preserve">the </w:t>
      </w:r>
      <w:r w:rsidR="00ED527C">
        <w:t>applicant</w:t>
      </w:r>
    </w:p>
    <w:p w14:paraId="0BE379B9" w14:textId="38A63458" w:rsidR="00ED527C" w:rsidRDefault="00ED527C" w:rsidP="00B92BF8">
      <w:pPr>
        <w:jc w:val="both"/>
      </w:pPr>
      <w:r w:rsidRPr="00EA682E">
        <w:t>Mr</w:t>
      </w:r>
      <w:r w:rsidRPr="00D510CB">
        <w:rPr>
          <w:i/>
        </w:rPr>
        <w:t xml:space="preserve"> S Bhebhe</w:t>
      </w:r>
      <w:r w:rsidR="00D510CB">
        <w:t>, for the r</w:t>
      </w:r>
      <w:r>
        <w:t>espondent</w:t>
      </w:r>
    </w:p>
    <w:p w14:paraId="30C161C2" w14:textId="3AD900B9" w:rsidR="00ED527C" w:rsidRPr="00643F63" w:rsidRDefault="00ED527C" w:rsidP="00ED527C">
      <w:pPr>
        <w:spacing w:line="360" w:lineRule="auto"/>
        <w:jc w:val="both"/>
        <w:rPr>
          <w:b/>
          <w:sz w:val="16"/>
          <w:szCs w:val="16"/>
        </w:rPr>
      </w:pPr>
    </w:p>
    <w:p w14:paraId="31FD8569" w14:textId="77777777" w:rsidR="00C420B7" w:rsidRDefault="00C420B7" w:rsidP="00ED527C">
      <w:pPr>
        <w:spacing w:line="360" w:lineRule="auto"/>
        <w:jc w:val="both"/>
        <w:rPr>
          <w:b/>
          <w:sz w:val="10"/>
          <w:szCs w:val="10"/>
        </w:rPr>
      </w:pPr>
    </w:p>
    <w:p w14:paraId="5B32D36F" w14:textId="77777777" w:rsidR="00EA682E" w:rsidRPr="00C420B7" w:rsidRDefault="00EA682E" w:rsidP="00ED527C">
      <w:pPr>
        <w:spacing w:line="360" w:lineRule="auto"/>
        <w:jc w:val="both"/>
        <w:rPr>
          <w:b/>
          <w:sz w:val="10"/>
          <w:szCs w:val="10"/>
        </w:rPr>
      </w:pPr>
    </w:p>
    <w:p w14:paraId="3D13827E" w14:textId="0FADB9F7" w:rsidR="00ED527C" w:rsidRDefault="00EA682E" w:rsidP="00EA682E">
      <w:pPr>
        <w:spacing w:line="360" w:lineRule="auto"/>
        <w:jc w:val="both"/>
      </w:pPr>
      <w:r>
        <w:rPr>
          <w:b/>
        </w:rPr>
        <w:tab/>
      </w:r>
      <w:r w:rsidR="00BE34F6">
        <w:rPr>
          <w:b/>
        </w:rPr>
        <w:t>CHINAM</w:t>
      </w:r>
      <w:r w:rsidR="00ED527C" w:rsidRPr="00BE34F6">
        <w:rPr>
          <w:b/>
        </w:rPr>
        <w:t xml:space="preserve">ORA J: </w:t>
      </w:r>
      <w:r>
        <w:rPr>
          <w:b/>
        </w:rPr>
        <w:t xml:space="preserve">   </w:t>
      </w:r>
      <w:r w:rsidR="00CE7791">
        <w:t xml:space="preserve">This </w:t>
      </w:r>
      <w:r w:rsidR="00ED527C">
        <w:t>application for contempt of cour</w:t>
      </w:r>
      <w:r w:rsidR="00135CF3">
        <w:t>t</w:t>
      </w:r>
      <w:r w:rsidR="00BC07E0">
        <w:t xml:space="preserve"> was</w:t>
      </w:r>
      <w:r w:rsidR="00135CF3">
        <w:t xml:space="preserve"> made</w:t>
      </w:r>
      <w:r w:rsidR="00BC07E0">
        <w:t xml:space="preserve">, </w:t>
      </w:r>
      <w:r w:rsidR="00ED527C">
        <w:t>in terms of</w:t>
      </w:r>
      <w:r w:rsidR="00325BA1">
        <w:t xml:space="preserve"> r</w:t>
      </w:r>
      <w:r w:rsidR="00ED527C">
        <w:t xml:space="preserve"> 79 of the High C</w:t>
      </w:r>
      <w:r w:rsidR="00BC07E0">
        <w:t>ourt Rules, 2021. The respondent is</w:t>
      </w:r>
      <w:r w:rsidR="00ED527C">
        <w:t xml:space="preserve"> Zimbabwe Revenue Authority</w:t>
      </w:r>
      <w:r w:rsidR="00105262">
        <w:t xml:space="preserve"> (ZIMRA)</w:t>
      </w:r>
      <w:r w:rsidR="00ED527C">
        <w:t xml:space="preserve"> and</w:t>
      </w:r>
      <w:r w:rsidR="001725BD">
        <w:t xml:space="preserve"> </w:t>
      </w:r>
      <w:r w:rsidR="00ED527C">
        <w:t>Commissioner General of the Zimbabwe Revenue Authority (N.O.). On 5 July 2021, in an</w:t>
      </w:r>
      <w:r w:rsidR="001725BD">
        <w:t xml:space="preserve"> </w:t>
      </w:r>
      <w:r w:rsidR="00ED527C">
        <w:t>appeal under HC (C</w:t>
      </w:r>
      <w:r w:rsidR="00C24BC2">
        <w:t xml:space="preserve">A) 354/19 (judgment </w:t>
      </w:r>
      <w:r w:rsidR="00ED527C">
        <w:t>HH</w:t>
      </w:r>
      <w:r w:rsidR="00FE29B7">
        <w:t xml:space="preserve"> 347-</w:t>
      </w:r>
      <w:r w:rsidR="00ED527C">
        <w:t>21</w:t>
      </w:r>
      <w:r w:rsidR="00C24BC2">
        <w:t xml:space="preserve">), </w:t>
      </w:r>
      <w:r w:rsidRPr="00EA682E">
        <w:rPr>
          <w:smallCaps/>
        </w:rPr>
        <w:t>Muzofa J</w:t>
      </w:r>
      <w:r w:rsidR="00ED527C">
        <w:t xml:space="preserve"> in favou</w:t>
      </w:r>
      <w:r w:rsidR="003E01D8">
        <w:t>r of the applicants was granted as follows:</w:t>
      </w:r>
    </w:p>
    <w:p w14:paraId="6A4BACE4" w14:textId="77777777" w:rsidR="001725BD" w:rsidRPr="00F20562" w:rsidRDefault="001725BD" w:rsidP="00ED527C">
      <w:pPr>
        <w:spacing w:line="360" w:lineRule="auto"/>
        <w:jc w:val="both"/>
        <w:rPr>
          <w:sz w:val="10"/>
          <w:szCs w:val="10"/>
        </w:rPr>
      </w:pPr>
    </w:p>
    <w:p w14:paraId="3081DEB0" w14:textId="7CC39384" w:rsidR="00ED527C" w:rsidRDefault="00D33839" w:rsidP="00F2056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ED527C" w:rsidRPr="002502A2">
        <w:rPr>
          <w:sz w:val="22"/>
          <w:szCs w:val="22"/>
        </w:rPr>
        <w:t>Accordingly, the appeal is hereb</w:t>
      </w:r>
      <w:r w:rsidR="008A4B6F">
        <w:rPr>
          <w:sz w:val="22"/>
          <w:szCs w:val="22"/>
        </w:rPr>
        <w:t>y upheld:</w:t>
      </w:r>
    </w:p>
    <w:p w14:paraId="516CCCD6" w14:textId="77777777" w:rsidR="008A4B6F" w:rsidRPr="008A4B6F" w:rsidRDefault="008A4B6F" w:rsidP="00F20562">
      <w:pPr>
        <w:ind w:firstLine="720"/>
        <w:jc w:val="both"/>
        <w:rPr>
          <w:sz w:val="4"/>
          <w:szCs w:val="4"/>
        </w:rPr>
      </w:pPr>
    </w:p>
    <w:p w14:paraId="0148C149" w14:textId="7C4F45B8" w:rsidR="00ED527C" w:rsidRDefault="00ED527C" w:rsidP="00F20562">
      <w:pPr>
        <w:ind w:firstLine="720"/>
        <w:jc w:val="both"/>
        <w:rPr>
          <w:sz w:val="22"/>
          <w:szCs w:val="22"/>
        </w:rPr>
      </w:pPr>
      <w:r w:rsidRPr="002502A2">
        <w:rPr>
          <w:sz w:val="22"/>
          <w:szCs w:val="22"/>
        </w:rPr>
        <w:t xml:space="preserve">The sentence imposed by the court </w:t>
      </w:r>
      <w:r w:rsidRPr="00EA682E">
        <w:rPr>
          <w:i/>
          <w:sz w:val="22"/>
          <w:szCs w:val="22"/>
        </w:rPr>
        <w:t>a quo</w:t>
      </w:r>
      <w:r w:rsidRPr="002502A2">
        <w:rPr>
          <w:sz w:val="22"/>
          <w:szCs w:val="22"/>
        </w:rPr>
        <w:t xml:space="preserve"> is set a</w:t>
      </w:r>
      <w:r w:rsidR="00180F03">
        <w:rPr>
          <w:sz w:val="22"/>
          <w:szCs w:val="22"/>
        </w:rPr>
        <w:t>side and substituted as follows:</w:t>
      </w:r>
    </w:p>
    <w:p w14:paraId="08328BB3" w14:textId="77777777" w:rsidR="00BC72F3" w:rsidRPr="00BC72F3" w:rsidRDefault="00BC72F3" w:rsidP="00F20562">
      <w:pPr>
        <w:ind w:firstLine="720"/>
        <w:jc w:val="both"/>
        <w:rPr>
          <w:sz w:val="4"/>
          <w:szCs w:val="4"/>
        </w:rPr>
      </w:pPr>
    </w:p>
    <w:p w14:paraId="2BC8D19F" w14:textId="55D80585" w:rsidR="00ED527C" w:rsidRPr="002502A2" w:rsidRDefault="00ED527C" w:rsidP="00D33839">
      <w:pPr>
        <w:ind w:left="990" w:hanging="270"/>
        <w:jc w:val="both"/>
        <w:rPr>
          <w:sz w:val="22"/>
          <w:szCs w:val="22"/>
        </w:rPr>
      </w:pPr>
      <w:r w:rsidRPr="002502A2">
        <w:rPr>
          <w:sz w:val="22"/>
          <w:szCs w:val="22"/>
        </w:rPr>
        <w:t>1. $2000 in default of payment</w:t>
      </w:r>
      <w:r w:rsidR="002502A2">
        <w:rPr>
          <w:sz w:val="22"/>
          <w:szCs w:val="22"/>
        </w:rPr>
        <w:t>,</w:t>
      </w:r>
      <w:r w:rsidRPr="002502A2">
        <w:rPr>
          <w:sz w:val="22"/>
          <w:szCs w:val="22"/>
        </w:rPr>
        <w:t xml:space="preserve"> 10 months</w:t>
      </w:r>
      <w:r w:rsidR="00315610">
        <w:rPr>
          <w:sz w:val="22"/>
          <w:szCs w:val="22"/>
        </w:rPr>
        <w:t>’</w:t>
      </w:r>
      <w:r w:rsidRPr="002502A2">
        <w:rPr>
          <w:sz w:val="22"/>
          <w:szCs w:val="22"/>
        </w:rPr>
        <w:t xml:space="preserve"> imprisonment. The 228 boxes of</w:t>
      </w:r>
      <w:r w:rsidR="00180F03">
        <w:rPr>
          <w:sz w:val="22"/>
          <w:szCs w:val="22"/>
        </w:rPr>
        <w:t xml:space="preserve"> cigarettes are forfeited </w:t>
      </w:r>
      <w:r w:rsidRPr="002502A2">
        <w:rPr>
          <w:sz w:val="22"/>
          <w:szCs w:val="22"/>
        </w:rPr>
        <w:t>to the State.</w:t>
      </w:r>
    </w:p>
    <w:p w14:paraId="521E9B6D" w14:textId="0E942793" w:rsidR="00ED527C" w:rsidRPr="002502A2" w:rsidRDefault="00ED527C" w:rsidP="00F20562">
      <w:pPr>
        <w:ind w:firstLine="720"/>
        <w:jc w:val="both"/>
        <w:rPr>
          <w:sz w:val="22"/>
          <w:szCs w:val="22"/>
        </w:rPr>
      </w:pPr>
      <w:r w:rsidRPr="002502A2">
        <w:rPr>
          <w:sz w:val="22"/>
          <w:szCs w:val="22"/>
        </w:rPr>
        <w:t>2. The Nissan Vanette</w:t>
      </w:r>
      <w:r w:rsidR="008372CD">
        <w:rPr>
          <w:sz w:val="22"/>
          <w:szCs w:val="22"/>
        </w:rPr>
        <w:t>,</w:t>
      </w:r>
      <w:r w:rsidRPr="002502A2">
        <w:rPr>
          <w:sz w:val="22"/>
          <w:szCs w:val="22"/>
        </w:rPr>
        <w:t xml:space="preserve"> registration number ADK 0694 and the Mitsubishi Delica</w:t>
      </w:r>
      <w:r w:rsidR="008372CD">
        <w:rPr>
          <w:sz w:val="22"/>
          <w:szCs w:val="22"/>
        </w:rPr>
        <w:t>,</w:t>
      </w:r>
    </w:p>
    <w:p w14:paraId="7B3D7631" w14:textId="7AB35566" w:rsidR="00ED527C" w:rsidRPr="002502A2" w:rsidRDefault="00ED527C" w:rsidP="00D33839">
      <w:pPr>
        <w:ind w:left="360" w:firstLine="630"/>
        <w:jc w:val="both"/>
        <w:rPr>
          <w:sz w:val="22"/>
          <w:szCs w:val="22"/>
        </w:rPr>
      </w:pPr>
      <w:r w:rsidRPr="002502A2">
        <w:rPr>
          <w:sz w:val="22"/>
          <w:szCs w:val="22"/>
        </w:rPr>
        <w:t>registration number ABU 6387</w:t>
      </w:r>
      <w:r w:rsidR="008372CD">
        <w:rPr>
          <w:sz w:val="22"/>
          <w:szCs w:val="22"/>
        </w:rPr>
        <w:t>,</w:t>
      </w:r>
      <w:r w:rsidRPr="002502A2">
        <w:rPr>
          <w:sz w:val="22"/>
          <w:szCs w:val="22"/>
        </w:rPr>
        <w:t xml:space="preserve"> shall be released to the appellants forthwith.</w:t>
      </w:r>
      <w:r w:rsidR="00EA682E">
        <w:rPr>
          <w:sz w:val="22"/>
          <w:szCs w:val="22"/>
        </w:rPr>
        <w:t>”</w:t>
      </w:r>
    </w:p>
    <w:p w14:paraId="68C30CF8" w14:textId="77777777" w:rsidR="002502A2" w:rsidRPr="00F20562" w:rsidRDefault="002502A2" w:rsidP="002502A2">
      <w:pPr>
        <w:spacing w:line="360" w:lineRule="auto"/>
        <w:ind w:firstLine="720"/>
        <w:jc w:val="both"/>
        <w:rPr>
          <w:sz w:val="16"/>
          <w:szCs w:val="16"/>
        </w:rPr>
      </w:pPr>
    </w:p>
    <w:p w14:paraId="0FC61C03" w14:textId="4AA028CC" w:rsidR="00AC3C89" w:rsidRPr="00BA184F" w:rsidRDefault="00EA682E" w:rsidP="00ED527C">
      <w:pPr>
        <w:spacing w:line="360" w:lineRule="auto"/>
        <w:jc w:val="both"/>
      </w:pPr>
      <w:r>
        <w:tab/>
      </w:r>
      <w:r w:rsidR="00EA6C77">
        <w:t>E</w:t>
      </w:r>
      <w:r w:rsidR="002676C7">
        <w:t>vident</w:t>
      </w:r>
      <w:r w:rsidR="00EA6C77">
        <w:t>ly,</w:t>
      </w:r>
      <w:r w:rsidR="002676C7">
        <w:t xml:space="preserve"> t</w:t>
      </w:r>
      <w:r w:rsidR="00E67298">
        <w:t xml:space="preserve">his court </w:t>
      </w:r>
      <w:r w:rsidR="00ED527C">
        <w:t>ordered t</w:t>
      </w:r>
      <w:r w:rsidR="00E67298">
        <w:t>he release of the aforesaid vehicles</w:t>
      </w:r>
      <w:r w:rsidR="00ED527C">
        <w:t xml:space="preserve"> to the applicants. </w:t>
      </w:r>
      <w:r>
        <w:t xml:space="preserve"> </w:t>
      </w:r>
      <w:r w:rsidR="00ED527C">
        <w:t>It is this order that the</w:t>
      </w:r>
      <w:r w:rsidR="00C91E1C">
        <w:t xml:space="preserve"> </w:t>
      </w:r>
      <w:r w:rsidR="00ED527C">
        <w:t>respondents are said to have breached.</w:t>
      </w:r>
      <w:r w:rsidR="00072750">
        <w:t xml:space="preserve"> </w:t>
      </w:r>
      <w:r w:rsidR="00ED527C">
        <w:t xml:space="preserve">The respondents raised an objection </w:t>
      </w:r>
      <w:r w:rsidR="00ED527C" w:rsidRPr="00EA682E">
        <w:rPr>
          <w:i/>
        </w:rPr>
        <w:t>in</w:t>
      </w:r>
      <w:r w:rsidR="008A7AE2">
        <w:t> </w:t>
      </w:r>
      <w:r w:rsidR="008A7AE2" w:rsidRPr="008A7AE2">
        <w:rPr>
          <w:i/>
        </w:rPr>
        <w:t>limine</w:t>
      </w:r>
      <w:r w:rsidR="00ED527C" w:rsidRPr="00072750">
        <w:rPr>
          <w:i/>
        </w:rPr>
        <w:t>.</w:t>
      </w:r>
      <w:r w:rsidR="00ED527C">
        <w:t xml:space="preserve"> The objection </w:t>
      </w:r>
      <w:r w:rsidR="00ED527C" w:rsidRPr="00EA682E">
        <w:rPr>
          <w:i/>
        </w:rPr>
        <w:t>in</w:t>
      </w:r>
      <w:r w:rsidR="00ED527C" w:rsidRPr="00072750">
        <w:rPr>
          <w:i/>
        </w:rPr>
        <w:t xml:space="preserve"> limine</w:t>
      </w:r>
      <w:r w:rsidR="00ED527C">
        <w:t xml:space="preserve"> is to the effect</w:t>
      </w:r>
      <w:r w:rsidR="00072750">
        <w:t xml:space="preserve"> </w:t>
      </w:r>
      <w:r w:rsidR="00ED527C">
        <w:t>that</w:t>
      </w:r>
      <w:r w:rsidR="00EE1761">
        <w:t xml:space="preserve"> the applicants</w:t>
      </w:r>
      <w:r w:rsidR="00072750">
        <w:t xml:space="preserve"> have misjoined second</w:t>
      </w:r>
      <w:r w:rsidR="00ED527C">
        <w:t xml:space="preserve"> respondent</w:t>
      </w:r>
      <w:r w:rsidR="00EE1761">
        <w:t xml:space="preserve">, namely, the </w:t>
      </w:r>
      <w:r w:rsidR="00ED527C">
        <w:t>Commissioner General of the Zimbabwe</w:t>
      </w:r>
      <w:r w:rsidR="00EE1761">
        <w:t xml:space="preserve"> </w:t>
      </w:r>
      <w:r w:rsidR="00AC3C89">
        <w:t>Revenue Authority (N.O.). In his</w:t>
      </w:r>
      <w:r w:rsidR="00ED527C">
        <w:t xml:space="preserve"> founding affidavit</w:t>
      </w:r>
      <w:r w:rsidR="005770CF">
        <w:t>,</w:t>
      </w:r>
      <w:r w:rsidR="00ED527C">
        <w:t xml:space="preserve"> Tawanda Mungate who deposed to the</w:t>
      </w:r>
      <w:r w:rsidR="00915EB2">
        <w:t xml:space="preserve"> </w:t>
      </w:r>
      <w:r w:rsidR="00643F63">
        <w:t>affidavit states</w:t>
      </w:r>
      <w:r w:rsidR="00ED527C">
        <w:t xml:space="preserve"> that:</w:t>
      </w:r>
    </w:p>
    <w:p w14:paraId="4282CBA2" w14:textId="4C851A6D" w:rsidR="00ED527C" w:rsidRPr="00457D0E" w:rsidRDefault="000F5CE7" w:rsidP="00457D0E">
      <w:pPr>
        <w:ind w:left="720"/>
        <w:jc w:val="both"/>
        <w:rPr>
          <w:sz w:val="22"/>
          <w:szCs w:val="22"/>
        </w:rPr>
      </w:pPr>
      <w:r w:rsidRPr="00457D0E">
        <w:rPr>
          <w:sz w:val="22"/>
          <w:szCs w:val="22"/>
        </w:rPr>
        <w:lastRenderedPageBreak/>
        <w:t>“The second r</w:t>
      </w:r>
      <w:r w:rsidR="00ED527C" w:rsidRPr="00457D0E">
        <w:rPr>
          <w:sz w:val="22"/>
          <w:szCs w:val="22"/>
        </w:rPr>
        <w:t>espondent is the Commissioner general of Zimbabwe Revenue Authority</w:t>
      </w:r>
      <w:r w:rsidR="00457D0E">
        <w:rPr>
          <w:sz w:val="22"/>
          <w:szCs w:val="22"/>
        </w:rPr>
        <w:t xml:space="preserve"> </w:t>
      </w:r>
      <w:r w:rsidR="00ED527C" w:rsidRPr="00457D0E">
        <w:rPr>
          <w:sz w:val="22"/>
          <w:szCs w:val="22"/>
        </w:rPr>
        <w:t>who is the administrative off</w:t>
      </w:r>
      <w:r w:rsidR="00C45535">
        <w:rPr>
          <w:sz w:val="22"/>
          <w:szCs w:val="22"/>
        </w:rPr>
        <w:t>icial and employee of the first r</w:t>
      </w:r>
      <w:r w:rsidR="00ED527C" w:rsidRPr="00457D0E">
        <w:rPr>
          <w:sz w:val="22"/>
          <w:szCs w:val="22"/>
        </w:rPr>
        <w:t>espondent responsible for</w:t>
      </w:r>
      <w:r w:rsidR="00457D0E">
        <w:rPr>
          <w:sz w:val="22"/>
          <w:szCs w:val="22"/>
        </w:rPr>
        <w:t xml:space="preserve"> </w:t>
      </w:r>
      <w:r w:rsidR="00ED527C" w:rsidRPr="00457D0E">
        <w:rPr>
          <w:sz w:val="22"/>
          <w:szCs w:val="22"/>
        </w:rPr>
        <w:t>the release or return of seized or forfeited articles and reimbursement for value</w:t>
      </w:r>
      <w:r w:rsidR="00457D0E" w:rsidRPr="00457D0E">
        <w:rPr>
          <w:sz w:val="22"/>
          <w:szCs w:val="22"/>
        </w:rPr>
        <w:t xml:space="preserve"> </w:t>
      </w:r>
      <w:r w:rsidR="00ED527C" w:rsidRPr="00457D0E">
        <w:rPr>
          <w:sz w:val="22"/>
          <w:szCs w:val="22"/>
        </w:rPr>
        <w:t>regards articles which have been disposed of or sold in terms of the Customs and</w:t>
      </w:r>
      <w:r w:rsidR="00457D0E" w:rsidRPr="00457D0E">
        <w:rPr>
          <w:sz w:val="22"/>
          <w:szCs w:val="22"/>
        </w:rPr>
        <w:t xml:space="preserve"> </w:t>
      </w:r>
      <w:r w:rsidR="00ED527C" w:rsidRPr="00457D0E">
        <w:rPr>
          <w:sz w:val="22"/>
          <w:szCs w:val="22"/>
        </w:rPr>
        <w:t>Excise Act [</w:t>
      </w:r>
      <w:r w:rsidR="00ED527C" w:rsidRPr="00EA682E">
        <w:rPr>
          <w:i/>
          <w:sz w:val="22"/>
          <w:szCs w:val="22"/>
        </w:rPr>
        <w:t>Chapter 23:02</w:t>
      </w:r>
      <w:r w:rsidR="00ED527C" w:rsidRPr="00457D0E">
        <w:rPr>
          <w:sz w:val="22"/>
          <w:szCs w:val="22"/>
        </w:rPr>
        <w:t>] and whose administrative roles and duties are captured in</w:t>
      </w:r>
      <w:r w:rsidR="00457D0E" w:rsidRPr="00457D0E">
        <w:rPr>
          <w:sz w:val="22"/>
          <w:szCs w:val="22"/>
        </w:rPr>
        <w:t xml:space="preserve"> </w:t>
      </w:r>
      <w:r w:rsidR="00ED527C" w:rsidRPr="00457D0E">
        <w:rPr>
          <w:sz w:val="22"/>
          <w:szCs w:val="22"/>
        </w:rPr>
        <w:t>the Revenue Authority Act [</w:t>
      </w:r>
      <w:r w:rsidR="00ED527C" w:rsidRPr="00EA682E">
        <w:rPr>
          <w:i/>
          <w:sz w:val="22"/>
          <w:szCs w:val="22"/>
        </w:rPr>
        <w:t>Chapter 23:12</w:t>
      </w:r>
      <w:r w:rsidR="00ED527C" w:rsidRPr="00457D0E">
        <w:rPr>
          <w:sz w:val="22"/>
          <w:szCs w:val="22"/>
        </w:rPr>
        <w:t>]. She is also the legal person and highest</w:t>
      </w:r>
      <w:r w:rsidR="00457D0E" w:rsidRPr="00457D0E">
        <w:rPr>
          <w:sz w:val="22"/>
          <w:szCs w:val="22"/>
        </w:rPr>
        <w:t xml:space="preserve"> </w:t>
      </w:r>
      <w:r w:rsidR="00ED527C" w:rsidRPr="00457D0E">
        <w:rPr>
          <w:sz w:val="22"/>
          <w:szCs w:val="22"/>
        </w:rPr>
        <w:t>official capable of satisfying the order in the main soug</w:t>
      </w:r>
      <w:r w:rsidR="00457D0E" w:rsidRPr="00457D0E">
        <w:rPr>
          <w:sz w:val="22"/>
          <w:szCs w:val="22"/>
        </w:rPr>
        <w:t xml:space="preserve">ht for by the Applicants. She is </w:t>
      </w:r>
      <w:r w:rsidR="00ED527C" w:rsidRPr="00457D0E">
        <w:rPr>
          <w:sz w:val="22"/>
          <w:szCs w:val="22"/>
        </w:rPr>
        <w:t>cited h</w:t>
      </w:r>
      <w:r w:rsidR="00EA682E">
        <w:rPr>
          <w:sz w:val="22"/>
          <w:szCs w:val="22"/>
        </w:rPr>
        <w:t>erein in her official capacity…</w:t>
      </w:r>
      <w:r w:rsidR="00ED527C" w:rsidRPr="00457D0E">
        <w:rPr>
          <w:sz w:val="22"/>
          <w:szCs w:val="22"/>
        </w:rPr>
        <w:t>.</w:t>
      </w:r>
      <w:r w:rsidR="00EA682E">
        <w:rPr>
          <w:sz w:val="22"/>
          <w:szCs w:val="22"/>
        </w:rPr>
        <w:t>”</w:t>
      </w:r>
    </w:p>
    <w:p w14:paraId="2ECAD042" w14:textId="77777777" w:rsidR="00ED527C" w:rsidRDefault="00ED527C" w:rsidP="00ED527C">
      <w:pPr>
        <w:spacing w:line="360" w:lineRule="auto"/>
        <w:jc w:val="both"/>
      </w:pPr>
    </w:p>
    <w:p w14:paraId="4260584A" w14:textId="0784E173" w:rsidR="00ED527C" w:rsidRDefault="00ED527C" w:rsidP="00504BB5">
      <w:pPr>
        <w:spacing w:line="360" w:lineRule="auto"/>
        <w:ind w:firstLine="720"/>
        <w:jc w:val="both"/>
      </w:pPr>
      <w:r>
        <w:t>In pursuit of the argument that the ap</w:t>
      </w:r>
      <w:r w:rsidR="009126CA">
        <w:t>plicants have misjoined the second</w:t>
      </w:r>
      <w:r>
        <w:t xml:space="preserve"> respondent,</w:t>
      </w:r>
      <w:r w:rsidR="009126CA">
        <w:t xml:space="preserve"> </w:t>
      </w:r>
      <w:r>
        <w:t>reli</w:t>
      </w:r>
      <w:r w:rsidR="00EA682E">
        <w:t>ance was placed on s</w:t>
      </w:r>
      <w:r>
        <w:t xml:space="preserve"> 3 of the Revenue Authority Act [</w:t>
      </w:r>
      <w:r w:rsidRPr="00EA682E">
        <w:rPr>
          <w:i/>
        </w:rPr>
        <w:t>Chapter 23:11</w:t>
      </w:r>
      <w:r>
        <w:t>] which</w:t>
      </w:r>
      <w:r w:rsidR="00504BB5">
        <w:t xml:space="preserve"> says:</w:t>
      </w:r>
    </w:p>
    <w:p w14:paraId="0FE81F68" w14:textId="77777777" w:rsidR="00504BB5" w:rsidRPr="00B342C3" w:rsidRDefault="00504BB5" w:rsidP="00504BB5">
      <w:pPr>
        <w:spacing w:line="360" w:lineRule="auto"/>
        <w:ind w:firstLine="720"/>
        <w:jc w:val="both"/>
        <w:rPr>
          <w:sz w:val="10"/>
          <w:szCs w:val="10"/>
        </w:rPr>
      </w:pPr>
    </w:p>
    <w:p w14:paraId="1D17A02D" w14:textId="6B2ADCA9" w:rsidR="00ED527C" w:rsidRPr="00065F47" w:rsidRDefault="00ED527C" w:rsidP="00065F47">
      <w:pPr>
        <w:ind w:left="720"/>
        <w:jc w:val="both"/>
        <w:rPr>
          <w:sz w:val="22"/>
          <w:szCs w:val="22"/>
        </w:rPr>
      </w:pPr>
      <w:r w:rsidRPr="00065F47">
        <w:rPr>
          <w:sz w:val="22"/>
          <w:szCs w:val="22"/>
        </w:rPr>
        <w:t>“There is hereby established an authority, to be known as the Zimbabwe Revenue</w:t>
      </w:r>
      <w:r w:rsidR="00A0257E" w:rsidRPr="00065F47">
        <w:rPr>
          <w:sz w:val="22"/>
          <w:szCs w:val="22"/>
        </w:rPr>
        <w:t xml:space="preserve"> </w:t>
      </w:r>
      <w:r w:rsidRPr="00065F47">
        <w:rPr>
          <w:sz w:val="22"/>
          <w:szCs w:val="22"/>
        </w:rPr>
        <w:t>Authority, which shall be a body corporate of suing and being sued in its own name</w:t>
      </w:r>
      <w:r w:rsidR="00A0257E" w:rsidRPr="00065F47">
        <w:rPr>
          <w:sz w:val="22"/>
          <w:szCs w:val="22"/>
        </w:rPr>
        <w:t xml:space="preserve"> </w:t>
      </w:r>
      <w:r w:rsidRPr="00065F47">
        <w:rPr>
          <w:sz w:val="22"/>
          <w:szCs w:val="22"/>
        </w:rPr>
        <w:t>and, subject to this Act, of performing all acts that bodies corporate may by law</w:t>
      </w:r>
      <w:r w:rsidR="00A0257E" w:rsidRPr="00065F47">
        <w:rPr>
          <w:sz w:val="22"/>
          <w:szCs w:val="22"/>
        </w:rPr>
        <w:t xml:space="preserve"> </w:t>
      </w:r>
      <w:r w:rsidRPr="00065F47">
        <w:rPr>
          <w:sz w:val="22"/>
          <w:szCs w:val="22"/>
        </w:rPr>
        <w:t>perform.”</w:t>
      </w:r>
    </w:p>
    <w:p w14:paraId="2E688F21" w14:textId="77777777" w:rsidR="00ED527C" w:rsidRDefault="00ED527C" w:rsidP="00ED527C">
      <w:pPr>
        <w:spacing w:line="360" w:lineRule="auto"/>
        <w:jc w:val="both"/>
      </w:pPr>
    </w:p>
    <w:p w14:paraId="631DEE7A" w14:textId="0FC9BA58" w:rsidR="00ED527C" w:rsidRDefault="00EA682E" w:rsidP="00ED527C">
      <w:pPr>
        <w:spacing w:line="360" w:lineRule="auto"/>
        <w:jc w:val="both"/>
      </w:pPr>
      <w:r>
        <w:tab/>
      </w:r>
      <w:r w:rsidR="00ED527C">
        <w:t>Further relian</w:t>
      </w:r>
      <w:r w:rsidR="001843DD">
        <w:t xml:space="preserve">ce was placed on </w:t>
      </w:r>
      <w:r w:rsidR="00ED527C">
        <w:t xml:space="preserve">case of </w:t>
      </w:r>
      <w:r w:rsidR="00ED527C" w:rsidRPr="00F15AD7">
        <w:rPr>
          <w:i/>
        </w:rPr>
        <w:t xml:space="preserve">Tregers Industries (Pvt) Ltd </w:t>
      </w:r>
      <w:r w:rsidR="00ED527C" w:rsidRPr="00EA682E">
        <w:t>v</w:t>
      </w:r>
      <w:r w:rsidR="00F27EB8" w:rsidRPr="00F15AD7">
        <w:rPr>
          <w:i/>
        </w:rPr>
        <w:t xml:space="preserve"> </w:t>
      </w:r>
      <w:r w:rsidR="00ED527C" w:rsidRPr="00F15AD7">
        <w:rPr>
          <w:i/>
        </w:rPr>
        <w:t xml:space="preserve">Zimbabwe Revenue Authority </w:t>
      </w:r>
      <w:r w:rsidR="00ED527C">
        <w:t>2006 (2) ZLR 62 (H) where it was stated as follows:</w:t>
      </w:r>
    </w:p>
    <w:p w14:paraId="56460D89" w14:textId="77777777" w:rsidR="00F27EB8" w:rsidRPr="007E197F" w:rsidRDefault="00F27EB8" w:rsidP="00ED527C">
      <w:pPr>
        <w:spacing w:line="360" w:lineRule="auto"/>
        <w:jc w:val="both"/>
        <w:rPr>
          <w:sz w:val="10"/>
          <w:szCs w:val="10"/>
        </w:rPr>
      </w:pPr>
    </w:p>
    <w:p w14:paraId="47B73E10" w14:textId="56C591FB" w:rsidR="00ED527C" w:rsidRPr="00E65172" w:rsidRDefault="00EE0EE2" w:rsidP="006D078E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ED527C" w:rsidRPr="00E65172">
        <w:rPr>
          <w:sz w:val="22"/>
          <w:szCs w:val="22"/>
        </w:rPr>
        <w:t>Ordinarily there</w:t>
      </w:r>
      <w:r w:rsidR="00F15AD7" w:rsidRPr="00E65172">
        <w:rPr>
          <w:sz w:val="22"/>
          <w:szCs w:val="22"/>
        </w:rPr>
        <w:t xml:space="preserve"> </w:t>
      </w:r>
      <w:r w:rsidR="00ED527C" w:rsidRPr="00E65172">
        <w:rPr>
          <w:sz w:val="22"/>
          <w:szCs w:val="22"/>
        </w:rPr>
        <w:t>is no basis for citing Commissioner personally as a party in a matter handled by</w:t>
      </w:r>
      <w:r w:rsidR="00F15AD7" w:rsidRPr="00E65172">
        <w:rPr>
          <w:sz w:val="22"/>
          <w:szCs w:val="22"/>
        </w:rPr>
        <w:t xml:space="preserve"> </w:t>
      </w:r>
      <w:r w:rsidR="00ED527C" w:rsidRPr="00E65172">
        <w:rPr>
          <w:sz w:val="22"/>
          <w:szCs w:val="22"/>
        </w:rPr>
        <w:t>employees of the authority. I am fortified in this view by the provisions of the Valued</w:t>
      </w:r>
      <w:r w:rsidR="00F15AD7" w:rsidRPr="00E65172">
        <w:rPr>
          <w:sz w:val="22"/>
          <w:szCs w:val="22"/>
        </w:rPr>
        <w:t xml:space="preserve"> </w:t>
      </w:r>
      <w:r w:rsidR="00ED527C" w:rsidRPr="00E65172">
        <w:rPr>
          <w:sz w:val="22"/>
          <w:szCs w:val="22"/>
        </w:rPr>
        <w:t>Added Tax [</w:t>
      </w:r>
      <w:r w:rsidR="00ED527C" w:rsidRPr="00EA682E">
        <w:rPr>
          <w:i/>
          <w:sz w:val="22"/>
          <w:szCs w:val="22"/>
        </w:rPr>
        <w:t>Chapter 23:12</w:t>
      </w:r>
      <w:r w:rsidR="00ED527C" w:rsidRPr="00E65172">
        <w:rPr>
          <w:sz w:val="22"/>
          <w:szCs w:val="22"/>
        </w:rPr>
        <w:t>] as well as the Revenue Authority Act [</w:t>
      </w:r>
      <w:r w:rsidR="00ED527C" w:rsidRPr="00EA682E">
        <w:rPr>
          <w:i/>
          <w:sz w:val="22"/>
          <w:szCs w:val="22"/>
        </w:rPr>
        <w:t>Chapter 23:11</w:t>
      </w:r>
      <w:r w:rsidR="00ED527C" w:rsidRPr="00E65172">
        <w:rPr>
          <w:sz w:val="22"/>
          <w:szCs w:val="22"/>
        </w:rPr>
        <w:t>].</w:t>
      </w:r>
      <w:r w:rsidR="00F15AD7" w:rsidRPr="00E65172">
        <w:rPr>
          <w:sz w:val="22"/>
          <w:szCs w:val="22"/>
        </w:rPr>
        <w:t xml:space="preserve"> </w:t>
      </w:r>
      <w:r w:rsidR="00ED527C" w:rsidRPr="00E65172">
        <w:rPr>
          <w:sz w:val="22"/>
          <w:szCs w:val="22"/>
        </w:rPr>
        <w:t>The latter Act provides in section 5 that the operations of the Zimbabwe Revenue</w:t>
      </w:r>
      <w:r w:rsidR="00F15AD7" w:rsidRPr="00E65172">
        <w:rPr>
          <w:sz w:val="22"/>
          <w:szCs w:val="22"/>
        </w:rPr>
        <w:t xml:space="preserve"> </w:t>
      </w:r>
      <w:r w:rsidR="00ED527C" w:rsidRPr="00E65172">
        <w:rPr>
          <w:sz w:val="22"/>
          <w:szCs w:val="22"/>
        </w:rPr>
        <w:t>Authority (ZRA) shall, subject to the Act, be controlled and managed by a board</w:t>
      </w:r>
      <w:r w:rsidR="00F15AD7" w:rsidRPr="00E65172">
        <w:rPr>
          <w:sz w:val="22"/>
          <w:szCs w:val="22"/>
        </w:rPr>
        <w:t xml:space="preserve"> </w:t>
      </w:r>
      <w:r w:rsidR="00ED527C" w:rsidRPr="00E65172">
        <w:rPr>
          <w:sz w:val="22"/>
          <w:szCs w:val="22"/>
        </w:rPr>
        <w:t>which shall consist of the Secretary for Finance, the Commissioner General of the</w:t>
      </w:r>
      <w:r w:rsidR="00F15AD7" w:rsidRPr="00E65172">
        <w:rPr>
          <w:sz w:val="22"/>
          <w:szCs w:val="22"/>
        </w:rPr>
        <w:t xml:space="preserve"> </w:t>
      </w:r>
      <w:r w:rsidR="00ED527C" w:rsidRPr="00E65172">
        <w:rPr>
          <w:sz w:val="22"/>
          <w:szCs w:val="22"/>
        </w:rPr>
        <w:t>ZRA and other members appointed by the Minister after consultation with the</w:t>
      </w:r>
      <w:r w:rsidR="00F15AD7" w:rsidRPr="00E65172">
        <w:rPr>
          <w:sz w:val="22"/>
          <w:szCs w:val="22"/>
        </w:rPr>
        <w:t xml:space="preserve"> </w:t>
      </w:r>
      <w:r w:rsidR="00ED527C" w:rsidRPr="00E65172">
        <w:rPr>
          <w:sz w:val="22"/>
          <w:szCs w:val="22"/>
        </w:rPr>
        <w:t>President. In terms of section 4 one of the functions of the functions of the Authority</w:t>
      </w:r>
      <w:r w:rsidR="00F15AD7" w:rsidRPr="00E65172">
        <w:rPr>
          <w:sz w:val="22"/>
          <w:szCs w:val="22"/>
        </w:rPr>
        <w:t xml:space="preserve"> </w:t>
      </w:r>
      <w:r w:rsidR="00ED527C" w:rsidRPr="00E65172">
        <w:rPr>
          <w:sz w:val="22"/>
          <w:szCs w:val="22"/>
        </w:rPr>
        <w:t>shall be to act as an agent of the State in assessing, collecting and enforcing the</w:t>
      </w:r>
      <w:r w:rsidR="00F15AD7" w:rsidRPr="00E65172">
        <w:rPr>
          <w:sz w:val="22"/>
          <w:szCs w:val="22"/>
        </w:rPr>
        <w:t xml:space="preserve"> </w:t>
      </w:r>
      <w:r w:rsidR="00ED527C" w:rsidRPr="00E65172">
        <w:rPr>
          <w:sz w:val="22"/>
          <w:szCs w:val="22"/>
        </w:rPr>
        <w:t>payment of all revenue. Of particular importance is section 3 of the Revenue</w:t>
      </w:r>
      <w:r w:rsidR="0055043A" w:rsidRPr="00E65172">
        <w:rPr>
          <w:sz w:val="22"/>
          <w:szCs w:val="22"/>
        </w:rPr>
        <w:t xml:space="preserve"> </w:t>
      </w:r>
      <w:r w:rsidR="00ED527C" w:rsidRPr="00E65172">
        <w:rPr>
          <w:sz w:val="22"/>
          <w:szCs w:val="22"/>
        </w:rPr>
        <w:t>Authority Act which provides:</w:t>
      </w:r>
    </w:p>
    <w:p w14:paraId="5BD4CE0B" w14:textId="77777777" w:rsidR="00ED527C" w:rsidRPr="00D604E2" w:rsidRDefault="00ED527C" w:rsidP="00ED527C">
      <w:pPr>
        <w:spacing w:line="360" w:lineRule="auto"/>
        <w:jc w:val="both"/>
        <w:rPr>
          <w:sz w:val="6"/>
          <w:szCs w:val="6"/>
        </w:rPr>
      </w:pPr>
    </w:p>
    <w:p w14:paraId="4B4E165D" w14:textId="0AA65B49" w:rsidR="00ED527C" w:rsidRPr="00C1370C" w:rsidRDefault="00EA682E" w:rsidP="006D078E">
      <w:pPr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>‘</w:t>
      </w:r>
      <w:r w:rsidR="00ED527C" w:rsidRPr="00C1370C">
        <w:rPr>
          <w:sz w:val="22"/>
          <w:szCs w:val="22"/>
        </w:rPr>
        <w:t>3. There is hereby established an authority, to be known as the Zimbabwe</w:t>
      </w:r>
      <w:r w:rsidR="002108B8" w:rsidRPr="00C1370C">
        <w:rPr>
          <w:sz w:val="22"/>
          <w:szCs w:val="22"/>
        </w:rPr>
        <w:t xml:space="preserve"> </w:t>
      </w:r>
      <w:r w:rsidR="00ED527C" w:rsidRPr="00C1370C">
        <w:rPr>
          <w:sz w:val="22"/>
          <w:szCs w:val="22"/>
        </w:rPr>
        <w:t>Revenue Authority, which shall be a body corporate capable of suing and</w:t>
      </w:r>
      <w:r w:rsidR="002108B8" w:rsidRPr="00C1370C">
        <w:rPr>
          <w:sz w:val="22"/>
          <w:szCs w:val="22"/>
        </w:rPr>
        <w:t xml:space="preserve"> </w:t>
      </w:r>
      <w:r w:rsidR="00ED527C" w:rsidRPr="00C1370C">
        <w:rPr>
          <w:sz w:val="22"/>
          <w:szCs w:val="22"/>
        </w:rPr>
        <w:t>being sued in its own name and, subject to this Act, of performing all acts that</w:t>
      </w:r>
      <w:r w:rsidR="002108B8" w:rsidRPr="00C1370C">
        <w:rPr>
          <w:sz w:val="22"/>
          <w:szCs w:val="22"/>
        </w:rPr>
        <w:t xml:space="preserve"> </w:t>
      </w:r>
      <w:r w:rsidR="00ED527C" w:rsidRPr="00C1370C">
        <w:rPr>
          <w:sz w:val="22"/>
          <w:szCs w:val="22"/>
        </w:rPr>
        <w:t>bodies corporate may by law perform.</w:t>
      </w:r>
      <w:r>
        <w:rPr>
          <w:sz w:val="22"/>
          <w:szCs w:val="22"/>
        </w:rPr>
        <w:t>’</w:t>
      </w:r>
      <w:r w:rsidR="00ED527C" w:rsidRPr="00C1370C">
        <w:rPr>
          <w:sz w:val="22"/>
          <w:szCs w:val="22"/>
        </w:rPr>
        <w:t>”</w:t>
      </w:r>
    </w:p>
    <w:p w14:paraId="438F75B6" w14:textId="77777777" w:rsidR="002108B8" w:rsidRPr="00EC6FCD" w:rsidRDefault="002108B8" w:rsidP="00ED527C">
      <w:pPr>
        <w:spacing w:line="360" w:lineRule="auto"/>
        <w:jc w:val="both"/>
        <w:rPr>
          <w:sz w:val="22"/>
          <w:szCs w:val="22"/>
        </w:rPr>
      </w:pPr>
    </w:p>
    <w:p w14:paraId="393F7860" w14:textId="7852CB1A" w:rsidR="00ED527C" w:rsidRDefault="00EA682E" w:rsidP="00ED527C">
      <w:pPr>
        <w:spacing w:line="360" w:lineRule="auto"/>
        <w:jc w:val="both"/>
      </w:pPr>
      <w:r>
        <w:tab/>
      </w:r>
      <w:r w:rsidR="00003AB1">
        <w:t>I</w:t>
      </w:r>
      <w:r>
        <w:t>n terms of s</w:t>
      </w:r>
      <w:r w:rsidR="00ED527C">
        <w:t xml:space="preserve"> 4</w:t>
      </w:r>
      <w:r w:rsidR="00003AB1">
        <w:t xml:space="preserve"> of the Act,</w:t>
      </w:r>
      <w:r>
        <w:t xml:space="preserve"> </w:t>
      </w:r>
      <w:r w:rsidR="00003AB1">
        <w:t>ZIMRA</w:t>
      </w:r>
      <w:r w:rsidR="00ED527C">
        <w:t xml:space="preserve"> is charged with the responsibility of</w:t>
      </w:r>
      <w:r w:rsidR="00C24043">
        <w:t xml:space="preserve">, </w:t>
      </w:r>
      <w:r w:rsidR="00ED527C" w:rsidRPr="00C24043">
        <w:rPr>
          <w:i/>
        </w:rPr>
        <w:t>inter alia</w:t>
      </w:r>
      <w:r w:rsidR="00003AB1">
        <w:t xml:space="preserve">, collecting and enforcing </w:t>
      </w:r>
      <w:r w:rsidR="00ED527C">
        <w:t xml:space="preserve">payment of all revenues. </w:t>
      </w:r>
      <w:r w:rsidR="00DC22DA">
        <w:t>Further, i</w:t>
      </w:r>
      <w:r>
        <w:t>n terms of s</w:t>
      </w:r>
      <w:r w:rsidR="00ED527C">
        <w:t xml:space="preserve"> 19</w:t>
      </w:r>
      <w:r w:rsidR="00BC54F4">
        <w:t xml:space="preserve"> </w:t>
      </w:r>
      <w:r w:rsidR="00DC22DA">
        <w:t>of the</w:t>
      </w:r>
      <w:r w:rsidR="00884463">
        <w:t xml:space="preserve"> Act,</w:t>
      </w:r>
      <w:r w:rsidR="00ED527C">
        <w:t xml:space="preserve"> the</w:t>
      </w:r>
      <w:r w:rsidR="00884463">
        <w:t xml:space="preserve"> ZIMRA board </w:t>
      </w:r>
      <w:r w:rsidR="00ED527C">
        <w:t>appoints the</w:t>
      </w:r>
      <w:r w:rsidR="00BC54F4">
        <w:t xml:space="preserve"> </w:t>
      </w:r>
      <w:r w:rsidR="00ED527C">
        <w:t xml:space="preserve">Commissioner General of the </w:t>
      </w:r>
      <w:r w:rsidR="00017097">
        <w:t xml:space="preserve">Authority. </w:t>
      </w:r>
      <w:r>
        <w:t xml:space="preserve"> </w:t>
      </w:r>
      <w:r w:rsidR="00017097">
        <w:t xml:space="preserve">However, </w:t>
      </w:r>
      <w:r>
        <w:t>s</w:t>
      </w:r>
      <w:r w:rsidR="00ED527C">
        <w:t xml:space="preserve"> 3 of the Value</w:t>
      </w:r>
      <w:r w:rsidR="00BC54F4">
        <w:t xml:space="preserve"> </w:t>
      </w:r>
      <w:r w:rsidR="00ED527C">
        <w:t>Added Tax</w:t>
      </w:r>
      <w:r w:rsidR="00017097">
        <w:t xml:space="preserve"> Act </w:t>
      </w:r>
      <w:r w:rsidR="00523C30">
        <w:t>[</w:t>
      </w:r>
      <w:r w:rsidR="00523C30" w:rsidRPr="00EA682E">
        <w:rPr>
          <w:i/>
        </w:rPr>
        <w:t>Chapter 23:12</w:t>
      </w:r>
      <w:r w:rsidR="00523C30">
        <w:t>]</w:t>
      </w:r>
      <w:r w:rsidR="00ED527C">
        <w:t>, it is the Commis</w:t>
      </w:r>
      <w:r w:rsidR="002F7FB4">
        <w:t xml:space="preserve">sioner General </w:t>
      </w:r>
      <w:r w:rsidR="00ED527C">
        <w:t>who is responsible for</w:t>
      </w:r>
      <w:r w:rsidR="00BC54F4">
        <w:t xml:space="preserve"> </w:t>
      </w:r>
      <w:r w:rsidR="00ED527C">
        <w:t xml:space="preserve">carrying out the provisions of the Act. </w:t>
      </w:r>
      <w:r>
        <w:t xml:space="preserve"> </w:t>
      </w:r>
      <w:r w:rsidR="00ED527C">
        <w:t>Section 5 of the same Act provides that the</w:t>
      </w:r>
      <w:r w:rsidR="00B55EE2">
        <w:t xml:space="preserve"> </w:t>
      </w:r>
      <w:r w:rsidR="00ED527C">
        <w:t>Commissioner General may, subject to the Revenue Authority Act, delegate functions</w:t>
      </w:r>
      <w:r w:rsidR="00B55EE2">
        <w:t xml:space="preserve"> </w:t>
      </w:r>
      <w:r w:rsidR="00ED527C">
        <w:t>to officers in the employ of the Authority. That the Commissioner General acts under</w:t>
      </w:r>
      <w:r w:rsidR="00B55EE2">
        <w:t xml:space="preserve"> </w:t>
      </w:r>
      <w:r w:rsidR="00ED527C">
        <w:t>the control of the Board of the Authority there can be no doubt. Section 19</w:t>
      </w:r>
      <w:r w:rsidR="00017097">
        <w:t xml:space="preserve"> </w:t>
      </w:r>
      <w:r w:rsidR="00ED527C">
        <w:t>(4) of the</w:t>
      </w:r>
      <w:r w:rsidR="00B55EE2">
        <w:t xml:space="preserve"> </w:t>
      </w:r>
      <w:r w:rsidR="00ED527C">
        <w:t>Revenue Authority Act provides that the Commissioner General shall be responsible,</w:t>
      </w:r>
      <w:r w:rsidR="00B55EE2">
        <w:t xml:space="preserve"> </w:t>
      </w:r>
      <w:r w:rsidR="00ED527C">
        <w:t>subject to the Board’s control, for supervising and managing the authority’s sta</w:t>
      </w:r>
      <w:r w:rsidR="00B55EE2">
        <w:t xml:space="preserve">ff </w:t>
      </w:r>
      <w:r w:rsidR="00ED527C">
        <w:lastRenderedPageBreak/>
        <w:t xml:space="preserve">activities, funds, etc. </w:t>
      </w:r>
      <w:r>
        <w:t>As already noted, s</w:t>
      </w:r>
      <w:r w:rsidR="00ED527C">
        <w:t xml:space="preserve"> 5 of the Revenue Authority Act</w:t>
      </w:r>
      <w:r w:rsidR="00B55EE2">
        <w:t xml:space="preserve"> </w:t>
      </w:r>
      <w:r w:rsidR="00ED527C">
        <w:t>provides that the operations of the authority shall be controlled and managed by the</w:t>
      </w:r>
      <w:r w:rsidR="00694D68">
        <w:t xml:space="preserve"> </w:t>
      </w:r>
      <w:r>
        <w:t>Revenue Board and s</w:t>
      </w:r>
      <w:r w:rsidR="00ED527C">
        <w:t xml:space="preserve"> 19 (4) makes it clear that the Commissioner General’s</w:t>
      </w:r>
      <w:r w:rsidR="00694D68">
        <w:t xml:space="preserve"> </w:t>
      </w:r>
      <w:r w:rsidR="00ED527C">
        <w:t xml:space="preserve">position is akin to that of a chief executive in a company. </w:t>
      </w:r>
      <w:r>
        <w:t xml:space="preserve"> </w:t>
      </w:r>
      <w:r w:rsidR="00ED527C">
        <w:t>He is appointed by the</w:t>
      </w:r>
      <w:r w:rsidR="00694D68">
        <w:t xml:space="preserve"> </w:t>
      </w:r>
      <w:r w:rsidR="00ED527C">
        <w:t>Board of Authority</w:t>
      </w:r>
      <w:r w:rsidR="002F7FB4">
        <w:t>,</w:t>
      </w:r>
      <w:r w:rsidR="00ED527C">
        <w:t xml:space="preserve"> which Board also appoints commissioners and other officers and</w:t>
      </w:r>
      <w:r w:rsidR="007D05EB">
        <w:t xml:space="preserve"> </w:t>
      </w:r>
      <w:r w:rsidR="00ED527C">
        <w:t xml:space="preserve">members of staff. </w:t>
      </w:r>
      <w:r>
        <w:t xml:space="preserve"> </w:t>
      </w:r>
      <w:r w:rsidR="00ED527C">
        <w:t>Although there is specific reference in the Value Added Tax Act to</w:t>
      </w:r>
      <w:r w:rsidR="00694D68">
        <w:t xml:space="preserve"> </w:t>
      </w:r>
      <w:r w:rsidR="00ED527C">
        <w:t>the Commissioner being responsible for carrying out the provisions of the Act, it is</w:t>
      </w:r>
      <w:r w:rsidR="00694D68">
        <w:t xml:space="preserve"> </w:t>
      </w:r>
      <w:r w:rsidR="00ED527C">
        <w:t>clear that such responsibility is subject to the control and management of the authority</w:t>
      </w:r>
      <w:r w:rsidR="00694D68">
        <w:t xml:space="preserve"> </w:t>
      </w:r>
      <w:r w:rsidR="00ED527C">
        <w:t xml:space="preserve">through the Revenue Board. </w:t>
      </w:r>
      <w:r>
        <w:t xml:space="preserve"> </w:t>
      </w:r>
      <w:r w:rsidR="00ED527C">
        <w:t>At the end of the day it is the authority that is specifically</w:t>
      </w:r>
      <w:r w:rsidR="00694D68">
        <w:t xml:space="preserve"> </w:t>
      </w:r>
      <w:r w:rsidR="00ED527C">
        <w:t>given the power to sue or be sued.</w:t>
      </w:r>
      <w:r w:rsidR="00694D68">
        <w:t xml:space="preserve"> </w:t>
      </w:r>
      <w:r w:rsidR="00ED527C">
        <w:t>In the circumstances, I find that the Commissioner General of the Authority has been</w:t>
      </w:r>
      <w:r w:rsidR="00694D68">
        <w:t xml:space="preserve"> </w:t>
      </w:r>
      <w:r w:rsidR="00ED527C">
        <w:t>wron</w:t>
      </w:r>
      <w:r w:rsidR="004A3808">
        <w:t xml:space="preserve">gly cited as the respondent. Since </w:t>
      </w:r>
      <w:r w:rsidR="00ED527C">
        <w:t>it is the authority</w:t>
      </w:r>
      <w:r w:rsidR="004A3808">
        <w:t xml:space="preserve"> itself that should have been cited. A</w:t>
      </w:r>
      <w:r w:rsidR="00ED527C">
        <w:t>ccordingly</w:t>
      </w:r>
      <w:r w:rsidR="004A3808">
        <w:t>, I</w:t>
      </w:r>
      <w:r w:rsidR="00ED527C">
        <w:t xml:space="preserve"> uphold the point raised </w:t>
      </w:r>
      <w:r w:rsidR="00ED527C" w:rsidRPr="00EA682E">
        <w:rPr>
          <w:i/>
        </w:rPr>
        <w:t xml:space="preserve">in </w:t>
      </w:r>
      <w:r w:rsidR="00ED527C" w:rsidRPr="00694D68">
        <w:rPr>
          <w:i/>
        </w:rPr>
        <w:t>limine</w:t>
      </w:r>
      <w:r w:rsidR="00ED527C">
        <w:t xml:space="preserve"> by the respondent</w:t>
      </w:r>
      <w:r w:rsidR="00D27EC6">
        <w:t>s</w:t>
      </w:r>
      <w:r w:rsidR="00ED527C">
        <w:t xml:space="preserve"> and on that</w:t>
      </w:r>
      <w:r w:rsidR="00694D68">
        <w:t xml:space="preserve"> </w:t>
      </w:r>
      <w:r w:rsidR="00ED527C">
        <w:t>basis alone</w:t>
      </w:r>
      <w:r w:rsidR="004A3808">
        <w:t xml:space="preserve"> would dismiss the application</w:t>
      </w:r>
      <w:r w:rsidR="00ED527C">
        <w:t>.</w:t>
      </w:r>
    </w:p>
    <w:p w14:paraId="2E9E05EC" w14:textId="5EE52904" w:rsidR="006D6657" w:rsidRDefault="00ED527C" w:rsidP="006D6657">
      <w:pPr>
        <w:spacing w:line="360" w:lineRule="auto"/>
        <w:ind w:firstLine="720"/>
        <w:jc w:val="both"/>
      </w:pPr>
      <w:r>
        <w:t xml:space="preserve">On this point the </w:t>
      </w:r>
      <w:r w:rsidR="006D6657">
        <w:t>a</w:t>
      </w:r>
      <w:r>
        <w:t xml:space="preserve">pplicants argued that </w:t>
      </w:r>
      <w:r w:rsidR="00EA682E">
        <w:t>r</w:t>
      </w:r>
      <w:r>
        <w:t xml:space="preserve"> 32</w:t>
      </w:r>
      <w:r w:rsidR="006D6657">
        <w:t>,</w:t>
      </w:r>
      <w:r>
        <w:t xml:space="preserve"> subrule 11 of the High Court Rules,</w:t>
      </w:r>
      <w:r w:rsidR="002F7FB4">
        <w:t xml:space="preserve"> </w:t>
      </w:r>
      <w:r w:rsidR="006D6657">
        <w:t xml:space="preserve">2021 provides as follows: </w:t>
      </w:r>
    </w:p>
    <w:p w14:paraId="622DA14A" w14:textId="77777777" w:rsidR="006D6657" w:rsidRPr="006D6657" w:rsidRDefault="006D6657" w:rsidP="006D6657">
      <w:pPr>
        <w:spacing w:line="360" w:lineRule="auto"/>
        <w:ind w:firstLine="720"/>
        <w:jc w:val="both"/>
        <w:rPr>
          <w:sz w:val="10"/>
          <w:szCs w:val="10"/>
        </w:rPr>
      </w:pPr>
    </w:p>
    <w:p w14:paraId="18158543" w14:textId="180F771D" w:rsidR="006D6657" w:rsidRPr="006D6657" w:rsidRDefault="009A7785" w:rsidP="006D6657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ED527C" w:rsidRPr="006D6657">
        <w:rPr>
          <w:sz w:val="22"/>
          <w:szCs w:val="22"/>
        </w:rPr>
        <w:t>No cause or matter shall be defeated by reason of the</w:t>
      </w:r>
      <w:r w:rsidR="002F7FB4" w:rsidRPr="006D6657">
        <w:rPr>
          <w:sz w:val="22"/>
          <w:szCs w:val="22"/>
        </w:rPr>
        <w:t xml:space="preserve"> </w:t>
      </w:r>
      <w:r w:rsidR="00CC12F7">
        <w:rPr>
          <w:sz w:val="22"/>
          <w:szCs w:val="22"/>
        </w:rPr>
        <w:t>mis-joinder or non-</w:t>
      </w:r>
      <w:r w:rsidR="00ED527C" w:rsidRPr="006D6657">
        <w:rPr>
          <w:sz w:val="22"/>
          <w:szCs w:val="22"/>
        </w:rPr>
        <w:t>joinder of any party and the court may in any cause or matter determine</w:t>
      </w:r>
      <w:r w:rsidR="002F7FB4" w:rsidRPr="006D6657">
        <w:rPr>
          <w:sz w:val="22"/>
          <w:szCs w:val="22"/>
        </w:rPr>
        <w:t xml:space="preserve"> </w:t>
      </w:r>
      <w:r w:rsidR="00ED527C" w:rsidRPr="006D6657">
        <w:rPr>
          <w:sz w:val="22"/>
          <w:szCs w:val="22"/>
        </w:rPr>
        <w:t>the issues or questions in dispute so far as they affect the rights and interests of the persons</w:t>
      </w:r>
      <w:r w:rsidR="002F7FB4" w:rsidRPr="006D6657">
        <w:rPr>
          <w:sz w:val="22"/>
          <w:szCs w:val="22"/>
        </w:rPr>
        <w:t xml:space="preserve"> </w:t>
      </w:r>
      <w:r w:rsidR="00ED527C" w:rsidRPr="006D6657">
        <w:rPr>
          <w:sz w:val="22"/>
          <w:szCs w:val="22"/>
        </w:rPr>
        <w:t>who are</w:t>
      </w:r>
      <w:r>
        <w:rPr>
          <w:sz w:val="22"/>
          <w:szCs w:val="22"/>
        </w:rPr>
        <w:t xml:space="preserve"> parties to the cause or matter”.</w:t>
      </w:r>
      <w:r w:rsidR="00ED527C" w:rsidRPr="006D6657">
        <w:rPr>
          <w:sz w:val="22"/>
          <w:szCs w:val="22"/>
        </w:rPr>
        <w:t xml:space="preserve"> </w:t>
      </w:r>
    </w:p>
    <w:p w14:paraId="1E6AD5EE" w14:textId="77777777" w:rsidR="006D6657" w:rsidRDefault="006D6657" w:rsidP="006D6657">
      <w:pPr>
        <w:spacing w:line="360" w:lineRule="auto"/>
        <w:jc w:val="both"/>
      </w:pPr>
    </w:p>
    <w:p w14:paraId="7F73BCD7" w14:textId="5F42887E" w:rsidR="00ED527C" w:rsidRDefault="009A7785" w:rsidP="00ED527C">
      <w:pPr>
        <w:spacing w:line="360" w:lineRule="auto"/>
        <w:jc w:val="both"/>
      </w:pPr>
      <w:r>
        <w:tab/>
      </w:r>
      <w:r w:rsidR="00ED527C">
        <w:t>Consequently</w:t>
      </w:r>
      <w:r w:rsidR="00CC12F7">
        <w:t>, the present application can</w:t>
      </w:r>
      <w:r w:rsidR="00ED527C">
        <w:t>not fail</w:t>
      </w:r>
      <w:r w:rsidR="00CC12F7">
        <w:t xml:space="preserve"> on account of mis-joinder</w:t>
      </w:r>
      <w:r w:rsidR="00D27EC6">
        <w:t>. In support of this argument,</w:t>
      </w:r>
      <w:r w:rsidR="00ED527C">
        <w:t xml:space="preserve"> the applicants relied on various High Court judgments in</w:t>
      </w:r>
      <w:r w:rsidR="002F7FB4">
        <w:t xml:space="preserve"> </w:t>
      </w:r>
      <w:r w:rsidR="002F7FB4" w:rsidRPr="002F7FB4">
        <w:rPr>
          <w:i/>
        </w:rPr>
        <w:t xml:space="preserve">Masamba </w:t>
      </w:r>
      <w:r w:rsidR="002F7FB4" w:rsidRPr="009A7785">
        <w:t>v</w:t>
      </w:r>
      <w:r w:rsidR="002F7FB4" w:rsidRPr="002F7FB4">
        <w:rPr>
          <w:i/>
        </w:rPr>
        <w:t xml:space="preserve"> Masamba </w:t>
      </w:r>
      <w:r>
        <w:rPr>
          <w:i/>
        </w:rPr>
        <w:t>&amp;</w:t>
      </w:r>
      <w:r w:rsidR="002F7FB4" w:rsidRPr="002F7FB4">
        <w:rPr>
          <w:i/>
        </w:rPr>
        <w:t xml:space="preserve"> Ano</w:t>
      </w:r>
      <w:r w:rsidR="00ED527C" w:rsidRPr="002F7FB4">
        <w:rPr>
          <w:i/>
        </w:rPr>
        <w:t>r</w:t>
      </w:r>
      <w:r w:rsidR="00ED527C">
        <w:t xml:space="preserve"> HH 969/15. In the main, the applicants argued that the</w:t>
      </w:r>
      <w:r w:rsidR="002F7FB4">
        <w:t xml:space="preserve"> </w:t>
      </w:r>
      <w:r w:rsidR="00A23AC2">
        <w:t xml:space="preserve">citation of the second </w:t>
      </w:r>
      <w:r w:rsidR="00ED527C">
        <w:t>respondent is the only way to</w:t>
      </w:r>
      <w:r w:rsidR="006A6956">
        <w:t xml:space="preserve"> satisfy the order under HH 347-</w:t>
      </w:r>
      <w:r w:rsidR="00ED527C">
        <w:t>21.</w:t>
      </w:r>
    </w:p>
    <w:p w14:paraId="4EF0E63C" w14:textId="6DB8481C" w:rsidR="00ED527C" w:rsidRDefault="00ED527C" w:rsidP="00CC4C8D">
      <w:pPr>
        <w:spacing w:line="360" w:lineRule="auto"/>
        <w:ind w:firstLine="720"/>
        <w:jc w:val="both"/>
      </w:pPr>
      <w:r>
        <w:t>After hearing both counsels, I upheld the preliminary point and dismissed the</w:t>
      </w:r>
      <w:r w:rsidR="00040170">
        <w:t xml:space="preserve"> </w:t>
      </w:r>
      <w:r w:rsidR="00CC4C8D">
        <w:t xml:space="preserve">application with costs on the </w:t>
      </w:r>
      <w:r>
        <w:t>ordinar</w:t>
      </w:r>
      <w:r w:rsidR="00CC4C8D">
        <w:t xml:space="preserve">y scale. </w:t>
      </w:r>
      <w:r w:rsidR="009A7785">
        <w:t xml:space="preserve"> </w:t>
      </w:r>
      <w:r w:rsidR="00CC4C8D">
        <w:t xml:space="preserve">Let me explain my reasons for this approach. </w:t>
      </w:r>
      <w:r w:rsidR="00D533E8">
        <w:t>This</w:t>
      </w:r>
      <w:r>
        <w:t xml:space="preserve"> court is dealing with</w:t>
      </w:r>
      <w:r w:rsidR="00040170">
        <w:t xml:space="preserve"> </w:t>
      </w:r>
      <w:r>
        <w:t>contempt of court which can have serious repercussions on the affected respondents in the</w:t>
      </w:r>
      <w:r w:rsidR="00040170">
        <w:t xml:space="preserve"> </w:t>
      </w:r>
      <w:r>
        <w:t>event of the application su</w:t>
      </w:r>
      <w:r w:rsidR="00D533E8">
        <w:t>cceeding. Therefore, I must</w:t>
      </w:r>
      <w:r>
        <w:t xml:space="preserve"> tread carefully with issues</w:t>
      </w:r>
      <w:r w:rsidR="00040170">
        <w:t xml:space="preserve"> </w:t>
      </w:r>
      <w:r>
        <w:t>that deal with the freedom of a person. The persons to be affected should be properly cited</w:t>
      </w:r>
      <w:r w:rsidR="00040170">
        <w:t xml:space="preserve"> </w:t>
      </w:r>
      <w:r>
        <w:t xml:space="preserve">and joined. </w:t>
      </w:r>
      <w:r w:rsidR="00AE2776">
        <w:t>Therefore, the mis-joinder of the second</w:t>
      </w:r>
      <w:r>
        <w:t xml:space="preserve"> respondent</w:t>
      </w:r>
      <w:r w:rsidR="00AE2776">
        <w:t xml:space="preserve"> as a party to these</w:t>
      </w:r>
      <w:r>
        <w:t xml:space="preserve"> proceedings is fatal</w:t>
      </w:r>
      <w:r w:rsidR="00AE2776">
        <w:t xml:space="preserve">. </w:t>
      </w:r>
      <w:r w:rsidR="00C502D2">
        <w:t xml:space="preserve"> </w:t>
      </w:r>
      <w:r w:rsidR="00AE2776">
        <w:t xml:space="preserve">As a result, </w:t>
      </w:r>
      <w:r>
        <w:t xml:space="preserve">the objection </w:t>
      </w:r>
      <w:r w:rsidRPr="00104063">
        <w:rPr>
          <w:i/>
        </w:rPr>
        <w:t xml:space="preserve">in </w:t>
      </w:r>
      <w:r w:rsidRPr="00AE2776">
        <w:rPr>
          <w:i/>
        </w:rPr>
        <w:t>limine</w:t>
      </w:r>
      <w:r w:rsidR="00AE2776">
        <w:t xml:space="preserve"> </w:t>
      </w:r>
      <w:r>
        <w:t>is upheld. On the question of</w:t>
      </w:r>
      <w:r w:rsidR="00040170">
        <w:t xml:space="preserve"> </w:t>
      </w:r>
      <w:r w:rsidR="00B02391">
        <w:t>costs, the general rule is that</w:t>
      </w:r>
      <w:r>
        <w:t xml:space="preserve"> costs follow the cause</w:t>
      </w:r>
      <w:r w:rsidR="00B02391">
        <w:t>, and I have no reason</w:t>
      </w:r>
      <w:r>
        <w:t xml:space="preserve"> to depart from</w:t>
      </w:r>
      <w:r w:rsidR="00A4694A">
        <w:t xml:space="preserve"> </w:t>
      </w:r>
      <w:r>
        <w:t xml:space="preserve">that </w:t>
      </w:r>
      <w:r w:rsidR="00B02391">
        <w:t>approach.</w:t>
      </w:r>
    </w:p>
    <w:p w14:paraId="0ABD76CC" w14:textId="77777777" w:rsidR="00ED527C" w:rsidRDefault="00ED527C" w:rsidP="00ED527C">
      <w:pPr>
        <w:spacing w:line="360" w:lineRule="auto"/>
        <w:jc w:val="both"/>
      </w:pPr>
    </w:p>
    <w:p w14:paraId="21833246" w14:textId="51B35A00" w:rsidR="00ED527C" w:rsidRDefault="00C502D2" w:rsidP="00ED527C">
      <w:pPr>
        <w:spacing w:line="360" w:lineRule="auto"/>
        <w:jc w:val="both"/>
      </w:pPr>
      <w:r>
        <w:lastRenderedPageBreak/>
        <w:tab/>
      </w:r>
      <w:r w:rsidR="00ED527C" w:rsidRPr="00C502D2">
        <w:rPr>
          <w:b/>
        </w:rPr>
        <w:t>In the result</w:t>
      </w:r>
      <w:r w:rsidR="00BE3840" w:rsidRPr="00C502D2">
        <w:rPr>
          <w:b/>
        </w:rPr>
        <w:t>,</w:t>
      </w:r>
      <w:r w:rsidR="00ED527C" w:rsidRPr="00C502D2">
        <w:rPr>
          <w:b/>
        </w:rPr>
        <w:t xml:space="preserve"> I make the following order</w:t>
      </w:r>
      <w:r w:rsidR="00ED527C">
        <w:t>:</w:t>
      </w:r>
    </w:p>
    <w:p w14:paraId="412C69D1" w14:textId="68909E45" w:rsidR="00ED527C" w:rsidRDefault="00C502D2" w:rsidP="00ED527C">
      <w:pPr>
        <w:spacing w:line="360" w:lineRule="auto"/>
        <w:jc w:val="both"/>
      </w:pPr>
      <w:r>
        <w:tab/>
      </w:r>
      <w:r w:rsidR="00F121C2">
        <w:t>1. The p</w:t>
      </w:r>
      <w:r w:rsidR="00ED527C">
        <w:t xml:space="preserve">oint </w:t>
      </w:r>
      <w:r w:rsidR="00ED527C" w:rsidRPr="00D33839">
        <w:rPr>
          <w:i/>
        </w:rPr>
        <w:t>in</w:t>
      </w:r>
      <w:r w:rsidR="00ED527C" w:rsidRPr="00F121C2">
        <w:rPr>
          <w:i/>
        </w:rPr>
        <w:t xml:space="preserve"> limine</w:t>
      </w:r>
      <w:r w:rsidR="00F121C2">
        <w:t xml:space="preserve"> on</w:t>
      </w:r>
      <w:r w:rsidR="00ED527C">
        <w:t xml:space="preserve"> mis-joinder be and is hereby upheld.</w:t>
      </w:r>
    </w:p>
    <w:p w14:paraId="5FE44E37" w14:textId="0F14A8F7" w:rsidR="00ED527C" w:rsidRDefault="00C502D2" w:rsidP="00ED527C">
      <w:pPr>
        <w:spacing w:line="360" w:lineRule="auto"/>
        <w:jc w:val="both"/>
      </w:pPr>
      <w:r>
        <w:tab/>
      </w:r>
      <w:r w:rsidR="00F121C2">
        <w:t>2. The a</w:t>
      </w:r>
      <w:r w:rsidR="00ED527C">
        <w:t>pplicant for contempt of court be and is hereby dismissed.</w:t>
      </w:r>
    </w:p>
    <w:p w14:paraId="3673EF9D" w14:textId="26A2D4CA" w:rsidR="005768D5" w:rsidRDefault="00C502D2" w:rsidP="00ED527C">
      <w:pPr>
        <w:spacing w:line="360" w:lineRule="auto"/>
        <w:jc w:val="both"/>
      </w:pPr>
      <w:r>
        <w:tab/>
      </w:r>
      <w:r w:rsidR="00F121C2">
        <w:t>3. The a</w:t>
      </w:r>
      <w:r w:rsidR="00ED527C">
        <w:t>pplican</w:t>
      </w:r>
      <w:r w:rsidR="00F121C2">
        <w:t>t to pay costs on the</w:t>
      </w:r>
      <w:r w:rsidR="00ED527C">
        <w:t xml:space="preserve"> ordinary scale.</w:t>
      </w:r>
    </w:p>
    <w:p w14:paraId="0CE1716A" w14:textId="2E28C95B" w:rsidR="00B21D12" w:rsidRDefault="00B21D12" w:rsidP="00ED527C">
      <w:pPr>
        <w:spacing w:line="360" w:lineRule="auto"/>
        <w:jc w:val="both"/>
      </w:pPr>
    </w:p>
    <w:p w14:paraId="6DC1717C" w14:textId="3049C555" w:rsidR="00B21D12" w:rsidRDefault="00B21D12" w:rsidP="00ED527C">
      <w:pPr>
        <w:spacing w:line="360" w:lineRule="auto"/>
        <w:jc w:val="both"/>
      </w:pPr>
    </w:p>
    <w:p w14:paraId="2FD9F030" w14:textId="77777777" w:rsidR="00D33839" w:rsidRDefault="00D33839" w:rsidP="00ED527C">
      <w:pPr>
        <w:spacing w:line="360" w:lineRule="auto"/>
        <w:jc w:val="both"/>
      </w:pPr>
    </w:p>
    <w:p w14:paraId="19241F7A" w14:textId="00A5BB49" w:rsidR="00B21D12" w:rsidRDefault="00B21D12" w:rsidP="00D33839">
      <w:pPr>
        <w:jc w:val="both"/>
      </w:pPr>
      <w:r w:rsidRPr="00177942">
        <w:rPr>
          <w:i/>
        </w:rPr>
        <w:t>Takaindisa Law Chambers</w:t>
      </w:r>
      <w:r>
        <w:t>, the applicants’ legal practitioners</w:t>
      </w:r>
    </w:p>
    <w:p w14:paraId="710EA1C1" w14:textId="08C420E7" w:rsidR="00B21D12" w:rsidRPr="005A4D7A" w:rsidRDefault="00177942" w:rsidP="00D33839">
      <w:pPr>
        <w:jc w:val="both"/>
      </w:pPr>
      <w:r w:rsidRPr="00177942">
        <w:rPr>
          <w:i/>
        </w:rPr>
        <w:t>Kantor &amp; Immerman</w:t>
      </w:r>
      <w:r>
        <w:t>, the respondents’ legal practitioners</w:t>
      </w:r>
    </w:p>
    <w:sectPr w:rsidR="00B21D12" w:rsidRPr="005A4D7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715C3" w14:textId="77777777" w:rsidR="00345E0C" w:rsidRDefault="00345E0C" w:rsidP="005A4D7A">
      <w:r>
        <w:separator/>
      </w:r>
    </w:p>
  </w:endnote>
  <w:endnote w:type="continuationSeparator" w:id="0">
    <w:p w14:paraId="0473A972" w14:textId="77777777" w:rsidR="00345E0C" w:rsidRDefault="00345E0C" w:rsidP="005A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D39F4" w14:textId="77777777" w:rsidR="00345E0C" w:rsidRDefault="00345E0C" w:rsidP="005A4D7A">
      <w:r>
        <w:separator/>
      </w:r>
    </w:p>
  </w:footnote>
  <w:footnote w:type="continuationSeparator" w:id="0">
    <w:p w14:paraId="13ED960A" w14:textId="77777777" w:rsidR="00345E0C" w:rsidRDefault="00345E0C" w:rsidP="005A4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029875"/>
      <w:docPartObj>
        <w:docPartGallery w:val="Page Numbers (Top of Page)"/>
        <w:docPartUnique/>
      </w:docPartObj>
    </w:sdtPr>
    <w:sdtEndPr>
      <w:rPr>
        <w:noProof/>
        <w:sz w:val="22"/>
        <w:szCs w:val="22"/>
      </w:rPr>
    </w:sdtEndPr>
    <w:sdtContent>
      <w:p w14:paraId="6E47397F" w14:textId="1C2B99CD" w:rsidR="00484F30" w:rsidRPr="00EA682E" w:rsidRDefault="00484F30" w:rsidP="00E01C11">
        <w:pPr>
          <w:pStyle w:val="Header"/>
          <w:jc w:val="right"/>
          <w:rPr>
            <w:noProof/>
            <w:sz w:val="22"/>
            <w:szCs w:val="22"/>
          </w:rPr>
        </w:pPr>
        <w:r w:rsidRPr="00EA682E">
          <w:rPr>
            <w:sz w:val="22"/>
            <w:szCs w:val="22"/>
          </w:rPr>
          <w:fldChar w:fldCharType="begin"/>
        </w:r>
        <w:r w:rsidRPr="00EA682E">
          <w:rPr>
            <w:sz w:val="22"/>
            <w:szCs w:val="22"/>
          </w:rPr>
          <w:instrText xml:space="preserve"> PAGE   \* MERGEFORMAT </w:instrText>
        </w:r>
        <w:r w:rsidRPr="00EA682E">
          <w:rPr>
            <w:sz w:val="22"/>
            <w:szCs w:val="22"/>
          </w:rPr>
          <w:fldChar w:fldCharType="separate"/>
        </w:r>
        <w:r w:rsidR="003426F6">
          <w:rPr>
            <w:noProof/>
            <w:sz w:val="22"/>
            <w:szCs w:val="22"/>
          </w:rPr>
          <w:t>1</w:t>
        </w:r>
        <w:r w:rsidRPr="00EA682E">
          <w:rPr>
            <w:noProof/>
            <w:sz w:val="22"/>
            <w:szCs w:val="22"/>
          </w:rPr>
          <w:fldChar w:fldCharType="end"/>
        </w:r>
      </w:p>
      <w:p w14:paraId="3D75B193" w14:textId="7C66CEC7" w:rsidR="00484F30" w:rsidRPr="00EA682E" w:rsidRDefault="00484F30" w:rsidP="00D27A4B">
        <w:pPr>
          <w:pStyle w:val="Header"/>
          <w:jc w:val="right"/>
          <w:rPr>
            <w:noProof/>
            <w:sz w:val="22"/>
            <w:szCs w:val="22"/>
          </w:rPr>
        </w:pPr>
        <w:r w:rsidRPr="00EA682E">
          <w:rPr>
            <w:noProof/>
            <w:sz w:val="22"/>
            <w:szCs w:val="22"/>
          </w:rPr>
          <w:t xml:space="preserve">HH </w:t>
        </w:r>
        <w:r w:rsidR="00F30800">
          <w:rPr>
            <w:noProof/>
            <w:sz w:val="22"/>
            <w:szCs w:val="22"/>
          </w:rPr>
          <w:t>557-23</w:t>
        </w:r>
      </w:p>
      <w:p w14:paraId="672A38BB" w14:textId="4D6346F0" w:rsidR="00484F30" w:rsidRPr="00EA682E" w:rsidRDefault="00484F30" w:rsidP="00702B36">
        <w:pPr>
          <w:pStyle w:val="Header"/>
          <w:jc w:val="right"/>
          <w:rPr>
            <w:noProof/>
            <w:sz w:val="22"/>
            <w:szCs w:val="22"/>
          </w:rPr>
        </w:pPr>
        <w:r w:rsidRPr="00EA682E">
          <w:rPr>
            <w:noProof/>
            <w:sz w:val="22"/>
            <w:szCs w:val="22"/>
          </w:rPr>
          <w:t xml:space="preserve">HC </w:t>
        </w:r>
        <w:r w:rsidR="0043046A" w:rsidRPr="00EA682E">
          <w:rPr>
            <w:noProof/>
            <w:sz w:val="22"/>
            <w:szCs w:val="22"/>
          </w:rPr>
          <w:t>5820/22</w:t>
        </w:r>
      </w:p>
    </w:sdtContent>
  </w:sdt>
  <w:p w14:paraId="59CF4017" w14:textId="77777777" w:rsidR="00484F30" w:rsidRDefault="00484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DFA"/>
    <w:multiLevelType w:val="hybridMultilevel"/>
    <w:tmpl w:val="1A160BE4"/>
    <w:lvl w:ilvl="0" w:tplc="AAECC5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51B24"/>
    <w:multiLevelType w:val="hybridMultilevel"/>
    <w:tmpl w:val="C45A3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36F16"/>
    <w:multiLevelType w:val="multilevel"/>
    <w:tmpl w:val="BA70D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F0161C"/>
    <w:multiLevelType w:val="hybridMultilevel"/>
    <w:tmpl w:val="2C366ACC"/>
    <w:lvl w:ilvl="0" w:tplc="3009000F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73" w:hanging="360"/>
      </w:pPr>
    </w:lvl>
    <w:lvl w:ilvl="2" w:tplc="3009001B" w:tentative="1">
      <w:start w:val="1"/>
      <w:numFmt w:val="lowerRoman"/>
      <w:lvlText w:val="%3."/>
      <w:lvlJc w:val="right"/>
      <w:pPr>
        <w:ind w:left="2193" w:hanging="180"/>
      </w:pPr>
    </w:lvl>
    <w:lvl w:ilvl="3" w:tplc="3009000F" w:tentative="1">
      <w:start w:val="1"/>
      <w:numFmt w:val="decimal"/>
      <w:lvlText w:val="%4."/>
      <w:lvlJc w:val="left"/>
      <w:pPr>
        <w:ind w:left="2913" w:hanging="360"/>
      </w:pPr>
    </w:lvl>
    <w:lvl w:ilvl="4" w:tplc="30090019" w:tentative="1">
      <w:start w:val="1"/>
      <w:numFmt w:val="lowerLetter"/>
      <w:lvlText w:val="%5."/>
      <w:lvlJc w:val="left"/>
      <w:pPr>
        <w:ind w:left="3633" w:hanging="360"/>
      </w:pPr>
    </w:lvl>
    <w:lvl w:ilvl="5" w:tplc="3009001B" w:tentative="1">
      <w:start w:val="1"/>
      <w:numFmt w:val="lowerRoman"/>
      <w:lvlText w:val="%6."/>
      <w:lvlJc w:val="right"/>
      <w:pPr>
        <w:ind w:left="4353" w:hanging="180"/>
      </w:pPr>
    </w:lvl>
    <w:lvl w:ilvl="6" w:tplc="3009000F" w:tentative="1">
      <w:start w:val="1"/>
      <w:numFmt w:val="decimal"/>
      <w:lvlText w:val="%7."/>
      <w:lvlJc w:val="left"/>
      <w:pPr>
        <w:ind w:left="5073" w:hanging="360"/>
      </w:pPr>
    </w:lvl>
    <w:lvl w:ilvl="7" w:tplc="30090019" w:tentative="1">
      <w:start w:val="1"/>
      <w:numFmt w:val="lowerLetter"/>
      <w:lvlText w:val="%8."/>
      <w:lvlJc w:val="left"/>
      <w:pPr>
        <w:ind w:left="5793" w:hanging="360"/>
      </w:pPr>
    </w:lvl>
    <w:lvl w:ilvl="8" w:tplc="30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 w15:restartNumberingAfterBreak="0">
    <w:nsid w:val="0DFD53F4"/>
    <w:multiLevelType w:val="multilevel"/>
    <w:tmpl w:val="1D0CA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2605AB"/>
    <w:multiLevelType w:val="hybridMultilevel"/>
    <w:tmpl w:val="82D6CC94"/>
    <w:lvl w:ilvl="0" w:tplc="C24453D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6402EF"/>
    <w:multiLevelType w:val="hybridMultilevel"/>
    <w:tmpl w:val="9848A35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66D01"/>
    <w:multiLevelType w:val="hybridMultilevel"/>
    <w:tmpl w:val="A9D0178A"/>
    <w:lvl w:ilvl="0" w:tplc="1194D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5F0DA7"/>
    <w:multiLevelType w:val="hybridMultilevel"/>
    <w:tmpl w:val="027CBE7C"/>
    <w:lvl w:ilvl="0" w:tplc="C7B02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7C17CC"/>
    <w:multiLevelType w:val="multilevel"/>
    <w:tmpl w:val="50846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451A41"/>
    <w:multiLevelType w:val="hybridMultilevel"/>
    <w:tmpl w:val="007A8450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E6911"/>
    <w:multiLevelType w:val="hybridMultilevel"/>
    <w:tmpl w:val="223E0B8C"/>
    <w:lvl w:ilvl="0" w:tplc="638A22BE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3A7594"/>
    <w:multiLevelType w:val="hybridMultilevel"/>
    <w:tmpl w:val="24F40968"/>
    <w:lvl w:ilvl="0" w:tplc="ACE8E2C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975A47"/>
    <w:multiLevelType w:val="hybridMultilevel"/>
    <w:tmpl w:val="A1B64E56"/>
    <w:lvl w:ilvl="0" w:tplc="CE74F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3D7BD6"/>
    <w:multiLevelType w:val="multilevel"/>
    <w:tmpl w:val="0630B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F53390"/>
    <w:multiLevelType w:val="hybridMultilevel"/>
    <w:tmpl w:val="EEA282FA"/>
    <w:lvl w:ilvl="0" w:tplc="3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F94F51"/>
    <w:multiLevelType w:val="hybridMultilevel"/>
    <w:tmpl w:val="3E0E0702"/>
    <w:lvl w:ilvl="0" w:tplc="C58621CE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3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6D10756"/>
    <w:multiLevelType w:val="hybridMultilevel"/>
    <w:tmpl w:val="39863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721C4"/>
    <w:multiLevelType w:val="hybridMultilevel"/>
    <w:tmpl w:val="297E54AE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6236B"/>
    <w:multiLevelType w:val="hybridMultilevel"/>
    <w:tmpl w:val="D2603F36"/>
    <w:lvl w:ilvl="0" w:tplc="AC7461B4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880" w:hanging="360"/>
      </w:pPr>
    </w:lvl>
    <w:lvl w:ilvl="2" w:tplc="3009001B" w:tentative="1">
      <w:start w:val="1"/>
      <w:numFmt w:val="lowerRoman"/>
      <w:lvlText w:val="%3."/>
      <w:lvlJc w:val="right"/>
      <w:pPr>
        <w:ind w:left="3600" w:hanging="180"/>
      </w:pPr>
    </w:lvl>
    <w:lvl w:ilvl="3" w:tplc="3009000F" w:tentative="1">
      <w:start w:val="1"/>
      <w:numFmt w:val="decimal"/>
      <w:lvlText w:val="%4."/>
      <w:lvlJc w:val="left"/>
      <w:pPr>
        <w:ind w:left="4320" w:hanging="360"/>
      </w:pPr>
    </w:lvl>
    <w:lvl w:ilvl="4" w:tplc="30090019" w:tentative="1">
      <w:start w:val="1"/>
      <w:numFmt w:val="lowerLetter"/>
      <w:lvlText w:val="%5."/>
      <w:lvlJc w:val="left"/>
      <w:pPr>
        <w:ind w:left="5040" w:hanging="360"/>
      </w:pPr>
    </w:lvl>
    <w:lvl w:ilvl="5" w:tplc="3009001B" w:tentative="1">
      <w:start w:val="1"/>
      <w:numFmt w:val="lowerRoman"/>
      <w:lvlText w:val="%6."/>
      <w:lvlJc w:val="right"/>
      <w:pPr>
        <w:ind w:left="5760" w:hanging="180"/>
      </w:pPr>
    </w:lvl>
    <w:lvl w:ilvl="6" w:tplc="3009000F" w:tentative="1">
      <w:start w:val="1"/>
      <w:numFmt w:val="decimal"/>
      <w:lvlText w:val="%7."/>
      <w:lvlJc w:val="left"/>
      <w:pPr>
        <w:ind w:left="6480" w:hanging="360"/>
      </w:pPr>
    </w:lvl>
    <w:lvl w:ilvl="7" w:tplc="30090019" w:tentative="1">
      <w:start w:val="1"/>
      <w:numFmt w:val="lowerLetter"/>
      <w:lvlText w:val="%8."/>
      <w:lvlJc w:val="left"/>
      <w:pPr>
        <w:ind w:left="7200" w:hanging="360"/>
      </w:pPr>
    </w:lvl>
    <w:lvl w:ilvl="8" w:tplc="3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4366E14"/>
    <w:multiLevelType w:val="hybridMultilevel"/>
    <w:tmpl w:val="7390EA22"/>
    <w:lvl w:ilvl="0" w:tplc="C85AB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5D5E9F"/>
    <w:multiLevelType w:val="multilevel"/>
    <w:tmpl w:val="756E9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304263"/>
    <w:multiLevelType w:val="hybridMultilevel"/>
    <w:tmpl w:val="6964899E"/>
    <w:lvl w:ilvl="0" w:tplc="150CE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273DB0"/>
    <w:multiLevelType w:val="hybridMultilevel"/>
    <w:tmpl w:val="89D8CE70"/>
    <w:lvl w:ilvl="0" w:tplc="CD7EF3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9E4F49"/>
    <w:multiLevelType w:val="hybridMultilevel"/>
    <w:tmpl w:val="75B8A838"/>
    <w:lvl w:ilvl="0" w:tplc="BD9445E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17"/>
  </w:num>
  <w:num w:numId="3">
    <w:abstractNumId w:val="24"/>
  </w:num>
  <w:num w:numId="4">
    <w:abstractNumId w:val="19"/>
  </w:num>
  <w:num w:numId="5">
    <w:abstractNumId w:val="11"/>
  </w:num>
  <w:num w:numId="6">
    <w:abstractNumId w:val="16"/>
  </w:num>
  <w:num w:numId="7">
    <w:abstractNumId w:val="15"/>
  </w:num>
  <w:num w:numId="8">
    <w:abstractNumId w:val="12"/>
  </w:num>
  <w:num w:numId="9">
    <w:abstractNumId w:val="0"/>
  </w:num>
  <w:num w:numId="10">
    <w:abstractNumId w:val="7"/>
  </w:num>
  <w:num w:numId="11">
    <w:abstractNumId w:val="20"/>
  </w:num>
  <w:num w:numId="12">
    <w:abstractNumId w:val="6"/>
  </w:num>
  <w:num w:numId="13">
    <w:abstractNumId w:val="22"/>
  </w:num>
  <w:num w:numId="14">
    <w:abstractNumId w:val="8"/>
  </w:num>
  <w:num w:numId="15">
    <w:abstractNumId w:val="9"/>
  </w:num>
  <w:num w:numId="16">
    <w:abstractNumId w:val="21"/>
  </w:num>
  <w:num w:numId="17">
    <w:abstractNumId w:val="14"/>
  </w:num>
  <w:num w:numId="18">
    <w:abstractNumId w:val="2"/>
  </w:num>
  <w:num w:numId="19">
    <w:abstractNumId w:val="23"/>
  </w:num>
  <w:num w:numId="20">
    <w:abstractNumId w:val="3"/>
  </w:num>
  <w:num w:numId="21">
    <w:abstractNumId w:val="5"/>
  </w:num>
  <w:num w:numId="22">
    <w:abstractNumId w:val="4"/>
  </w:num>
  <w:num w:numId="23">
    <w:abstractNumId w:val="13"/>
  </w:num>
  <w:num w:numId="24">
    <w:abstractNumId w:val="1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7A"/>
    <w:rsid w:val="0000187D"/>
    <w:rsid w:val="00003953"/>
    <w:rsid w:val="00003AB1"/>
    <w:rsid w:val="0000432D"/>
    <w:rsid w:val="000127DA"/>
    <w:rsid w:val="000130A1"/>
    <w:rsid w:val="00014662"/>
    <w:rsid w:val="00017097"/>
    <w:rsid w:val="00020014"/>
    <w:rsid w:val="0002003E"/>
    <w:rsid w:val="00023118"/>
    <w:rsid w:val="00024B34"/>
    <w:rsid w:val="00025B1C"/>
    <w:rsid w:val="0003363F"/>
    <w:rsid w:val="000338AB"/>
    <w:rsid w:val="00036F12"/>
    <w:rsid w:val="0003708D"/>
    <w:rsid w:val="00040170"/>
    <w:rsid w:val="00040C2D"/>
    <w:rsid w:val="000437A6"/>
    <w:rsid w:val="00050E12"/>
    <w:rsid w:val="00051BCE"/>
    <w:rsid w:val="000571B7"/>
    <w:rsid w:val="00060409"/>
    <w:rsid w:val="000611E9"/>
    <w:rsid w:val="0006233A"/>
    <w:rsid w:val="00065F47"/>
    <w:rsid w:val="00066EA2"/>
    <w:rsid w:val="000672F9"/>
    <w:rsid w:val="000714E1"/>
    <w:rsid w:val="00072750"/>
    <w:rsid w:val="00077127"/>
    <w:rsid w:val="000775D5"/>
    <w:rsid w:val="00080A17"/>
    <w:rsid w:val="00081C16"/>
    <w:rsid w:val="000865EA"/>
    <w:rsid w:val="000913E5"/>
    <w:rsid w:val="00093146"/>
    <w:rsid w:val="000952B7"/>
    <w:rsid w:val="00095B87"/>
    <w:rsid w:val="000965BC"/>
    <w:rsid w:val="00096951"/>
    <w:rsid w:val="00096F5D"/>
    <w:rsid w:val="0009791D"/>
    <w:rsid w:val="000A3B52"/>
    <w:rsid w:val="000A500E"/>
    <w:rsid w:val="000A59D6"/>
    <w:rsid w:val="000A5B71"/>
    <w:rsid w:val="000A6E82"/>
    <w:rsid w:val="000B4501"/>
    <w:rsid w:val="000B67D7"/>
    <w:rsid w:val="000B7869"/>
    <w:rsid w:val="000B7E24"/>
    <w:rsid w:val="000C152D"/>
    <w:rsid w:val="000C245C"/>
    <w:rsid w:val="000C360B"/>
    <w:rsid w:val="000C5807"/>
    <w:rsid w:val="000C5929"/>
    <w:rsid w:val="000D059C"/>
    <w:rsid w:val="000D078B"/>
    <w:rsid w:val="000D0B80"/>
    <w:rsid w:val="000D534A"/>
    <w:rsid w:val="000D71D6"/>
    <w:rsid w:val="000E01A1"/>
    <w:rsid w:val="000E05E6"/>
    <w:rsid w:val="000E0734"/>
    <w:rsid w:val="000E158A"/>
    <w:rsid w:val="000E203B"/>
    <w:rsid w:val="000E2799"/>
    <w:rsid w:val="000E4218"/>
    <w:rsid w:val="000E54A3"/>
    <w:rsid w:val="000E6218"/>
    <w:rsid w:val="000E6DE9"/>
    <w:rsid w:val="000F096A"/>
    <w:rsid w:val="000F17BB"/>
    <w:rsid w:val="000F1D04"/>
    <w:rsid w:val="000F23C8"/>
    <w:rsid w:val="000F26B8"/>
    <w:rsid w:val="000F3663"/>
    <w:rsid w:val="000F514D"/>
    <w:rsid w:val="000F5CE7"/>
    <w:rsid w:val="000F5F75"/>
    <w:rsid w:val="000F6CA7"/>
    <w:rsid w:val="000F7E23"/>
    <w:rsid w:val="00104063"/>
    <w:rsid w:val="0010433B"/>
    <w:rsid w:val="00104513"/>
    <w:rsid w:val="00105262"/>
    <w:rsid w:val="00110A6F"/>
    <w:rsid w:val="00111995"/>
    <w:rsid w:val="001145BE"/>
    <w:rsid w:val="00116A7B"/>
    <w:rsid w:val="00122E73"/>
    <w:rsid w:val="00122F4E"/>
    <w:rsid w:val="001254C5"/>
    <w:rsid w:val="001300D7"/>
    <w:rsid w:val="00132855"/>
    <w:rsid w:val="00135CF3"/>
    <w:rsid w:val="001362B6"/>
    <w:rsid w:val="00136D44"/>
    <w:rsid w:val="00137253"/>
    <w:rsid w:val="0014118B"/>
    <w:rsid w:val="00141FC5"/>
    <w:rsid w:val="00143232"/>
    <w:rsid w:val="00145060"/>
    <w:rsid w:val="00145270"/>
    <w:rsid w:val="00145CC5"/>
    <w:rsid w:val="00146C9E"/>
    <w:rsid w:val="00147D5E"/>
    <w:rsid w:val="001524E4"/>
    <w:rsid w:val="001528F8"/>
    <w:rsid w:val="001532D5"/>
    <w:rsid w:val="00153963"/>
    <w:rsid w:val="001545A3"/>
    <w:rsid w:val="001550E0"/>
    <w:rsid w:val="00155A31"/>
    <w:rsid w:val="001570F3"/>
    <w:rsid w:val="0016302F"/>
    <w:rsid w:val="0016794A"/>
    <w:rsid w:val="00171E1D"/>
    <w:rsid w:val="001725BD"/>
    <w:rsid w:val="00173497"/>
    <w:rsid w:val="001755D2"/>
    <w:rsid w:val="00175D92"/>
    <w:rsid w:val="00177938"/>
    <w:rsid w:val="00177942"/>
    <w:rsid w:val="00180F03"/>
    <w:rsid w:val="0018334C"/>
    <w:rsid w:val="001843DD"/>
    <w:rsid w:val="001864CC"/>
    <w:rsid w:val="00193712"/>
    <w:rsid w:val="00197BA6"/>
    <w:rsid w:val="001A0DED"/>
    <w:rsid w:val="001A4C1C"/>
    <w:rsid w:val="001B2D57"/>
    <w:rsid w:val="001B4A39"/>
    <w:rsid w:val="001B60C5"/>
    <w:rsid w:val="001C1FD5"/>
    <w:rsid w:val="001C2442"/>
    <w:rsid w:val="001C3E30"/>
    <w:rsid w:val="001C483A"/>
    <w:rsid w:val="001C5CAC"/>
    <w:rsid w:val="001C613D"/>
    <w:rsid w:val="001D0246"/>
    <w:rsid w:val="001D0555"/>
    <w:rsid w:val="001D3E81"/>
    <w:rsid w:val="001D4C9E"/>
    <w:rsid w:val="001D69CA"/>
    <w:rsid w:val="001D6F40"/>
    <w:rsid w:val="001E28DA"/>
    <w:rsid w:val="001E2CB7"/>
    <w:rsid w:val="001E3A2E"/>
    <w:rsid w:val="001E3F92"/>
    <w:rsid w:val="001E4D55"/>
    <w:rsid w:val="001E5F50"/>
    <w:rsid w:val="001E67D3"/>
    <w:rsid w:val="001F09AE"/>
    <w:rsid w:val="001F61C7"/>
    <w:rsid w:val="001F66F3"/>
    <w:rsid w:val="001F7312"/>
    <w:rsid w:val="0020378B"/>
    <w:rsid w:val="0020446F"/>
    <w:rsid w:val="00205E2E"/>
    <w:rsid w:val="002065F9"/>
    <w:rsid w:val="00210221"/>
    <w:rsid w:val="002108B8"/>
    <w:rsid w:val="00210AA3"/>
    <w:rsid w:val="00212416"/>
    <w:rsid w:val="00212FC4"/>
    <w:rsid w:val="002135CB"/>
    <w:rsid w:val="00214036"/>
    <w:rsid w:val="00216164"/>
    <w:rsid w:val="0021673D"/>
    <w:rsid w:val="00217A3C"/>
    <w:rsid w:val="00221256"/>
    <w:rsid w:val="00222C3C"/>
    <w:rsid w:val="00227013"/>
    <w:rsid w:val="0022768B"/>
    <w:rsid w:val="00231E54"/>
    <w:rsid w:val="002320CE"/>
    <w:rsid w:val="0023253A"/>
    <w:rsid w:val="002327DD"/>
    <w:rsid w:val="00232A80"/>
    <w:rsid w:val="00232B5E"/>
    <w:rsid w:val="0023347F"/>
    <w:rsid w:val="002343F7"/>
    <w:rsid w:val="00235039"/>
    <w:rsid w:val="00237A8B"/>
    <w:rsid w:val="002411D7"/>
    <w:rsid w:val="00244570"/>
    <w:rsid w:val="0024590D"/>
    <w:rsid w:val="00245C7E"/>
    <w:rsid w:val="0024719C"/>
    <w:rsid w:val="002502A2"/>
    <w:rsid w:val="00254367"/>
    <w:rsid w:val="00255847"/>
    <w:rsid w:val="00256EB3"/>
    <w:rsid w:val="00257BED"/>
    <w:rsid w:val="00260491"/>
    <w:rsid w:val="002610EF"/>
    <w:rsid w:val="00261607"/>
    <w:rsid w:val="00261F3E"/>
    <w:rsid w:val="00262F8E"/>
    <w:rsid w:val="00264B0D"/>
    <w:rsid w:val="00264DA4"/>
    <w:rsid w:val="00264E2F"/>
    <w:rsid w:val="0026745F"/>
    <w:rsid w:val="002676C7"/>
    <w:rsid w:val="002678CB"/>
    <w:rsid w:val="00267D05"/>
    <w:rsid w:val="0027044B"/>
    <w:rsid w:val="0027066C"/>
    <w:rsid w:val="0027222E"/>
    <w:rsid w:val="00272EAD"/>
    <w:rsid w:val="00274C06"/>
    <w:rsid w:val="00276BAF"/>
    <w:rsid w:val="002774CE"/>
    <w:rsid w:val="00282F55"/>
    <w:rsid w:val="0028493F"/>
    <w:rsid w:val="00285CBF"/>
    <w:rsid w:val="00285D94"/>
    <w:rsid w:val="00285FDB"/>
    <w:rsid w:val="002862F4"/>
    <w:rsid w:val="002912A6"/>
    <w:rsid w:val="002915A6"/>
    <w:rsid w:val="002918E2"/>
    <w:rsid w:val="00292283"/>
    <w:rsid w:val="00293088"/>
    <w:rsid w:val="0029518B"/>
    <w:rsid w:val="002A0A83"/>
    <w:rsid w:val="002A35F5"/>
    <w:rsid w:val="002A3613"/>
    <w:rsid w:val="002A3C61"/>
    <w:rsid w:val="002A3CB3"/>
    <w:rsid w:val="002A6D76"/>
    <w:rsid w:val="002A6F91"/>
    <w:rsid w:val="002A77C8"/>
    <w:rsid w:val="002B10C2"/>
    <w:rsid w:val="002C0A98"/>
    <w:rsid w:val="002C7C3B"/>
    <w:rsid w:val="002D0259"/>
    <w:rsid w:val="002D1758"/>
    <w:rsid w:val="002D1881"/>
    <w:rsid w:val="002D256F"/>
    <w:rsid w:val="002D2695"/>
    <w:rsid w:val="002D2CDF"/>
    <w:rsid w:val="002D2D9C"/>
    <w:rsid w:val="002D34A3"/>
    <w:rsid w:val="002D5E72"/>
    <w:rsid w:val="002D7E1F"/>
    <w:rsid w:val="002E0F5D"/>
    <w:rsid w:val="002E1EBC"/>
    <w:rsid w:val="002E5439"/>
    <w:rsid w:val="002F286B"/>
    <w:rsid w:val="002F68DE"/>
    <w:rsid w:val="002F7FB4"/>
    <w:rsid w:val="0030244B"/>
    <w:rsid w:val="00302CD9"/>
    <w:rsid w:val="00302DCC"/>
    <w:rsid w:val="00302E9F"/>
    <w:rsid w:val="00304823"/>
    <w:rsid w:val="00306E52"/>
    <w:rsid w:val="00307B52"/>
    <w:rsid w:val="0031002A"/>
    <w:rsid w:val="0031037A"/>
    <w:rsid w:val="00310778"/>
    <w:rsid w:val="0031216D"/>
    <w:rsid w:val="003126EF"/>
    <w:rsid w:val="003128D2"/>
    <w:rsid w:val="00312EB5"/>
    <w:rsid w:val="00315610"/>
    <w:rsid w:val="00316234"/>
    <w:rsid w:val="00324A53"/>
    <w:rsid w:val="00325707"/>
    <w:rsid w:val="00325BA1"/>
    <w:rsid w:val="003269B4"/>
    <w:rsid w:val="0032732D"/>
    <w:rsid w:val="0033083A"/>
    <w:rsid w:val="00331E16"/>
    <w:rsid w:val="00337377"/>
    <w:rsid w:val="00337DAA"/>
    <w:rsid w:val="003401AC"/>
    <w:rsid w:val="003414FF"/>
    <w:rsid w:val="003425E4"/>
    <w:rsid w:val="003426F6"/>
    <w:rsid w:val="00342E8C"/>
    <w:rsid w:val="00345AEE"/>
    <w:rsid w:val="00345E0C"/>
    <w:rsid w:val="003463B3"/>
    <w:rsid w:val="0034645B"/>
    <w:rsid w:val="0035052F"/>
    <w:rsid w:val="00350767"/>
    <w:rsid w:val="00350971"/>
    <w:rsid w:val="00350B7A"/>
    <w:rsid w:val="00352068"/>
    <w:rsid w:val="00355D5A"/>
    <w:rsid w:val="003612A4"/>
    <w:rsid w:val="00363C81"/>
    <w:rsid w:val="00363EC4"/>
    <w:rsid w:val="003648FB"/>
    <w:rsid w:val="00366D1A"/>
    <w:rsid w:val="00367FE5"/>
    <w:rsid w:val="003713EA"/>
    <w:rsid w:val="0037364A"/>
    <w:rsid w:val="00376C8F"/>
    <w:rsid w:val="0037798A"/>
    <w:rsid w:val="0038083F"/>
    <w:rsid w:val="00383FAE"/>
    <w:rsid w:val="00384ACD"/>
    <w:rsid w:val="003871E7"/>
    <w:rsid w:val="00390F78"/>
    <w:rsid w:val="00391D01"/>
    <w:rsid w:val="00391EFC"/>
    <w:rsid w:val="003937C0"/>
    <w:rsid w:val="0039564B"/>
    <w:rsid w:val="00395ACD"/>
    <w:rsid w:val="00395EEE"/>
    <w:rsid w:val="003A0463"/>
    <w:rsid w:val="003A1EE0"/>
    <w:rsid w:val="003A20F2"/>
    <w:rsid w:val="003A50A8"/>
    <w:rsid w:val="003A54EA"/>
    <w:rsid w:val="003B137B"/>
    <w:rsid w:val="003B2C01"/>
    <w:rsid w:val="003B665E"/>
    <w:rsid w:val="003B7670"/>
    <w:rsid w:val="003C00A5"/>
    <w:rsid w:val="003C1507"/>
    <w:rsid w:val="003C32D8"/>
    <w:rsid w:val="003D16C4"/>
    <w:rsid w:val="003D69D1"/>
    <w:rsid w:val="003E01D8"/>
    <w:rsid w:val="003E1495"/>
    <w:rsid w:val="003E21A8"/>
    <w:rsid w:val="003E2A69"/>
    <w:rsid w:val="003E3469"/>
    <w:rsid w:val="003E3E8A"/>
    <w:rsid w:val="003E7336"/>
    <w:rsid w:val="003F16BA"/>
    <w:rsid w:val="003F4501"/>
    <w:rsid w:val="003F6A14"/>
    <w:rsid w:val="003F702F"/>
    <w:rsid w:val="003F7E0D"/>
    <w:rsid w:val="00400F8F"/>
    <w:rsid w:val="00401C12"/>
    <w:rsid w:val="00406705"/>
    <w:rsid w:val="00407BAB"/>
    <w:rsid w:val="004124E3"/>
    <w:rsid w:val="00413621"/>
    <w:rsid w:val="0041406F"/>
    <w:rsid w:val="004169FF"/>
    <w:rsid w:val="00421154"/>
    <w:rsid w:val="004211DC"/>
    <w:rsid w:val="00422458"/>
    <w:rsid w:val="00422E59"/>
    <w:rsid w:val="004233D1"/>
    <w:rsid w:val="004237FC"/>
    <w:rsid w:val="00427E63"/>
    <w:rsid w:val="00430154"/>
    <w:rsid w:val="004302A2"/>
    <w:rsid w:val="00430300"/>
    <w:rsid w:val="0043046A"/>
    <w:rsid w:val="00431145"/>
    <w:rsid w:val="0043172F"/>
    <w:rsid w:val="00431E00"/>
    <w:rsid w:val="00437249"/>
    <w:rsid w:val="00440149"/>
    <w:rsid w:val="00440FE6"/>
    <w:rsid w:val="0044147E"/>
    <w:rsid w:val="0044200C"/>
    <w:rsid w:val="00442BE2"/>
    <w:rsid w:val="00443EC4"/>
    <w:rsid w:val="00445DBB"/>
    <w:rsid w:val="00446C70"/>
    <w:rsid w:val="00447503"/>
    <w:rsid w:val="0045012B"/>
    <w:rsid w:val="00450EB7"/>
    <w:rsid w:val="00451B51"/>
    <w:rsid w:val="00451DC1"/>
    <w:rsid w:val="004528D9"/>
    <w:rsid w:val="0045356E"/>
    <w:rsid w:val="00457D0E"/>
    <w:rsid w:val="00460511"/>
    <w:rsid w:val="00461487"/>
    <w:rsid w:val="0046215A"/>
    <w:rsid w:val="004633DB"/>
    <w:rsid w:val="00463629"/>
    <w:rsid w:val="004655E0"/>
    <w:rsid w:val="0047026A"/>
    <w:rsid w:val="00472847"/>
    <w:rsid w:val="00480ADB"/>
    <w:rsid w:val="00483E09"/>
    <w:rsid w:val="00483E55"/>
    <w:rsid w:val="00484979"/>
    <w:rsid w:val="00484F30"/>
    <w:rsid w:val="00486278"/>
    <w:rsid w:val="004906BC"/>
    <w:rsid w:val="0049394A"/>
    <w:rsid w:val="00494246"/>
    <w:rsid w:val="0049572C"/>
    <w:rsid w:val="0049730D"/>
    <w:rsid w:val="004A3808"/>
    <w:rsid w:val="004A61A8"/>
    <w:rsid w:val="004A6D9A"/>
    <w:rsid w:val="004B10DD"/>
    <w:rsid w:val="004B317E"/>
    <w:rsid w:val="004B5DF2"/>
    <w:rsid w:val="004B61F7"/>
    <w:rsid w:val="004B652A"/>
    <w:rsid w:val="004B682A"/>
    <w:rsid w:val="004B6F2C"/>
    <w:rsid w:val="004B73BD"/>
    <w:rsid w:val="004C01D6"/>
    <w:rsid w:val="004C1126"/>
    <w:rsid w:val="004C1D94"/>
    <w:rsid w:val="004C5A0B"/>
    <w:rsid w:val="004C5C9D"/>
    <w:rsid w:val="004C6E2F"/>
    <w:rsid w:val="004D0C80"/>
    <w:rsid w:val="004D0CB9"/>
    <w:rsid w:val="004D0E53"/>
    <w:rsid w:val="004D1790"/>
    <w:rsid w:val="004D3C5A"/>
    <w:rsid w:val="004D529D"/>
    <w:rsid w:val="004E1CA6"/>
    <w:rsid w:val="004E2B03"/>
    <w:rsid w:val="004E2DB6"/>
    <w:rsid w:val="004E6230"/>
    <w:rsid w:val="004E72FE"/>
    <w:rsid w:val="004F09AA"/>
    <w:rsid w:val="004F10AC"/>
    <w:rsid w:val="004F258F"/>
    <w:rsid w:val="004F3423"/>
    <w:rsid w:val="004F35B0"/>
    <w:rsid w:val="004F4059"/>
    <w:rsid w:val="0050449E"/>
    <w:rsid w:val="00504BB5"/>
    <w:rsid w:val="005056A2"/>
    <w:rsid w:val="00510068"/>
    <w:rsid w:val="005124DA"/>
    <w:rsid w:val="00512614"/>
    <w:rsid w:val="00512C61"/>
    <w:rsid w:val="00517D3D"/>
    <w:rsid w:val="00521384"/>
    <w:rsid w:val="00522AE8"/>
    <w:rsid w:val="00523B21"/>
    <w:rsid w:val="00523C30"/>
    <w:rsid w:val="00525824"/>
    <w:rsid w:val="00530CAF"/>
    <w:rsid w:val="0053109B"/>
    <w:rsid w:val="00536DD0"/>
    <w:rsid w:val="00537839"/>
    <w:rsid w:val="00541615"/>
    <w:rsid w:val="005448C1"/>
    <w:rsid w:val="00544BE6"/>
    <w:rsid w:val="00546D85"/>
    <w:rsid w:val="00550006"/>
    <w:rsid w:val="0055043A"/>
    <w:rsid w:val="00551345"/>
    <w:rsid w:val="00552B9B"/>
    <w:rsid w:val="00552DD3"/>
    <w:rsid w:val="0055362B"/>
    <w:rsid w:val="005542E0"/>
    <w:rsid w:val="005551D1"/>
    <w:rsid w:val="0055781E"/>
    <w:rsid w:val="00566361"/>
    <w:rsid w:val="005703D9"/>
    <w:rsid w:val="00570DA7"/>
    <w:rsid w:val="00572285"/>
    <w:rsid w:val="00574CB3"/>
    <w:rsid w:val="005768D5"/>
    <w:rsid w:val="00576AB1"/>
    <w:rsid w:val="00577033"/>
    <w:rsid w:val="005770CF"/>
    <w:rsid w:val="00580846"/>
    <w:rsid w:val="0058115F"/>
    <w:rsid w:val="00582248"/>
    <w:rsid w:val="0058439D"/>
    <w:rsid w:val="005843BA"/>
    <w:rsid w:val="00585ADB"/>
    <w:rsid w:val="0058701C"/>
    <w:rsid w:val="00587F72"/>
    <w:rsid w:val="005907B6"/>
    <w:rsid w:val="00591477"/>
    <w:rsid w:val="005914B4"/>
    <w:rsid w:val="00592367"/>
    <w:rsid w:val="00594BD1"/>
    <w:rsid w:val="0059691D"/>
    <w:rsid w:val="005A1C94"/>
    <w:rsid w:val="005A4133"/>
    <w:rsid w:val="005A4D7A"/>
    <w:rsid w:val="005A720E"/>
    <w:rsid w:val="005A7777"/>
    <w:rsid w:val="005B1138"/>
    <w:rsid w:val="005B3235"/>
    <w:rsid w:val="005B4474"/>
    <w:rsid w:val="005B4934"/>
    <w:rsid w:val="005B5531"/>
    <w:rsid w:val="005C1C1F"/>
    <w:rsid w:val="005C3BD9"/>
    <w:rsid w:val="005C3E4D"/>
    <w:rsid w:val="005C4004"/>
    <w:rsid w:val="005C4C0C"/>
    <w:rsid w:val="005C66D1"/>
    <w:rsid w:val="005C70F6"/>
    <w:rsid w:val="005D292A"/>
    <w:rsid w:val="005D29EF"/>
    <w:rsid w:val="005D37E8"/>
    <w:rsid w:val="005D3F4B"/>
    <w:rsid w:val="005D4F69"/>
    <w:rsid w:val="005D5403"/>
    <w:rsid w:val="005E094D"/>
    <w:rsid w:val="005E32EF"/>
    <w:rsid w:val="005E35FD"/>
    <w:rsid w:val="005E3A27"/>
    <w:rsid w:val="005E3DC3"/>
    <w:rsid w:val="005E61C6"/>
    <w:rsid w:val="005E6645"/>
    <w:rsid w:val="005E7601"/>
    <w:rsid w:val="005E7647"/>
    <w:rsid w:val="005E76AC"/>
    <w:rsid w:val="005F2E42"/>
    <w:rsid w:val="005F3CDC"/>
    <w:rsid w:val="005F4233"/>
    <w:rsid w:val="00600EB2"/>
    <w:rsid w:val="00602A43"/>
    <w:rsid w:val="00605AC0"/>
    <w:rsid w:val="00612C76"/>
    <w:rsid w:val="00612C79"/>
    <w:rsid w:val="00617490"/>
    <w:rsid w:val="00617518"/>
    <w:rsid w:val="006212E7"/>
    <w:rsid w:val="00625475"/>
    <w:rsid w:val="006312A6"/>
    <w:rsid w:val="00634C71"/>
    <w:rsid w:val="00635CC0"/>
    <w:rsid w:val="006408B3"/>
    <w:rsid w:val="00643EFC"/>
    <w:rsid w:val="00643F63"/>
    <w:rsid w:val="00650456"/>
    <w:rsid w:val="00651661"/>
    <w:rsid w:val="00651C0C"/>
    <w:rsid w:val="00651D35"/>
    <w:rsid w:val="006522CB"/>
    <w:rsid w:val="00654111"/>
    <w:rsid w:val="00654D61"/>
    <w:rsid w:val="0065777F"/>
    <w:rsid w:val="00660956"/>
    <w:rsid w:val="006621C8"/>
    <w:rsid w:val="0066273E"/>
    <w:rsid w:val="0066397C"/>
    <w:rsid w:val="00664246"/>
    <w:rsid w:val="00664375"/>
    <w:rsid w:val="0066779B"/>
    <w:rsid w:val="00667912"/>
    <w:rsid w:val="00671F28"/>
    <w:rsid w:val="00677ED9"/>
    <w:rsid w:val="0068294A"/>
    <w:rsid w:val="00683FE9"/>
    <w:rsid w:val="00684658"/>
    <w:rsid w:val="00684BCF"/>
    <w:rsid w:val="00685549"/>
    <w:rsid w:val="00685C8C"/>
    <w:rsid w:val="00685DF1"/>
    <w:rsid w:val="00686691"/>
    <w:rsid w:val="00690749"/>
    <w:rsid w:val="006912BC"/>
    <w:rsid w:val="00692503"/>
    <w:rsid w:val="00693119"/>
    <w:rsid w:val="00693980"/>
    <w:rsid w:val="0069494A"/>
    <w:rsid w:val="00694D68"/>
    <w:rsid w:val="00694EE5"/>
    <w:rsid w:val="006967A1"/>
    <w:rsid w:val="006A2CE4"/>
    <w:rsid w:val="006A5691"/>
    <w:rsid w:val="006A6956"/>
    <w:rsid w:val="006B0BA1"/>
    <w:rsid w:val="006B2068"/>
    <w:rsid w:val="006B30B6"/>
    <w:rsid w:val="006B37F9"/>
    <w:rsid w:val="006B73FF"/>
    <w:rsid w:val="006C4C49"/>
    <w:rsid w:val="006D078E"/>
    <w:rsid w:val="006D283A"/>
    <w:rsid w:val="006D2E1C"/>
    <w:rsid w:val="006D4E05"/>
    <w:rsid w:val="006D6491"/>
    <w:rsid w:val="006D6657"/>
    <w:rsid w:val="006D7540"/>
    <w:rsid w:val="006D7B81"/>
    <w:rsid w:val="006E2593"/>
    <w:rsid w:val="006E2C3F"/>
    <w:rsid w:val="006E3078"/>
    <w:rsid w:val="006E3B9F"/>
    <w:rsid w:val="006E4F06"/>
    <w:rsid w:val="006E58AE"/>
    <w:rsid w:val="006E65FF"/>
    <w:rsid w:val="006F1C05"/>
    <w:rsid w:val="006F336C"/>
    <w:rsid w:val="006F338F"/>
    <w:rsid w:val="006F34D5"/>
    <w:rsid w:val="006F4D38"/>
    <w:rsid w:val="006F623A"/>
    <w:rsid w:val="00702B36"/>
    <w:rsid w:val="007064FD"/>
    <w:rsid w:val="00707C19"/>
    <w:rsid w:val="00714E5E"/>
    <w:rsid w:val="00717EC6"/>
    <w:rsid w:val="00721375"/>
    <w:rsid w:val="0072145A"/>
    <w:rsid w:val="007226D6"/>
    <w:rsid w:val="0072312C"/>
    <w:rsid w:val="00725659"/>
    <w:rsid w:val="00725BAC"/>
    <w:rsid w:val="00726400"/>
    <w:rsid w:val="0072694A"/>
    <w:rsid w:val="00733B00"/>
    <w:rsid w:val="00735D94"/>
    <w:rsid w:val="00737A88"/>
    <w:rsid w:val="00743437"/>
    <w:rsid w:val="00744F95"/>
    <w:rsid w:val="00745A88"/>
    <w:rsid w:val="00745DDE"/>
    <w:rsid w:val="00746BF0"/>
    <w:rsid w:val="00751708"/>
    <w:rsid w:val="00751831"/>
    <w:rsid w:val="00751B16"/>
    <w:rsid w:val="0075228D"/>
    <w:rsid w:val="007524D8"/>
    <w:rsid w:val="00755FBE"/>
    <w:rsid w:val="0075667E"/>
    <w:rsid w:val="0076020A"/>
    <w:rsid w:val="007604BD"/>
    <w:rsid w:val="00760ADC"/>
    <w:rsid w:val="00760BE7"/>
    <w:rsid w:val="00760CF1"/>
    <w:rsid w:val="00763074"/>
    <w:rsid w:val="007645BC"/>
    <w:rsid w:val="00764B9B"/>
    <w:rsid w:val="00764EEB"/>
    <w:rsid w:val="00770297"/>
    <w:rsid w:val="00771BAA"/>
    <w:rsid w:val="007732FE"/>
    <w:rsid w:val="00775BBD"/>
    <w:rsid w:val="007767F1"/>
    <w:rsid w:val="0078179F"/>
    <w:rsid w:val="00782208"/>
    <w:rsid w:val="00783D8C"/>
    <w:rsid w:val="00784742"/>
    <w:rsid w:val="00784CBC"/>
    <w:rsid w:val="0078604C"/>
    <w:rsid w:val="007863FE"/>
    <w:rsid w:val="007929A9"/>
    <w:rsid w:val="00793CE0"/>
    <w:rsid w:val="00795050"/>
    <w:rsid w:val="00796001"/>
    <w:rsid w:val="00797CDD"/>
    <w:rsid w:val="007A1A7E"/>
    <w:rsid w:val="007A33B5"/>
    <w:rsid w:val="007A4D77"/>
    <w:rsid w:val="007A7354"/>
    <w:rsid w:val="007B03B4"/>
    <w:rsid w:val="007B126E"/>
    <w:rsid w:val="007B2FED"/>
    <w:rsid w:val="007B4A6E"/>
    <w:rsid w:val="007B5D64"/>
    <w:rsid w:val="007C360B"/>
    <w:rsid w:val="007C3856"/>
    <w:rsid w:val="007C5075"/>
    <w:rsid w:val="007C5FC8"/>
    <w:rsid w:val="007C6ADB"/>
    <w:rsid w:val="007C7407"/>
    <w:rsid w:val="007D05EB"/>
    <w:rsid w:val="007D21EB"/>
    <w:rsid w:val="007D27E3"/>
    <w:rsid w:val="007D3F34"/>
    <w:rsid w:val="007D4064"/>
    <w:rsid w:val="007D5394"/>
    <w:rsid w:val="007E197F"/>
    <w:rsid w:val="007E2071"/>
    <w:rsid w:val="007E4A9B"/>
    <w:rsid w:val="007E4AAE"/>
    <w:rsid w:val="007E531D"/>
    <w:rsid w:val="007E61CA"/>
    <w:rsid w:val="007F0258"/>
    <w:rsid w:val="007F13A7"/>
    <w:rsid w:val="007F548B"/>
    <w:rsid w:val="007F56E2"/>
    <w:rsid w:val="007F6C87"/>
    <w:rsid w:val="007F7CF7"/>
    <w:rsid w:val="007F7E06"/>
    <w:rsid w:val="00800295"/>
    <w:rsid w:val="00800A48"/>
    <w:rsid w:val="00800AA5"/>
    <w:rsid w:val="008019EF"/>
    <w:rsid w:val="00802683"/>
    <w:rsid w:val="00804968"/>
    <w:rsid w:val="00804E6A"/>
    <w:rsid w:val="008059A6"/>
    <w:rsid w:val="00805F12"/>
    <w:rsid w:val="00806DA7"/>
    <w:rsid w:val="00807DCC"/>
    <w:rsid w:val="00814404"/>
    <w:rsid w:val="00814DF2"/>
    <w:rsid w:val="008151D5"/>
    <w:rsid w:val="0081551A"/>
    <w:rsid w:val="00815F31"/>
    <w:rsid w:val="00816D47"/>
    <w:rsid w:val="008200CC"/>
    <w:rsid w:val="0082044B"/>
    <w:rsid w:val="00821389"/>
    <w:rsid w:val="0082157B"/>
    <w:rsid w:val="00821B59"/>
    <w:rsid w:val="00823D22"/>
    <w:rsid w:val="00825A30"/>
    <w:rsid w:val="008269A4"/>
    <w:rsid w:val="008279BA"/>
    <w:rsid w:val="00827F2C"/>
    <w:rsid w:val="00832D58"/>
    <w:rsid w:val="008352B8"/>
    <w:rsid w:val="00835CB0"/>
    <w:rsid w:val="00836478"/>
    <w:rsid w:val="008364C5"/>
    <w:rsid w:val="008366CD"/>
    <w:rsid w:val="008372CD"/>
    <w:rsid w:val="0084029F"/>
    <w:rsid w:val="00850EC3"/>
    <w:rsid w:val="00865937"/>
    <w:rsid w:val="00866CC9"/>
    <w:rsid w:val="00866DDA"/>
    <w:rsid w:val="00870ED5"/>
    <w:rsid w:val="008720F3"/>
    <w:rsid w:val="008734D5"/>
    <w:rsid w:val="008741DA"/>
    <w:rsid w:val="00880747"/>
    <w:rsid w:val="0088334F"/>
    <w:rsid w:val="00884463"/>
    <w:rsid w:val="00887E07"/>
    <w:rsid w:val="0089437C"/>
    <w:rsid w:val="00894824"/>
    <w:rsid w:val="008978E6"/>
    <w:rsid w:val="008A0B77"/>
    <w:rsid w:val="008A223F"/>
    <w:rsid w:val="008A2480"/>
    <w:rsid w:val="008A4817"/>
    <w:rsid w:val="008A4B6F"/>
    <w:rsid w:val="008A7AE2"/>
    <w:rsid w:val="008B04BD"/>
    <w:rsid w:val="008B1217"/>
    <w:rsid w:val="008B57A3"/>
    <w:rsid w:val="008B6FEF"/>
    <w:rsid w:val="008C2188"/>
    <w:rsid w:val="008C25D6"/>
    <w:rsid w:val="008C362C"/>
    <w:rsid w:val="008C4437"/>
    <w:rsid w:val="008C5F32"/>
    <w:rsid w:val="008D520C"/>
    <w:rsid w:val="008D5895"/>
    <w:rsid w:val="008E05A8"/>
    <w:rsid w:val="008E17F0"/>
    <w:rsid w:val="008E2012"/>
    <w:rsid w:val="008E5999"/>
    <w:rsid w:val="008E5F7E"/>
    <w:rsid w:val="008E7622"/>
    <w:rsid w:val="008F1666"/>
    <w:rsid w:val="008F22D0"/>
    <w:rsid w:val="008F3E54"/>
    <w:rsid w:val="008F555E"/>
    <w:rsid w:val="009000AB"/>
    <w:rsid w:val="0090407F"/>
    <w:rsid w:val="0090466E"/>
    <w:rsid w:val="009054AC"/>
    <w:rsid w:val="00911D8B"/>
    <w:rsid w:val="009126CA"/>
    <w:rsid w:val="00915028"/>
    <w:rsid w:val="00915EB2"/>
    <w:rsid w:val="00916FBE"/>
    <w:rsid w:val="009233B6"/>
    <w:rsid w:val="00925479"/>
    <w:rsid w:val="00926C50"/>
    <w:rsid w:val="009307CB"/>
    <w:rsid w:val="00930ED8"/>
    <w:rsid w:val="00934392"/>
    <w:rsid w:val="009371D8"/>
    <w:rsid w:val="00940A6C"/>
    <w:rsid w:val="00944FD8"/>
    <w:rsid w:val="00945EAB"/>
    <w:rsid w:val="0094623B"/>
    <w:rsid w:val="00947AE6"/>
    <w:rsid w:val="00947E00"/>
    <w:rsid w:val="009537B3"/>
    <w:rsid w:val="00954E31"/>
    <w:rsid w:val="00955031"/>
    <w:rsid w:val="00955404"/>
    <w:rsid w:val="00956603"/>
    <w:rsid w:val="0096720F"/>
    <w:rsid w:val="00970BB9"/>
    <w:rsid w:val="00970CB3"/>
    <w:rsid w:val="009711C8"/>
    <w:rsid w:val="00972083"/>
    <w:rsid w:val="00975505"/>
    <w:rsid w:val="009771F7"/>
    <w:rsid w:val="00984C52"/>
    <w:rsid w:val="00985477"/>
    <w:rsid w:val="009856EF"/>
    <w:rsid w:val="00986CF0"/>
    <w:rsid w:val="00991B1D"/>
    <w:rsid w:val="00992B82"/>
    <w:rsid w:val="00992DA5"/>
    <w:rsid w:val="00994144"/>
    <w:rsid w:val="009958EF"/>
    <w:rsid w:val="009974C5"/>
    <w:rsid w:val="009A304E"/>
    <w:rsid w:val="009A35C7"/>
    <w:rsid w:val="009A3715"/>
    <w:rsid w:val="009A3D40"/>
    <w:rsid w:val="009A5E66"/>
    <w:rsid w:val="009A5F9F"/>
    <w:rsid w:val="009A6274"/>
    <w:rsid w:val="009A6F87"/>
    <w:rsid w:val="009A7785"/>
    <w:rsid w:val="009A7838"/>
    <w:rsid w:val="009B2188"/>
    <w:rsid w:val="009B2BDC"/>
    <w:rsid w:val="009B2D59"/>
    <w:rsid w:val="009B52BC"/>
    <w:rsid w:val="009B5554"/>
    <w:rsid w:val="009B5CE0"/>
    <w:rsid w:val="009B77C1"/>
    <w:rsid w:val="009C0AD8"/>
    <w:rsid w:val="009C15BA"/>
    <w:rsid w:val="009C18C8"/>
    <w:rsid w:val="009C30C3"/>
    <w:rsid w:val="009C3961"/>
    <w:rsid w:val="009C70D7"/>
    <w:rsid w:val="009C785F"/>
    <w:rsid w:val="009D4C6C"/>
    <w:rsid w:val="009D4F57"/>
    <w:rsid w:val="009D6F7F"/>
    <w:rsid w:val="009E057B"/>
    <w:rsid w:val="009E0ABA"/>
    <w:rsid w:val="009E11E4"/>
    <w:rsid w:val="009E136D"/>
    <w:rsid w:val="009E2C74"/>
    <w:rsid w:val="009E41AC"/>
    <w:rsid w:val="009E457E"/>
    <w:rsid w:val="009F0343"/>
    <w:rsid w:val="009F0657"/>
    <w:rsid w:val="009F1254"/>
    <w:rsid w:val="009F1EE6"/>
    <w:rsid w:val="009F2DC1"/>
    <w:rsid w:val="009F5882"/>
    <w:rsid w:val="00A0257E"/>
    <w:rsid w:val="00A0384B"/>
    <w:rsid w:val="00A10982"/>
    <w:rsid w:val="00A113D8"/>
    <w:rsid w:val="00A11D5B"/>
    <w:rsid w:val="00A12AD5"/>
    <w:rsid w:val="00A14751"/>
    <w:rsid w:val="00A15259"/>
    <w:rsid w:val="00A17652"/>
    <w:rsid w:val="00A20B4A"/>
    <w:rsid w:val="00A20C6E"/>
    <w:rsid w:val="00A21264"/>
    <w:rsid w:val="00A21502"/>
    <w:rsid w:val="00A23AC2"/>
    <w:rsid w:val="00A25432"/>
    <w:rsid w:val="00A264C8"/>
    <w:rsid w:val="00A316FB"/>
    <w:rsid w:val="00A33562"/>
    <w:rsid w:val="00A34C5A"/>
    <w:rsid w:val="00A415B6"/>
    <w:rsid w:val="00A43366"/>
    <w:rsid w:val="00A44B06"/>
    <w:rsid w:val="00A4694A"/>
    <w:rsid w:val="00A46CE4"/>
    <w:rsid w:val="00A50EFE"/>
    <w:rsid w:val="00A51299"/>
    <w:rsid w:val="00A54C3B"/>
    <w:rsid w:val="00A555BE"/>
    <w:rsid w:val="00A55D96"/>
    <w:rsid w:val="00A578A8"/>
    <w:rsid w:val="00A6452F"/>
    <w:rsid w:val="00A648DF"/>
    <w:rsid w:val="00A65866"/>
    <w:rsid w:val="00A718B2"/>
    <w:rsid w:val="00A7241E"/>
    <w:rsid w:val="00A72B47"/>
    <w:rsid w:val="00A73C48"/>
    <w:rsid w:val="00A73EE7"/>
    <w:rsid w:val="00A77D68"/>
    <w:rsid w:val="00A800BF"/>
    <w:rsid w:val="00A8062D"/>
    <w:rsid w:val="00A81FE3"/>
    <w:rsid w:val="00A830A0"/>
    <w:rsid w:val="00A831D8"/>
    <w:rsid w:val="00A83860"/>
    <w:rsid w:val="00A83ECD"/>
    <w:rsid w:val="00A8418B"/>
    <w:rsid w:val="00A8595C"/>
    <w:rsid w:val="00A87BF5"/>
    <w:rsid w:val="00A87CA1"/>
    <w:rsid w:val="00A87EAE"/>
    <w:rsid w:val="00A91562"/>
    <w:rsid w:val="00A96A87"/>
    <w:rsid w:val="00A96B08"/>
    <w:rsid w:val="00AA03A5"/>
    <w:rsid w:val="00AA10B8"/>
    <w:rsid w:val="00AA243F"/>
    <w:rsid w:val="00AA30A6"/>
    <w:rsid w:val="00AA6CB1"/>
    <w:rsid w:val="00AA7BCD"/>
    <w:rsid w:val="00AB66E0"/>
    <w:rsid w:val="00AB6AAC"/>
    <w:rsid w:val="00AC0709"/>
    <w:rsid w:val="00AC1FE7"/>
    <w:rsid w:val="00AC39C3"/>
    <w:rsid w:val="00AC3C89"/>
    <w:rsid w:val="00AC675E"/>
    <w:rsid w:val="00AC6CF4"/>
    <w:rsid w:val="00AD0E3A"/>
    <w:rsid w:val="00AD233D"/>
    <w:rsid w:val="00AD2F06"/>
    <w:rsid w:val="00AD4997"/>
    <w:rsid w:val="00AD4C7B"/>
    <w:rsid w:val="00AD5601"/>
    <w:rsid w:val="00AD681C"/>
    <w:rsid w:val="00AE0FF8"/>
    <w:rsid w:val="00AE1292"/>
    <w:rsid w:val="00AE2776"/>
    <w:rsid w:val="00AE2D98"/>
    <w:rsid w:val="00AE2F04"/>
    <w:rsid w:val="00AE480F"/>
    <w:rsid w:val="00AE5B83"/>
    <w:rsid w:val="00AE7A15"/>
    <w:rsid w:val="00AF01CD"/>
    <w:rsid w:val="00AF1986"/>
    <w:rsid w:val="00AF3D0A"/>
    <w:rsid w:val="00AF4BD5"/>
    <w:rsid w:val="00AF4DB5"/>
    <w:rsid w:val="00AF6799"/>
    <w:rsid w:val="00AF721D"/>
    <w:rsid w:val="00AF78C4"/>
    <w:rsid w:val="00B0174A"/>
    <w:rsid w:val="00B01F42"/>
    <w:rsid w:val="00B022B4"/>
    <w:rsid w:val="00B02349"/>
    <w:rsid w:val="00B02391"/>
    <w:rsid w:val="00B03919"/>
    <w:rsid w:val="00B04BA3"/>
    <w:rsid w:val="00B1049C"/>
    <w:rsid w:val="00B11A35"/>
    <w:rsid w:val="00B11FF9"/>
    <w:rsid w:val="00B1216B"/>
    <w:rsid w:val="00B21D12"/>
    <w:rsid w:val="00B223FE"/>
    <w:rsid w:val="00B22F3F"/>
    <w:rsid w:val="00B2319D"/>
    <w:rsid w:val="00B23941"/>
    <w:rsid w:val="00B277EF"/>
    <w:rsid w:val="00B32D22"/>
    <w:rsid w:val="00B33881"/>
    <w:rsid w:val="00B342C3"/>
    <w:rsid w:val="00B41DB3"/>
    <w:rsid w:val="00B43B15"/>
    <w:rsid w:val="00B44BAA"/>
    <w:rsid w:val="00B45F49"/>
    <w:rsid w:val="00B46312"/>
    <w:rsid w:val="00B52494"/>
    <w:rsid w:val="00B52FA8"/>
    <w:rsid w:val="00B530AB"/>
    <w:rsid w:val="00B55EE2"/>
    <w:rsid w:val="00B568DA"/>
    <w:rsid w:val="00B57BE2"/>
    <w:rsid w:val="00B601DB"/>
    <w:rsid w:val="00B602F2"/>
    <w:rsid w:val="00B60E44"/>
    <w:rsid w:val="00B61E1C"/>
    <w:rsid w:val="00B628A5"/>
    <w:rsid w:val="00B631EE"/>
    <w:rsid w:val="00B6330D"/>
    <w:rsid w:val="00B634A3"/>
    <w:rsid w:val="00B65351"/>
    <w:rsid w:val="00B65DD7"/>
    <w:rsid w:val="00B66740"/>
    <w:rsid w:val="00B66951"/>
    <w:rsid w:val="00B671A5"/>
    <w:rsid w:val="00B7018F"/>
    <w:rsid w:val="00B7795C"/>
    <w:rsid w:val="00B802E2"/>
    <w:rsid w:val="00B80A4B"/>
    <w:rsid w:val="00B80E31"/>
    <w:rsid w:val="00B8536B"/>
    <w:rsid w:val="00B869D8"/>
    <w:rsid w:val="00B87B13"/>
    <w:rsid w:val="00B87B68"/>
    <w:rsid w:val="00B90284"/>
    <w:rsid w:val="00B91255"/>
    <w:rsid w:val="00B92BF8"/>
    <w:rsid w:val="00B95B5A"/>
    <w:rsid w:val="00B96E55"/>
    <w:rsid w:val="00BA184F"/>
    <w:rsid w:val="00BA1C0C"/>
    <w:rsid w:val="00BA5823"/>
    <w:rsid w:val="00BA66A8"/>
    <w:rsid w:val="00BB172D"/>
    <w:rsid w:val="00BB499C"/>
    <w:rsid w:val="00BC07E0"/>
    <w:rsid w:val="00BC1321"/>
    <w:rsid w:val="00BC2FE1"/>
    <w:rsid w:val="00BC5352"/>
    <w:rsid w:val="00BC54F4"/>
    <w:rsid w:val="00BC5AC3"/>
    <w:rsid w:val="00BC70A9"/>
    <w:rsid w:val="00BC72F3"/>
    <w:rsid w:val="00BD63AB"/>
    <w:rsid w:val="00BD750F"/>
    <w:rsid w:val="00BE22AF"/>
    <w:rsid w:val="00BE3240"/>
    <w:rsid w:val="00BE34F6"/>
    <w:rsid w:val="00BE36FF"/>
    <w:rsid w:val="00BE3840"/>
    <w:rsid w:val="00BE714A"/>
    <w:rsid w:val="00BF0A4E"/>
    <w:rsid w:val="00BF2527"/>
    <w:rsid w:val="00BF35B7"/>
    <w:rsid w:val="00BF43C2"/>
    <w:rsid w:val="00BF4FDD"/>
    <w:rsid w:val="00BF7893"/>
    <w:rsid w:val="00BF7BFC"/>
    <w:rsid w:val="00C03FF2"/>
    <w:rsid w:val="00C04959"/>
    <w:rsid w:val="00C06CD9"/>
    <w:rsid w:val="00C06DF5"/>
    <w:rsid w:val="00C06F59"/>
    <w:rsid w:val="00C07148"/>
    <w:rsid w:val="00C078B0"/>
    <w:rsid w:val="00C07C7B"/>
    <w:rsid w:val="00C1004C"/>
    <w:rsid w:val="00C12017"/>
    <w:rsid w:val="00C1322C"/>
    <w:rsid w:val="00C1370C"/>
    <w:rsid w:val="00C138D1"/>
    <w:rsid w:val="00C13905"/>
    <w:rsid w:val="00C13DF8"/>
    <w:rsid w:val="00C14F18"/>
    <w:rsid w:val="00C16E9B"/>
    <w:rsid w:val="00C208ED"/>
    <w:rsid w:val="00C211E1"/>
    <w:rsid w:val="00C24043"/>
    <w:rsid w:val="00C24BC2"/>
    <w:rsid w:val="00C301FD"/>
    <w:rsid w:val="00C317DA"/>
    <w:rsid w:val="00C35716"/>
    <w:rsid w:val="00C3676F"/>
    <w:rsid w:val="00C41608"/>
    <w:rsid w:val="00C420B7"/>
    <w:rsid w:val="00C4216B"/>
    <w:rsid w:val="00C45535"/>
    <w:rsid w:val="00C45974"/>
    <w:rsid w:val="00C46AC5"/>
    <w:rsid w:val="00C502D2"/>
    <w:rsid w:val="00C50F91"/>
    <w:rsid w:val="00C5191D"/>
    <w:rsid w:val="00C5227B"/>
    <w:rsid w:val="00C52288"/>
    <w:rsid w:val="00C52B1C"/>
    <w:rsid w:val="00C54FC1"/>
    <w:rsid w:val="00C57737"/>
    <w:rsid w:val="00C61BA0"/>
    <w:rsid w:val="00C61E53"/>
    <w:rsid w:val="00C62A45"/>
    <w:rsid w:val="00C631DC"/>
    <w:rsid w:val="00C63D1E"/>
    <w:rsid w:val="00C658BC"/>
    <w:rsid w:val="00C659C4"/>
    <w:rsid w:val="00C704A0"/>
    <w:rsid w:val="00C71656"/>
    <w:rsid w:val="00C72317"/>
    <w:rsid w:val="00C76F6B"/>
    <w:rsid w:val="00C77795"/>
    <w:rsid w:val="00C81E8F"/>
    <w:rsid w:val="00C821E4"/>
    <w:rsid w:val="00C82738"/>
    <w:rsid w:val="00C83510"/>
    <w:rsid w:val="00C835A5"/>
    <w:rsid w:val="00C83E98"/>
    <w:rsid w:val="00C851FE"/>
    <w:rsid w:val="00C85E6D"/>
    <w:rsid w:val="00C85FBF"/>
    <w:rsid w:val="00C87CDA"/>
    <w:rsid w:val="00C91487"/>
    <w:rsid w:val="00C91E1C"/>
    <w:rsid w:val="00C9237D"/>
    <w:rsid w:val="00C92680"/>
    <w:rsid w:val="00C953BA"/>
    <w:rsid w:val="00C9581B"/>
    <w:rsid w:val="00CA342D"/>
    <w:rsid w:val="00CA68DA"/>
    <w:rsid w:val="00CA6C3A"/>
    <w:rsid w:val="00CB1897"/>
    <w:rsid w:val="00CB358A"/>
    <w:rsid w:val="00CC074F"/>
    <w:rsid w:val="00CC12F7"/>
    <w:rsid w:val="00CC3CCE"/>
    <w:rsid w:val="00CC4C8D"/>
    <w:rsid w:val="00CC6EC8"/>
    <w:rsid w:val="00CD04F6"/>
    <w:rsid w:val="00CD15B0"/>
    <w:rsid w:val="00CD1DCF"/>
    <w:rsid w:val="00CD205D"/>
    <w:rsid w:val="00CD2266"/>
    <w:rsid w:val="00CD551B"/>
    <w:rsid w:val="00CD67B2"/>
    <w:rsid w:val="00CD69E0"/>
    <w:rsid w:val="00CE11EA"/>
    <w:rsid w:val="00CE1376"/>
    <w:rsid w:val="00CE37B8"/>
    <w:rsid w:val="00CE42F4"/>
    <w:rsid w:val="00CE71F7"/>
    <w:rsid w:val="00CE7791"/>
    <w:rsid w:val="00CF03B8"/>
    <w:rsid w:val="00CF1E32"/>
    <w:rsid w:val="00CF2C19"/>
    <w:rsid w:val="00CF3048"/>
    <w:rsid w:val="00CF314F"/>
    <w:rsid w:val="00CF3683"/>
    <w:rsid w:val="00CF514A"/>
    <w:rsid w:val="00D03DA6"/>
    <w:rsid w:val="00D04755"/>
    <w:rsid w:val="00D064E2"/>
    <w:rsid w:val="00D11D6C"/>
    <w:rsid w:val="00D12C4C"/>
    <w:rsid w:val="00D13029"/>
    <w:rsid w:val="00D143BC"/>
    <w:rsid w:val="00D15DE2"/>
    <w:rsid w:val="00D17074"/>
    <w:rsid w:val="00D221DB"/>
    <w:rsid w:val="00D22389"/>
    <w:rsid w:val="00D2293A"/>
    <w:rsid w:val="00D229F7"/>
    <w:rsid w:val="00D233F5"/>
    <w:rsid w:val="00D27A4B"/>
    <w:rsid w:val="00D27EC6"/>
    <w:rsid w:val="00D32924"/>
    <w:rsid w:val="00D333C2"/>
    <w:rsid w:val="00D33839"/>
    <w:rsid w:val="00D34139"/>
    <w:rsid w:val="00D34EB7"/>
    <w:rsid w:val="00D35258"/>
    <w:rsid w:val="00D3556F"/>
    <w:rsid w:val="00D364C7"/>
    <w:rsid w:val="00D375C6"/>
    <w:rsid w:val="00D37BA5"/>
    <w:rsid w:val="00D442D8"/>
    <w:rsid w:val="00D4619C"/>
    <w:rsid w:val="00D47D22"/>
    <w:rsid w:val="00D50D83"/>
    <w:rsid w:val="00D510CB"/>
    <w:rsid w:val="00D513E1"/>
    <w:rsid w:val="00D5334E"/>
    <w:rsid w:val="00D533E8"/>
    <w:rsid w:val="00D53587"/>
    <w:rsid w:val="00D546E2"/>
    <w:rsid w:val="00D5556E"/>
    <w:rsid w:val="00D604E2"/>
    <w:rsid w:val="00D60CA0"/>
    <w:rsid w:val="00D610A0"/>
    <w:rsid w:val="00D61851"/>
    <w:rsid w:val="00D61AA2"/>
    <w:rsid w:val="00D61C8F"/>
    <w:rsid w:val="00D62C80"/>
    <w:rsid w:val="00D67CA0"/>
    <w:rsid w:val="00D7118C"/>
    <w:rsid w:val="00D75DA8"/>
    <w:rsid w:val="00D768ED"/>
    <w:rsid w:val="00D77690"/>
    <w:rsid w:val="00D8078C"/>
    <w:rsid w:val="00D813A0"/>
    <w:rsid w:val="00D8336B"/>
    <w:rsid w:val="00D83CC0"/>
    <w:rsid w:val="00D85D34"/>
    <w:rsid w:val="00D85FA4"/>
    <w:rsid w:val="00D90F68"/>
    <w:rsid w:val="00D91253"/>
    <w:rsid w:val="00D94006"/>
    <w:rsid w:val="00D940D9"/>
    <w:rsid w:val="00D952FF"/>
    <w:rsid w:val="00D9603F"/>
    <w:rsid w:val="00D96C7F"/>
    <w:rsid w:val="00DA3479"/>
    <w:rsid w:val="00DA3D80"/>
    <w:rsid w:val="00DA4F15"/>
    <w:rsid w:val="00DA5516"/>
    <w:rsid w:val="00DA5BC6"/>
    <w:rsid w:val="00DA67EF"/>
    <w:rsid w:val="00DA68EE"/>
    <w:rsid w:val="00DB3F3F"/>
    <w:rsid w:val="00DB6E88"/>
    <w:rsid w:val="00DC02B4"/>
    <w:rsid w:val="00DC22DA"/>
    <w:rsid w:val="00DC31A1"/>
    <w:rsid w:val="00DC4093"/>
    <w:rsid w:val="00DC67DE"/>
    <w:rsid w:val="00DD049A"/>
    <w:rsid w:val="00DD2006"/>
    <w:rsid w:val="00DD5F5C"/>
    <w:rsid w:val="00DD6155"/>
    <w:rsid w:val="00DD6400"/>
    <w:rsid w:val="00DD6A19"/>
    <w:rsid w:val="00DD7ABA"/>
    <w:rsid w:val="00DE07AE"/>
    <w:rsid w:val="00DE0E4F"/>
    <w:rsid w:val="00DE248F"/>
    <w:rsid w:val="00DE3D2A"/>
    <w:rsid w:val="00DE4B06"/>
    <w:rsid w:val="00DF0BEC"/>
    <w:rsid w:val="00DF1C6B"/>
    <w:rsid w:val="00E00E80"/>
    <w:rsid w:val="00E00FE2"/>
    <w:rsid w:val="00E01C11"/>
    <w:rsid w:val="00E0317A"/>
    <w:rsid w:val="00E04393"/>
    <w:rsid w:val="00E04805"/>
    <w:rsid w:val="00E05A66"/>
    <w:rsid w:val="00E06D3F"/>
    <w:rsid w:val="00E104D4"/>
    <w:rsid w:val="00E120FB"/>
    <w:rsid w:val="00E13D2B"/>
    <w:rsid w:val="00E14222"/>
    <w:rsid w:val="00E14992"/>
    <w:rsid w:val="00E14A4A"/>
    <w:rsid w:val="00E16899"/>
    <w:rsid w:val="00E169E5"/>
    <w:rsid w:val="00E16F3F"/>
    <w:rsid w:val="00E16FF0"/>
    <w:rsid w:val="00E177CC"/>
    <w:rsid w:val="00E20245"/>
    <w:rsid w:val="00E24E67"/>
    <w:rsid w:val="00E265C2"/>
    <w:rsid w:val="00E33C9A"/>
    <w:rsid w:val="00E34B75"/>
    <w:rsid w:val="00E37E31"/>
    <w:rsid w:val="00E43277"/>
    <w:rsid w:val="00E43CF6"/>
    <w:rsid w:val="00E44C2B"/>
    <w:rsid w:val="00E45E22"/>
    <w:rsid w:val="00E46163"/>
    <w:rsid w:val="00E468F7"/>
    <w:rsid w:val="00E56569"/>
    <w:rsid w:val="00E6041A"/>
    <w:rsid w:val="00E63094"/>
    <w:rsid w:val="00E631D6"/>
    <w:rsid w:val="00E6468D"/>
    <w:rsid w:val="00E65172"/>
    <w:rsid w:val="00E652A1"/>
    <w:rsid w:val="00E65C65"/>
    <w:rsid w:val="00E66E42"/>
    <w:rsid w:val="00E67298"/>
    <w:rsid w:val="00E7504A"/>
    <w:rsid w:val="00E76824"/>
    <w:rsid w:val="00E76A2A"/>
    <w:rsid w:val="00E7716A"/>
    <w:rsid w:val="00E7721E"/>
    <w:rsid w:val="00E77D07"/>
    <w:rsid w:val="00E809B8"/>
    <w:rsid w:val="00E8133B"/>
    <w:rsid w:val="00E8221E"/>
    <w:rsid w:val="00E84888"/>
    <w:rsid w:val="00E85328"/>
    <w:rsid w:val="00E85449"/>
    <w:rsid w:val="00E85474"/>
    <w:rsid w:val="00E86990"/>
    <w:rsid w:val="00E91E91"/>
    <w:rsid w:val="00E96011"/>
    <w:rsid w:val="00E963D3"/>
    <w:rsid w:val="00EA0085"/>
    <w:rsid w:val="00EA1E85"/>
    <w:rsid w:val="00EA36D2"/>
    <w:rsid w:val="00EA4301"/>
    <w:rsid w:val="00EA4B21"/>
    <w:rsid w:val="00EA54ED"/>
    <w:rsid w:val="00EA57B5"/>
    <w:rsid w:val="00EA682E"/>
    <w:rsid w:val="00EA6B9F"/>
    <w:rsid w:val="00EA6C77"/>
    <w:rsid w:val="00EA769D"/>
    <w:rsid w:val="00EB09DB"/>
    <w:rsid w:val="00EB17A0"/>
    <w:rsid w:val="00EB1F7C"/>
    <w:rsid w:val="00EB31EE"/>
    <w:rsid w:val="00EB39E9"/>
    <w:rsid w:val="00EB6B30"/>
    <w:rsid w:val="00EB7F34"/>
    <w:rsid w:val="00EC1E4F"/>
    <w:rsid w:val="00EC2011"/>
    <w:rsid w:val="00EC4223"/>
    <w:rsid w:val="00EC6EAE"/>
    <w:rsid w:val="00EC6FCD"/>
    <w:rsid w:val="00EC704D"/>
    <w:rsid w:val="00ED1097"/>
    <w:rsid w:val="00ED46AD"/>
    <w:rsid w:val="00ED4C29"/>
    <w:rsid w:val="00ED4F11"/>
    <w:rsid w:val="00ED527C"/>
    <w:rsid w:val="00ED5B34"/>
    <w:rsid w:val="00ED5D66"/>
    <w:rsid w:val="00ED7722"/>
    <w:rsid w:val="00ED7EAC"/>
    <w:rsid w:val="00EE0EE2"/>
    <w:rsid w:val="00EE11FB"/>
    <w:rsid w:val="00EE1761"/>
    <w:rsid w:val="00EE7F03"/>
    <w:rsid w:val="00EF1459"/>
    <w:rsid w:val="00EF2B11"/>
    <w:rsid w:val="00EF41AC"/>
    <w:rsid w:val="00EF542B"/>
    <w:rsid w:val="00EF5A2B"/>
    <w:rsid w:val="00EF62DA"/>
    <w:rsid w:val="00F02210"/>
    <w:rsid w:val="00F044EA"/>
    <w:rsid w:val="00F04D47"/>
    <w:rsid w:val="00F05724"/>
    <w:rsid w:val="00F11261"/>
    <w:rsid w:val="00F116E5"/>
    <w:rsid w:val="00F118C4"/>
    <w:rsid w:val="00F121C2"/>
    <w:rsid w:val="00F12283"/>
    <w:rsid w:val="00F12BF1"/>
    <w:rsid w:val="00F14527"/>
    <w:rsid w:val="00F14FD6"/>
    <w:rsid w:val="00F1519A"/>
    <w:rsid w:val="00F15AD7"/>
    <w:rsid w:val="00F20562"/>
    <w:rsid w:val="00F215C9"/>
    <w:rsid w:val="00F218E9"/>
    <w:rsid w:val="00F22BB1"/>
    <w:rsid w:val="00F244AF"/>
    <w:rsid w:val="00F27EB8"/>
    <w:rsid w:val="00F30800"/>
    <w:rsid w:val="00F32606"/>
    <w:rsid w:val="00F32BA5"/>
    <w:rsid w:val="00F37156"/>
    <w:rsid w:val="00F3781A"/>
    <w:rsid w:val="00F37B29"/>
    <w:rsid w:val="00F42E41"/>
    <w:rsid w:val="00F43344"/>
    <w:rsid w:val="00F43995"/>
    <w:rsid w:val="00F44827"/>
    <w:rsid w:val="00F52413"/>
    <w:rsid w:val="00F53985"/>
    <w:rsid w:val="00F5692F"/>
    <w:rsid w:val="00F569B2"/>
    <w:rsid w:val="00F57F35"/>
    <w:rsid w:val="00F632E0"/>
    <w:rsid w:val="00F6541E"/>
    <w:rsid w:val="00F66C87"/>
    <w:rsid w:val="00F707A7"/>
    <w:rsid w:val="00F71AFD"/>
    <w:rsid w:val="00F7408D"/>
    <w:rsid w:val="00F757BB"/>
    <w:rsid w:val="00F761A1"/>
    <w:rsid w:val="00F809E6"/>
    <w:rsid w:val="00F842DC"/>
    <w:rsid w:val="00F870D7"/>
    <w:rsid w:val="00F90996"/>
    <w:rsid w:val="00F926A8"/>
    <w:rsid w:val="00F93BEB"/>
    <w:rsid w:val="00F94E6C"/>
    <w:rsid w:val="00F9515E"/>
    <w:rsid w:val="00FB4552"/>
    <w:rsid w:val="00FB6AA1"/>
    <w:rsid w:val="00FB762D"/>
    <w:rsid w:val="00FC12B8"/>
    <w:rsid w:val="00FC29C5"/>
    <w:rsid w:val="00FC2AF6"/>
    <w:rsid w:val="00FC30B9"/>
    <w:rsid w:val="00FC3D61"/>
    <w:rsid w:val="00FC4353"/>
    <w:rsid w:val="00FC5C5D"/>
    <w:rsid w:val="00FC5E83"/>
    <w:rsid w:val="00FC5EE1"/>
    <w:rsid w:val="00FC6508"/>
    <w:rsid w:val="00FC70A6"/>
    <w:rsid w:val="00FD00F3"/>
    <w:rsid w:val="00FD1BB0"/>
    <w:rsid w:val="00FD2F41"/>
    <w:rsid w:val="00FD54B4"/>
    <w:rsid w:val="00FD5E8E"/>
    <w:rsid w:val="00FD5FDC"/>
    <w:rsid w:val="00FD717B"/>
    <w:rsid w:val="00FE0D64"/>
    <w:rsid w:val="00FE23F2"/>
    <w:rsid w:val="00FE29B7"/>
    <w:rsid w:val="00FE2D6C"/>
    <w:rsid w:val="00FE7155"/>
    <w:rsid w:val="00FF17A2"/>
    <w:rsid w:val="00FF2DDE"/>
    <w:rsid w:val="00FF3561"/>
    <w:rsid w:val="00FF3DC7"/>
    <w:rsid w:val="00FF50D1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EE34F"/>
  <w15:docId w15:val="{FE29BEE3-2E01-422E-BEBC-02DCACAF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C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4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D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4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D7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61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1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16B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27F2C"/>
    <w:pPr>
      <w:spacing w:before="100" w:beforeAutospacing="1" w:after="100" w:afterAutospacing="1"/>
    </w:pPr>
    <w:rPr>
      <w:lang w:val="en-ZW" w:eastAsia="en-ZW"/>
    </w:rPr>
  </w:style>
  <w:style w:type="character" w:styleId="Strong">
    <w:name w:val="Strong"/>
    <w:basedOn w:val="DefaultParagraphFont"/>
    <w:uiPriority w:val="22"/>
    <w:qFormat/>
    <w:rsid w:val="00827F2C"/>
    <w:rPr>
      <w:b/>
      <w:bCs/>
    </w:rPr>
  </w:style>
  <w:style w:type="character" w:styleId="Emphasis">
    <w:name w:val="Emphasis"/>
    <w:basedOn w:val="DefaultParagraphFont"/>
    <w:uiPriority w:val="20"/>
    <w:qFormat/>
    <w:rsid w:val="00827F2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C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F0917-1347-45DF-8FEE-9A1FE344D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jsc-Mujuru</dc:creator>
  <cp:lastModifiedBy>JSC</cp:lastModifiedBy>
  <cp:revision>2</cp:revision>
  <cp:lastPrinted>2023-10-16T09:05:00Z</cp:lastPrinted>
  <dcterms:created xsi:type="dcterms:W3CDTF">2023-10-20T10:22:00Z</dcterms:created>
  <dcterms:modified xsi:type="dcterms:W3CDTF">2023-10-20T10:22:00Z</dcterms:modified>
</cp:coreProperties>
</file>