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FE192D" w:rsidP="00BF142C">
      <w:pPr>
        <w:spacing w:line="360" w:lineRule="auto"/>
        <w:jc w:val="both"/>
        <w:rPr>
          <w:b/>
          <w:sz w:val="28"/>
          <w:szCs w:val="28"/>
        </w:rPr>
      </w:pPr>
      <w:r>
        <w:rPr>
          <w:b/>
          <w:sz w:val="28"/>
          <w:szCs w:val="28"/>
        </w:rPr>
        <w:t>I</w:t>
      </w:r>
      <w:r w:rsidR="00D05FB9">
        <w:rPr>
          <w:b/>
          <w:sz w:val="28"/>
          <w:szCs w:val="28"/>
        </w:rPr>
        <w:t>N THE LABOUR COURT OF ZIMBABWE</w:t>
      </w:r>
      <w:r w:rsidR="00D05FB9">
        <w:rPr>
          <w:b/>
          <w:sz w:val="28"/>
          <w:szCs w:val="28"/>
        </w:rPr>
        <w:tab/>
        <w:t xml:space="preserve">      </w:t>
      </w:r>
      <w:r>
        <w:rPr>
          <w:b/>
          <w:sz w:val="28"/>
          <w:szCs w:val="28"/>
        </w:rPr>
        <w:t>JUDGMENT NO LC/H/</w:t>
      </w:r>
      <w:r w:rsidR="00D05FB9">
        <w:rPr>
          <w:b/>
          <w:sz w:val="28"/>
          <w:szCs w:val="28"/>
        </w:rPr>
        <w:t>717</w:t>
      </w:r>
      <w:r>
        <w:rPr>
          <w:b/>
          <w:sz w:val="28"/>
          <w:szCs w:val="28"/>
        </w:rPr>
        <w:t>/14</w:t>
      </w:r>
    </w:p>
    <w:p w:rsidR="00FE192D" w:rsidRDefault="00FE192D" w:rsidP="00BF142C">
      <w:pPr>
        <w:spacing w:line="360" w:lineRule="auto"/>
        <w:jc w:val="both"/>
        <w:rPr>
          <w:b/>
          <w:sz w:val="28"/>
          <w:szCs w:val="28"/>
        </w:rPr>
      </w:pPr>
      <w:r>
        <w:rPr>
          <w:b/>
          <w:sz w:val="28"/>
          <w:szCs w:val="28"/>
        </w:rPr>
        <w:t>HELD AT HARARE 2</w:t>
      </w:r>
      <w:r w:rsidR="001D4F84">
        <w:rPr>
          <w:b/>
          <w:sz w:val="28"/>
          <w:szCs w:val="28"/>
        </w:rPr>
        <w:t>9</w:t>
      </w:r>
      <w:r w:rsidRPr="00FE192D">
        <w:rPr>
          <w:b/>
          <w:sz w:val="28"/>
          <w:szCs w:val="28"/>
          <w:vertAlign w:val="superscript"/>
        </w:rPr>
        <w:t>TH</w:t>
      </w:r>
      <w:r>
        <w:rPr>
          <w:b/>
          <w:sz w:val="28"/>
          <w:szCs w:val="28"/>
        </w:rPr>
        <w:t xml:space="preserve"> SEPTEMBER 2014 </w:t>
      </w:r>
      <w:r>
        <w:rPr>
          <w:b/>
          <w:sz w:val="28"/>
          <w:szCs w:val="28"/>
        </w:rPr>
        <w:tab/>
      </w:r>
      <w:r>
        <w:rPr>
          <w:b/>
          <w:sz w:val="28"/>
          <w:szCs w:val="28"/>
        </w:rPr>
        <w:tab/>
        <w:t>CASE NO LC/H/284/14</w:t>
      </w:r>
    </w:p>
    <w:p w:rsidR="00FE192D" w:rsidRDefault="00FE192D" w:rsidP="00BF142C">
      <w:pPr>
        <w:spacing w:line="360" w:lineRule="auto"/>
        <w:jc w:val="both"/>
        <w:rPr>
          <w:b/>
          <w:sz w:val="28"/>
          <w:szCs w:val="28"/>
        </w:rPr>
      </w:pPr>
      <w:r>
        <w:rPr>
          <w:b/>
          <w:sz w:val="28"/>
          <w:szCs w:val="28"/>
        </w:rPr>
        <w:t>&amp; 24</w:t>
      </w:r>
      <w:r w:rsidRPr="00FE192D">
        <w:rPr>
          <w:b/>
          <w:sz w:val="28"/>
          <w:szCs w:val="28"/>
          <w:vertAlign w:val="superscript"/>
        </w:rPr>
        <w:t>TH</w:t>
      </w:r>
      <w:r>
        <w:rPr>
          <w:b/>
          <w:sz w:val="28"/>
          <w:szCs w:val="28"/>
        </w:rPr>
        <w:t xml:space="preserve"> OCTOBER 2014 </w:t>
      </w:r>
    </w:p>
    <w:p w:rsidR="00FE192D" w:rsidRDefault="00FE192D" w:rsidP="00BF142C">
      <w:pPr>
        <w:spacing w:line="360" w:lineRule="auto"/>
        <w:jc w:val="both"/>
        <w:rPr>
          <w:b/>
          <w:sz w:val="28"/>
          <w:szCs w:val="28"/>
        </w:rPr>
      </w:pPr>
      <w:r>
        <w:rPr>
          <w:b/>
          <w:sz w:val="28"/>
          <w:szCs w:val="28"/>
        </w:rPr>
        <w:t>TAURAI JASI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FE192D" w:rsidRDefault="00FE192D" w:rsidP="00BF142C">
      <w:pPr>
        <w:spacing w:line="360" w:lineRule="auto"/>
        <w:jc w:val="both"/>
        <w:rPr>
          <w:b/>
          <w:sz w:val="28"/>
          <w:szCs w:val="28"/>
        </w:rPr>
      </w:pPr>
      <w:r>
        <w:rPr>
          <w:b/>
          <w:sz w:val="28"/>
          <w:szCs w:val="28"/>
        </w:rPr>
        <w:t>RICHWOOD SPORTS CLUB</w:t>
      </w:r>
      <w:r>
        <w:rPr>
          <w:b/>
          <w:sz w:val="28"/>
          <w:szCs w:val="28"/>
        </w:rPr>
        <w:tab/>
      </w:r>
      <w:r>
        <w:rPr>
          <w:b/>
          <w:sz w:val="28"/>
          <w:szCs w:val="28"/>
        </w:rPr>
        <w:tab/>
      </w:r>
      <w:r>
        <w:rPr>
          <w:b/>
          <w:sz w:val="28"/>
          <w:szCs w:val="28"/>
        </w:rPr>
        <w:tab/>
      </w:r>
      <w:r>
        <w:rPr>
          <w:b/>
          <w:sz w:val="28"/>
          <w:szCs w:val="28"/>
        </w:rPr>
        <w:tab/>
        <w:t>Respondent</w:t>
      </w:r>
    </w:p>
    <w:p w:rsidR="00FE192D" w:rsidRDefault="00FE192D" w:rsidP="00BF142C">
      <w:pPr>
        <w:spacing w:line="360" w:lineRule="auto"/>
        <w:jc w:val="both"/>
        <w:rPr>
          <w:sz w:val="28"/>
          <w:szCs w:val="28"/>
        </w:rPr>
      </w:pPr>
      <w:r>
        <w:rPr>
          <w:sz w:val="28"/>
          <w:szCs w:val="28"/>
        </w:rPr>
        <w:t>Before The Honourable G Musariri, Judge</w:t>
      </w:r>
    </w:p>
    <w:p w:rsidR="00FE192D" w:rsidRDefault="00FE192D" w:rsidP="00BF142C">
      <w:pPr>
        <w:spacing w:line="360" w:lineRule="auto"/>
        <w:jc w:val="both"/>
        <w:rPr>
          <w:b/>
          <w:sz w:val="28"/>
          <w:szCs w:val="28"/>
        </w:rPr>
      </w:pPr>
      <w:r>
        <w:rPr>
          <w:b/>
          <w:sz w:val="28"/>
          <w:szCs w:val="28"/>
        </w:rPr>
        <w:t>For Appellant</w:t>
      </w:r>
      <w:r>
        <w:rPr>
          <w:b/>
          <w:sz w:val="28"/>
          <w:szCs w:val="28"/>
        </w:rPr>
        <w:tab/>
      </w:r>
      <w:r>
        <w:rPr>
          <w:b/>
          <w:sz w:val="28"/>
          <w:szCs w:val="28"/>
        </w:rPr>
        <w:tab/>
        <w:t>Mr G Sithole, Attorney</w:t>
      </w:r>
    </w:p>
    <w:p w:rsidR="00FE192D" w:rsidRDefault="00FE192D" w:rsidP="00BF142C">
      <w:pPr>
        <w:spacing w:line="360" w:lineRule="auto"/>
        <w:jc w:val="both"/>
        <w:rPr>
          <w:b/>
          <w:sz w:val="28"/>
          <w:szCs w:val="28"/>
        </w:rPr>
      </w:pPr>
      <w:r>
        <w:rPr>
          <w:b/>
          <w:sz w:val="28"/>
          <w:szCs w:val="28"/>
        </w:rPr>
        <w:t>For Respondent</w:t>
      </w:r>
      <w:r>
        <w:rPr>
          <w:b/>
          <w:sz w:val="28"/>
          <w:szCs w:val="28"/>
        </w:rPr>
        <w:tab/>
      </w:r>
      <w:r>
        <w:rPr>
          <w:b/>
          <w:sz w:val="28"/>
          <w:szCs w:val="28"/>
        </w:rPr>
        <w:tab/>
        <w:t>Mr A Gurira, Attorney</w:t>
      </w:r>
    </w:p>
    <w:p w:rsidR="00BF142C" w:rsidRDefault="00BF142C" w:rsidP="00BF142C">
      <w:pPr>
        <w:spacing w:line="360" w:lineRule="auto"/>
        <w:jc w:val="both"/>
        <w:rPr>
          <w:b/>
          <w:sz w:val="28"/>
          <w:szCs w:val="28"/>
        </w:rPr>
      </w:pPr>
    </w:p>
    <w:p w:rsidR="00BF142C" w:rsidRDefault="00BF142C" w:rsidP="00BF142C">
      <w:pPr>
        <w:spacing w:line="360" w:lineRule="auto"/>
        <w:jc w:val="both"/>
        <w:rPr>
          <w:b/>
          <w:sz w:val="28"/>
          <w:szCs w:val="28"/>
        </w:rPr>
      </w:pPr>
      <w:r>
        <w:rPr>
          <w:b/>
          <w:sz w:val="28"/>
          <w:szCs w:val="28"/>
        </w:rPr>
        <w:t>MUSARIRI, J:</w:t>
      </w:r>
    </w:p>
    <w:p w:rsidR="00BF142C" w:rsidRDefault="00BF142C" w:rsidP="00BF142C">
      <w:pPr>
        <w:spacing w:line="360" w:lineRule="auto"/>
        <w:jc w:val="both"/>
        <w:rPr>
          <w:sz w:val="28"/>
          <w:szCs w:val="28"/>
        </w:rPr>
      </w:pPr>
      <w:r>
        <w:rPr>
          <w:b/>
          <w:sz w:val="28"/>
          <w:szCs w:val="28"/>
        </w:rPr>
        <w:tab/>
      </w:r>
      <w:r>
        <w:rPr>
          <w:sz w:val="28"/>
          <w:szCs w:val="28"/>
        </w:rPr>
        <w:t>Appellant appealed to this Court against an arbitration award made in favour of respondent.  The award dismissed appellant’s claim of unfair dismissal by respondent.  The basis of the award was that respondent</w:t>
      </w:r>
      <w:r w:rsidR="00F02EB8">
        <w:rPr>
          <w:sz w:val="28"/>
          <w:szCs w:val="28"/>
        </w:rPr>
        <w:t>,</w:t>
      </w:r>
      <w:r>
        <w:rPr>
          <w:sz w:val="28"/>
          <w:szCs w:val="28"/>
        </w:rPr>
        <w:t xml:space="preserve"> having alienated i</w:t>
      </w:r>
      <w:r w:rsidR="00F02EB8">
        <w:rPr>
          <w:sz w:val="28"/>
          <w:szCs w:val="28"/>
        </w:rPr>
        <w:t>ts business to a third party, a</w:t>
      </w:r>
      <w:r>
        <w:rPr>
          <w:sz w:val="28"/>
          <w:szCs w:val="28"/>
        </w:rPr>
        <w:t>ppellant had sued the wrong party.  Appellant’s</w:t>
      </w:r>
      <w:r w:rsidR="006A31F6">
        <w:rPr>
          <w:sz w:val="28"/>
          <w:szCs w:val="28"/>
        </w:rPr>
        <w:t xml:space="preserve"> case was that there was no transfer of an undertaking.</w:t>
      </w:r>
    </w:p>
    <w:p w:rsidR="006A31F6" w:rsidRDefault="006A31F6" w:rsidP="00BF142C">
      <w:pPr>
        <w:spacing w:line="360" w:lineRule="auto"/>
        <w:jc w:val="both"/>
        <w:rPr>
          <w:sz w:val="28"/>
          <w:szCs w:val="28"/>
        </w:rPr>
      </w:pPr>
      <w:r>
        <w:rPr>
          <w:sz w:val="28"/>
          <w:szCs w:val="28"/>
        </w:rPr>
        <w:tab/>
        <w:t>Alternatively appellant arg</w:t>
      </w:r>
      <w:r w:rsidR="00F02EB8">
        <w:rPr>
          <w:sz w:val="28"/>
          <w:szCs w:val="28"/>
        </w:rPr>
        <w:t>ued that he was entitled to recours</w:t>
      </w:r>
      <w:r>
        <w:rPr>
          <w:sz w:val="28"/>
          <w:szCs w:val="28"/>
        </w:rPr>
        <w:t>e against</w:t>
      </w:r>
      <w:r w:rsidR="00F02EB8">
        <w:rPr>
          <w:sz w:val="28"/>
          <w:szCs w:val="28"/>
        </w:rPr>
        <w:t xml:space="preserve"> the ret</w:t>
      </w:r>
      <w:r>
        <w:rPr>
          <w:sz w:val="28"/>
          <w:szCs w:val="28"/>
        </w:rPr>
        <w:t>i</w:t>
      </w:r>
      <w:r w:rsidR="00F02EB8">
        <w:rPr>
          <w:sz w:val="28"/>
          <w:szCs w:val="28"/>
        </w:rPr>
        <w:t>r</w:t>
      </w:r>
      <w:r>
        <w:rPr>
          <w:sz w:val="28"/>
          <w:szCs w:val="28"/>
        </w:rPr>
        <w:t>ing</w:t>
      </w:r>
      <w:r w:rsidR="00F02EB8">
        <w:rPr>
          <w:sz w:val="28"/>
          <w:szCs w:val="28"/>
        </w:rPr>
        <w:t xml:space="preserve"> employer</w:t>
      </w:r>
      <w:r>
        <w:rPr>
          <w:sz w:val="28"/>
          <w:szCs w:val="28"/>
        </w:rPr>
        <w:t xml:space="preserve"> in terms of the </w:t>
      </w:r>
      <w:r>
        <w:rPr>
          <w:sz w:val="28"/>
          <w:szCs w:val="28"/>
          <w:u w:val="single"/>
        </w:rPr>
        <w:t>Labour Act</w:t>
      </w:r>
      <w:r>
        <w:rPr>
          <w:sz w:val="28"/>
          <w:szCs w:val="28"/>
        </w:rPr>
        <w:t xml:space="preserve"> [Chapter 28:01]</w:t>
      </w:r>
      <w:r w:rsidR="00F02EB8">
        <w:rPr>
          <w:sz w:val="28"/>
          <w:szCs w:val="28"/>
        </w:rPr>
        <w:t xml:space="preserve"> (hereafter called the Act)</w:t>
      </w:r>
      <w:r>
        <w:rPr>
          <w:sz w:val="28"/>
          <w:szCs w:val="28"/>
        </w:rPr>
        <w:t>.  Filed of record are various documents setting</w:t>
      </w:r>
      <w:r w:rsidR="00DF3919">
        <w:rPr>
          <w:sz w:val="28"/>
          <w:szCs w:val="28"/>
        </w:rPr>
        <w:t xml:space="preserve"> </w:t>
      </w:r>
      <w:r w:rsidR="00F02EB8">
        <w:rPr>
          <w:sz w:val="28"/>
          <w:szCs w:val="28"/>
        </w:rPr>
        <w:t xml:space="preserve">out </w:t>
      </w:r>
      <w:r w:rsidR="00DF3919">
        <w:rPr>
          <w:sz w:val="28"/>
          <w:szCs w:val="28"/>
        </w:rPr>
        <w:t>the transaction</w:t>
      </w:r>
      <w:r w:rsidR="00F02EB8">
        <w:rPr>
          <w:sz w:val="28"/>
          <w:szCs w:val="28"/>
        </w:rPr>
        <w:t>s</w:t>
      </w:r>
      <w:r w:rsidR="00DF3919">
        <w:rPr>
          <w:sz w:val="28"/>
          <w:szCs w:val="28"/>
        </w:rPr>
        <w:t xml:space="preserve"> between the relevant players.  Firstly there is the agreement of</w:t>
      </w:r>
      <w:r w:rsidR="00F02EB8">
        <w:rPr>
          <w:sz w:val="28"/>
          <w:szCs w:val="28"/>
        </w:rPr>
        <w:t xml:space="preserve"> sale of</w:t>
      </w:r>
      <w:r w:rsidR="00DF3919">
        <w:rPr>
          <w:sz w:val="28"/>
          <w:szCs w:val="28"/>
        </w:rPr>
        <w:t xml:space="preserve"> “Richwood kitchen”.  The agreement spelt out that</w:t>
      </w:r>
      <w:r w:rsidR="00F02EB8">
        <w:rPr>
          <w:sz w:val="28"/>
          <w:szCs w:val="28"/>
        </w:rPr>
        <w:t>,</w:t>
      </w:r>
    </w:p>
    <w:p w:rsidR="00DF3919" w:rsidRDefault="00DF3919" w:rsidP="00BF142C">
      <w:pPr>
        <w:spacing w:line="360" w:lineRule="auto"/>
        <w:jc w:val="both"/>
        <w:rPr>
          <w:sz w:val="24"/>
          <w:szCs w:val="24"/>
        </w:rPr>
      </w:pPr>
      <w:r>
        <w:rPr>
          <w:sz w:val="28"/>
          <w:szCs w:val="28"/>
        </w:rPr>
        <w:tab/>
      </w:r>
      <w:r>
        <w:rPr>
          <w:sz w:val="24"/>
          <w:szCs w:val="24"/>
        </w:rPr>
        <w:t>“2.</w:t>
      </w:r>
      <w:r>
        <w:rPr>
          <w:sz w:val="24"/>
          <w:szCs w:val="24"/>
        </w:rPr>
        <w:tab/>
        <w:t>The kitchen will be sold to the buyer as a going concern.”</w:t>
      </w:r>
    </w:p>
    <w:p w:rsidR="00DF3919" w:rsidRDefault="00DF3919" w:rsidP="00BF142C">
      <w:pPr>
        <w:spacing w:line="360" w:lineRule="auto"/>
        <w:jc w:val="both"/>
        <w:rPr>
          <w:sz w:val="28"/>
          <w:szCs w:val="28"/>
        </w:rPr>
      </w:pPr>
      <w:r>
        <w:rPr>
          <w:sz w:val="24"/>
          <w:szCs w:val="24"/>
        </w:rPr>
        <w:lastRenderedPageBreak/>
        <w:tab/>
      </w:r>
      <w:r>
        <w:rPr>
          <w:sz w:val="28"/>
          <w:szCs w:val="28"/>
        </w:rPr>
        <w:t>Then there is a memorandum dated 26 May 2012 from the General Manager to all employees.</w:t>
      </w:r>
    </w:p>
    <w:p w:rsidR="00DF3919" w:rsidRDefault="00DF3919" w:rsidP="00BF142C">
      <w:pPr>
        <w:spacing w:line="360" w:lineRule="auto"/>
        <w:jc w:val="both"/>
        <w:rPr>
          <w:sz w:val="28"/>
          <w:szCs w:val="28"/>
        </w:rPr>
      </w:pPr>
      <w:r>
        <w:rPr>
          <w:sz w:val="28"/>
          <w:szCs w:val="28"/>
        </w:rPr>
        <w:tab/>
        <w:t>It declared that,</w:t>
      </w:r>
    </w:p>
    <w:p w:rsidR="00DF3919" w:rsidRDefault="00DF3919" w:rsidP="00DF3919">
      <w:pPr>
        <w:spacing w:after="0" w:line="240" w:lineRule="auto"/>
        <w:ind w:left="720"/>
        <w:jc w:val="both"/>
        <w:rPr>
          <w:sz w:val="28"/>
          <w:szCs w:val="28"/>
        </w:rPr>
      </w:pPr>
      <w:r>
        <w:rPr>
          <w:sz w:val="24"/>
          <w:szCs w:val="24"/>
        </w:rPr>
        <w:t>“Please note that the kitchen has been sold to new owners.  They will start operations on the 1 June 2012.</w:t>
      </w:r>
    </w:p>
    <w:p w:rsidR="00DF3919" w:rsidRPr="00F02EB8" w:rsidRDefault="00DF3919" w:rsidP="00DF3919">
      <w:pPr>
        <w:spacing w:after="0" w:line="240" w:lineRule="auto"/>
        <w:ind w:left="720"/>
        <w:jc w:val="both"/>
        <w:rPr>
          <w:sz w:val="24"/>
          <w:szCs w:val="24"/>
        </w:rPr>
      </w:pPr>
      <w:r w:rsidRPr="00F02EB8">
        <w:rPr>
          <w:sz w:val="24"/>
          <w:szCs w:val="24"/>
        </w:rPr>
        <w:t>All kitchen staff will be transferred to the new owners.</w:t>
      </w:r>
    </w:p>
    <w:p w:rsidR="00DF3919" w:rsidRPr="00F02EB8" w:rsidRDefault="00DF3919" w:rsidP="00DF3919">
      <w:pPr>
        <w:spacing w:after="0" w:line="240" w:lineRule="auto"/>
        <w:ind w:left="720"/>
        <w:jc w:val="both"/>
        <w:rPr>
          <w:sz w:val="24"/>
          <w:szCs w:val="24"/>
        </w:rPr>
      </w:pPr>
      <w:r w:rsidRPr="00F02EB8">
        <w:rPr>
          <w:sz w:val="24"/>
          <w:szCs w:val="24"/>
        </w:rPr>
        <w:t>Regards.”</w:t>
      </w:r>
    </w:p>
    <w:p w:rsidR="00DF3919" w:rsidRDefault="00DF3919" w:rsidP="00DF3919">
      <w:pPr>
        <w:spacing w:after="0" w:line="240" w:lineRule="auto"/>
        <w:ind w:left="720"/>
        <w:jc w:val="both"/>
        <w:rPr>
          <w:sz w:val="28"/>
          <w:szCs w:val="28"/>
        </w:rPr>
      </w:pPr>
    </w:p>
    <w:p w:rsidR="00DF3919" w:rsidRDefault="00DF3919" w:rsidP="00DF3919">
      <w:pPr>
        <w:spacing w:after="0" w:line="360" w:lineRule="auto"/>
        <w:jc w:val="both"/>
        <w:rPr>
          <w:sz w:val="28"/>
          <w:szCs w:val="28"/>
        </w:rPr>
      </w:pPr>
      <w:r>
        <w:rPr>
          <w:sz w:val="28"/>
          <w:szCs w:val="28"/>
        </w:rPr>
        <w:tab/>
        <w:t xml:space="preserve">The two documents show an intention to alienate an undertaking or part thereof to a new owner.  This was confirmed by the new owner’s statement dated 7 September 2012 where she admitted, </w:t>
      </w:r>
    </w:p>
    <w:p w:rsidR="00DF3919" w:rsidRDefault="00DF3919" w:rsidP="00DF3919">
      <w:pPr>
        <w:spacing w:after="0" w:line="360" w:lineRule="auto"/>
        <w:jc w:val="both"/>
        <w:rPr>
          <w:sz w:val="24"/>
          <w:szCs w:val="24"/>
        </w:rPr>
      </w:pPr>
      <w:r>
        <w:rPr>
          <w:sz w:val="28"/>
          <w:szCs w:val="28"/>
        </w:rPr>
        <w:tab/>
      </w:r>
      <w:r>
        <w:rPr>
          <w:sz w:val="24"/>
          <w:szCs w:val="24"/>
        </w:rPr>
        <w:t>“I took over the running of Richwood Sports Club kitchen on 13 June 2012...”</w:t>
      </w:r>
    </w:p>
    <w:p w:rsidR="00DF3919" w:rsidRDefault="00DF3919" w:rsidP="00DF3919">
      <w:pPr>
        <w:spacing w:after="0" w:line="360" w:lineRule="auto"/>
        <w:jc w:val="both"/>
        <w:rPr>
          <w:sz w:val="24"/>
          <w:szCs w:val="24"/>
        </w:rPr>
      </w:pPr>
    </w:p>
    <w:p w:rsidR="00DF3919" w:rsidRDefault="00DF3919" w:rsidP="00DF3919">
      <w:pPr>
        <w:spacing w:after="0" w:line="360" w:lineRule="auto"/>
        <w:jc w:val="both"/>
        <w:rPr>
          <w:sz w:val="28"/>
          <w:szCs w:val="28"/>
        </w:rPr>
      </w:pPr>
      <w:r>
        <w:rPr>
          <w:sz w:val="24"/>
          <w:szCs w:val="24"/>
        </w:rPr>
        <w:tab/>
      </w:r>
      <w:r>
        <w:rPr>
          <w:sz w:val="28"/>
          <w:szCs w:val="28"/>
        </w:rPr>
        <w:t>How</w:t>
      </w:r>
      <w:r w:rsidR="00E70D81">
        <w:rPr>
          <w:sz w:val="28"/>
          <w:szCs w:val="28"/>
        </w:rPr>
        <w:t>ever she sought to dissociate herself from the dispute by declaring that,</w:t>
      </w:r>
    </w:p>
    <w:p w:rsidR="00E70D81" w:rsidRDefault="00F35852" w:rsidP="00F35852">
      <w:pPr>
        <w:spacing w:after="0" w:line="240" w:lineRule="auto"/>
        <w:ind w:left="720"/>
        <w:jc w:val="both"/>
        <w:rPr>
          <w:sz w:val="24"/>
          <w:szCs w:val="24"/>
        </w:rPr>
      </w:pPr>
      <w:r>
        <w:rPr>
          <w:sz w:val="24"/>
          <w:szCs w:val="24"/>
        </w:rPr>
        <w:t>“I was given an option to carry on with them (employees), if I wanted to, with new contracts or to let them go.  I feel that he should also have addressed the employees about their terminal benefits.  I feel strongly that those benefits surely cannot be paid by myself in this regard.”</w:t>
      </w:r>
    </w:p>
    <w:p w:rsidR="00F35852" w:rsidRDefault="00F35852" w:rsidP="00F35852">
      <w:pPr>
        <w:spacing w:after="0" w:line="240" w:lineRule="auto"/>
        <w:ind w:left="720"/>
        <w:jc w:val="both"/>
        <w:rPr>
          <w:sz w:val="24"/>
          <w:szCs w:val="24"/>
        </w:rPr>
      </w:pPr>
    </w:p>
    <w:p w:rsidR="00F35852" w:rsidRDefault="00F35852" w:rsidP="00F35852">
      <w:pPr>
        <w:spacing w:after="0" w:line="360" w:lineRule="auto"/>
        <w:jc w:val="both"/>
        <w:rPr>
          <w:sz w:val="28"/>
          <w:szCs w:val="28"/>
        </w:rPr>
      </w:pPr>
      <w:r>
        <w:rPr>
          <w:sz w:val="28"/>
          <w:szCs w:val="28"/>
        </w:rPr>
        <w:tab/>
        <w:t>Despite her denial of liability, the new owner clearly admitted taking over the employees on the 13 June 2012.</w:t>
      </w:r>
    </w:p>
    <w:p w:rsidR="00F35852" w:rsidRDefault="00F35852" w:rsidP="00F35852">
      <w:pPr>
        <w:spacing w:after="0" w:line="360" w:lineRule="auto"/>
        <w:jc w:val="both"/>
        <w:rPr>
          <w:sz w:val="28"/>
          <w:szCs w:val="28"/>
        </w:rPr>
      </w:pPr>
    </w:p>
    <w:p w:rsidR="00F35852" w:rsidRDefault="00F35852" w:rsidP="00F35852">
      <w:pPr>
        <w:spacing w:after="0" w:line="360" w:lineRule="auto"/>
        <w:jc w:val="both"/>
        <w:rPr>
          <w:sz w:val="28"/>
          <w:szCs w:val="28"/>
        </w:rPr>
      </w:pPr>
      <w:r>
        <w:rPr>
          <w:sz w:val="28"/>
          <w:szCs w:val="28"/>
        </w:rPr>
        <w:tab/>
        <w:t>Ordinarily an employee in these circumstances should enforce his rights under the employment contract against the new owner.  However respondent argued that</w:t>
      </w:r>
      <w:r w:rsidR="00F02EB8">
        <w:rPr>
          <w:sz w:val="28"/>
          <w:szCs w:val="28"/>
        </w:rPr>
        <w:t xml:space="preserve"> the position</w:t>
      </w:r>
      <w:r>
        <w:rPr>
          <w:sz w:val="28"/>
          <w:szCs w:val="28"/>
        </w:rPr>
        <w:t xml:space="preserve"> is now determined by the provisions of section 16 (2)  of the Act which provide that</w:t>
      </w:r>
    </w:p>
    <w:p w:rsidR="00F35852" w:rsidRDefault="00F35852" w:rsidP="00F35852">
      <w:pPr>
        <w:spacing w:after="0" w:line="240" w:lineRule="auto"/>
        <w:jc w:val="both"/>
        <w:rPr>
          <w:sz w:val="24"/>
          <w:szCs w:val="24"/>
        </w:rPr>
      </w:pPr>
      <w:r>
        <w:rPr>
          <w:sz w:val="28"/>
          <w:szCs w:val="28"/>
        </w:rPr>
        <w:tab/>
      </w:r>
      <w:r>
        <w:rPr>
          <w:sz w:val="24"/>
          <w:szCs w:val="24"/>
        </w:rPr>
        <w:t>“(2)</w:t>
      </w:r>
      <w:r>
        <w:rPr>
          <w:sz w:val="24"/>
          <w:szCs w:val="24"/>
        </w:rPr>
        <w:tab/>
        <w:t>Nothing in subsection (1) shall be deemed –</w:t>
      </w:r>
    </w:p>
    <w:p w:rsidR="00F35852" w:rsidRDefault="00F35852" w:rsidP="00F35852">
      <w:pPr>
        <w:spacing w:after="0" w:line="240" w:lineRule="auto"/>
        <w:jc w:val="both"/>
        <w:rPr>
          <w:sz w:val="24"/>
          <w:szCs w:val="24"/>
        </w:rPr>
      </w:pPr>
      <w:r>
        <w:rPr>
          <w:sz w:val="24"/>
          <w:szCs w:val="24"/>
        </w:rPr>
        <w:tab/>
        <w:t>(a)</w:t>
      </w:r>
      <w:r w:rsidR="00F02EB8">
        <w:rPr>
          <w:sz w:val="24"/>
          <w:szCs w:val="24"/>
        </w:rPr>
        <w:t>....</w:t>
      </w:r>
    </w:p>
    <w:p w:rsidR="00F35852" w:rsidRDefault="00F35852" w:rsidP="00F35852">
      <w:pPr>
        <w:spacing w:after="0" w:line="240" w:lineRule="auto"/>
        <w:jc w:val="both"/>
        <w:rPr>
          <w:sz w:val="24"/>
          <w:szCs w:val="24"/>
        </w:rPr>
      </w:pPr>
      <w:r>
        <w:rPr>
          <w:sz w:val="24"/>
          <w:szCs w:val="24"/>
        </w:rPr>
        <w:tab/>
        <w:t>(b)</w:t>
      </w:r>
      <w:r w:rsidR="00F02EB8">
        <w:rPr>
          <w:sz w:val="24"/>
          <w:szCs w:val="24"/>
        </w:rPr>
        <w:t>....</w:t>
      </w:r>
    </w:p>
    <w:p w:rsidR="00F35852" w:rsidRDefault="00F35852" w:rsidP="00F35852">
      <w:pPr>
        <w:spacing w:after="0" w:line="240" w:lineRule="auto"/>
        <w:jc w:val="both"/>
        <w:rPr>
          <w:sz w:val="24"/>
          <w:szCs w:val="24"/>
        </w:rPr>
      </w:pPr>
      <w:r>
        <w:rPr>
          <w:sz w:val="24"/>
          <w:szCs w:val="24"/>
        </w:rPr>
        <w:tab/>
        <w:t xml:space="preserve">(c) </w:t>
      </w:r>
      <w:r>
        <w:rPr>
          <w:sz w:val="24"/>
          <w:szCs w:val="24"/>
        </w:rPr>
        <w:tab/>
        <w:t xml:space="preserve">to affect the </w:t>
      </w:r>
      <w:r>
        <w:rPr>
          <w:sz w:val="24"/>
          <w:szCs w:val="24"/>
          <w:u w:val="single"/>
        </w:rPr>
        <w:t xml:space="preserve">rights of employees </w:t>
      </w:r>
      <w:r>
        <w:rPr>
          <w:sz w:val="24"/>
          <w:szCs w:val="24"/>
        </w:rPr>
        <w:t xml:space="preserve"> concerned </w:t>
      </w:r>
      <w:r>
        <w:rPr>
          <w:sz w:val="24"/>
          <w:szCs w:val="24"/>
          <w:u w:val="single"/>
        </w:rPr>
        <w:t>which they could</w:t>
      </w:r>
      <w:r w:rsidRPr="00F35852">
        <w:rPr>
          <w:sz w:val="24"/>
          <w:szCs w:val="24"/>
        </w:rPr>
        <w:t xml:space="preserve"> </w:t>
      </w:r>
      <w:r w:rsidRPr="00F35852">
        <w:rPr>
          <w:sz w:val="24"/>
          <w:szCs w:val="24"/>
          <w:u w:val="single"/>
        </w:rPr>
        <w:t>have enforced</w:t>
      </w:r>
      <w:r>
        <w:rPr>
          <w:sz w:val="24"/>
          <w:szCs w:val="24"/>
        </w:rPr>
        <w:t xml:space="preserve"> </w:t>
      </w:r>
      <w:r>
        <w:rPr>
          <w:sz w:val="24"/>
          <w:szCs w:val="24"/>
        </w:rPr>
        <w:tab/>
      </w:r>
      <w:r>
        <w:rPr>
          <w:sz w:val="24"/>
          <w:szCs w:val="24"/>
        </w:rPr>
        <w:tab/>
      </w:r>
      <w:r w:rsidRPr="00F02EB8">
        <w:rPr>
          <w:sz w:val="24"/>
          <w:szCs w:val="24"/>
        </w:rPr>
        <w:t xml:space="preserve">against the person who employed them immediately </w:t>
      </w:r>
      <w:r>
        <w:rPr>
          <w:sz w:val="24"/>
          <w:szCs w:val="24"/>
          <w:u w:val="single"/>
        </w:rPr>
        <w:t>before the transfer</w:t>
      </w:r>
      <w:r>
        <w:rPr>
          <w:sz w:val="24"/>
          <w:szCs w:val="24"/>
        </w:rPr>
        <w:t xml:space="preserve">, </w:t>
      </w:r>
    </w:p>
    <w:p w:rsidR="00F35852" w:rsidRDefault="00F35852" w:rsidP="00F35852">
      <w:pPr>
        <w:spacing w:after="0" w:line="240" w:lineRule="auto"/>
        <w:ind w:left="1440"/>
        <w:jc w:val="both"/>
        <w:rPr>
          <w:sz w:val="24"/>
          <w:szCs w:val="24"/>
        </w:rPr>
      </w:pPr>
      <w:r>
        <w:rPr>
          <w:sz w:val="24"/>
          <w:szCs w:val="24"/>
        </w:rPr>
        <w:lastRenderedPageBreak/>
        <w:t xml:space="preserve">and such rights may </w:t>
      </w:r>
      <w:r w:rsidR="00F02EB8">
        <w:rPr>
          <w:sz w:val="24"/>
          <w:szCs w:val="24"/>
        </w:rPr>
        <w:t>be enforced against the employer</w:t>
      </w:r>
      <w:r>
        <w:rPr>
          <w:sz w:val="24"/>
          <w:szCs w:val="24"/>
        </w:rPr>
        <w:t xml:space="preserve"> or the person to whom the undertaking</w:t>
      </w:r>
      <w:r w:rsidR="00B222A6">
        <w:rPr>
          <w:sz w:val="24"/>
          <w:szCs w:val="24"/>
        </w:rPr>
        <w:t xml:space="preserve"> has been transferred or against both such persons at any time prior to, on or after the transfer.”</w:t>
      </w:r>
    </w:p>
    <w:p w:rsidR="00B222A6" w:rsidRDefault="00B222A6" w:rsidP="00F35852">
      <w:pPr>
        <w:spacing w:after="0" w:line="240" w:lineRule="auto"/>
        <w:ind w:left="1440"/>
        <w:jc w:val="both"/>
        <w:rPr>
          <w:sz w:val="24"/>
          <w:szCs w:val="24"/>
        </w:rPr>
      </w:pPr>
      <w:r>
        <w:rPr>
          <w:sz w:val="24"/>
          <w:szCs w:val="24"/>
        </w:rPr>
        <w:t>(The underlining is for emphasis.)</w:t>
      </w:r>
    </w:p>
    <w:p w:rsidR="00B222A6" w:rsidRDefault="00B222A6" w:rsidP="00B222A6">
      <w:pPr>
        <w:spacing w:after="0" w:line="240" w:lineRule="auto"/>
        <w:jc w:val="both"/>
        <w:rPr>
          <w:sz w:val="24"/>
          <w:szCs w:val="24"/>
        </w:rPr>
      </w:pPr>
    </w:p>
    <w:p w:rsidR="00B222A6" w:rsidRDefault="00B222A6" w:rsidP="00B222A6">
      <w:pPr>
        <w:spacing w:after="0" w:line="360" w:lineRule="auto"/>
        <w:jc w:val="both"/>
        <w:rPr>
          <w:sz w:val="28"/>
          <w:szCs w:val="28"/>
          <w:u w:val="single"/>
        </w:rPr>
      </w:pPr>
      <w:r>
        <w:rPr>
          <w:sz w:val="24"/>
          <w:szCs w:val="24"/>
        </w:rPr>
        <w:tab/>
      </w:r>
      <w:r>
        <w:rPr>
          <w:sz w:val="28"/>
          <w:szCs w:val="28"/>
        </w:rPr>
        <w:t xml:space="preserve">The underlined excerpt from the Act clearly shows that the rights which can be enforced against the retiring employer are those that that arose </w:t>
      </w:r>
      <w:r w:rsidRPr="00B222A6">
        <w:rPr>
          <w:sz w:val="28"/>
          <w:szCs w:val="28"/>
          <w:u w:val="single"/>
        </w:rPr>
        <w:t>before</w:t>
      </w:r>
    </w:p>
    <w:p w:rsidR="00B222A6" w:rsidRDefault="00F02EB8" w:rsidP="00B222A6">
      <w:pPr>
        <w:spacing w:after="0" w:line="360" w:lineRule="auto"/>
        <w:jc w:val="both"/>
        <w:rPr>
          <w:sz w:val="28"/>
          <w:szCs w:val="28"/>
        </w:rPr>
      </w:pPr>
      <w:r>
        <w:rPr>
          <w:sz w:val="28"/>
          <w:szCs w:val="28"/>
          <w:u w:val="single"/>
        </w:rPr>
        <w:t>t</w:t>
      </w:r>
      <w:r w:rsidR="00B222A6">
        <w:rPr>
          <w:sz w:val="28"/>
          <w:szCs w:val="28"/>
          <w:u w:val="single"/>
        </w:rPr>
        <w:t>he transfer</w:t>
      </w:r>
      <w:r w:rsidR="00B222A6">
        <w:rPr>
          <w:sz w:val="28"/>
          <w:szCs w:val="28"/>
        </w:rPr>
        <w:t xml:space="preserve">.  The dismissal </w:t>
      </w:r>
      <w:r w:rsidR="00B222A6">
        <w:rPr>
          <w:sz w:val="28"/>
          <w:szCs w:val="28"/>
          <w:u w:val="single"/>
        </w:rPr>
        <w:t>in</w:t>
      </w:r>
      <w:r w:rsidR="00B222A6">
        <w:rPr>
          <w:sz w:val="28"/>
          <w:szCs w:val="28"/>
        </w:rPr>
        <w:t xml:space="preserve"> </w:t>
      </w:r>
      <w:r w:rsidR="00B222A6">
        <w:rPr>
          <w:sz w:val="28"/>
          <w:szCs w:val="28"/>
          <w:u w:val="single"/>
        </w:rPr>
        <w:t>casu</w:t>
      </w:r>
      <w:r w:rsidR="00B222A6">
        <w:rPr>
          <w:sz w:val="28"/>
          <w:szCs w:val="28"/>
        </w:rPr>
        <w:t xml:space="preserve"> arose after the transfer.  It is the new employer who believed, rightly or wrongly</w:t>
      </w:r>
      <w:r w:rsidR="00D05FB9">
        <w:rPr>
          <w:sz w:val="28"/>
          <w:szCs w:val="28"/>
        </w:rPr>
        <w:t>,</w:t>
      </w:r>
      <w:r w:rsidR="00B222A6">
        <w:rPr>
          <w:sz w:val="28"/>
          <w:szCs w:val="28"/>
        </w:rPr>
        <w:t xml:space="preserve"> that she could dispense with the employees’ service at the end of June 2012.</w:t>
      </w:r>
    </w:p>
    <w:p w:rsidR="00B222A6" w:rsidRDefault="00B222A6" w:rsidP="00B222A6">
      <w:pPr>
        <w:spacing w:after="0" w:line="360" w:lineRule="auto"/>
        <w:jc w:val="both"/>
        <w:rPr>
          <w:sz w:val="28"/>
          <w:szCs w:val="28"/>
        </w:rPr>
      </w:pPr>
      <w:r>
        <w:rPr>
          <w:sz w:val="28"/>
          <w:szCs w:val="28"/>
        </w:rPr>
        <w:tab/>
      </w:r>
    </w:p>
    <w:p w:rsidR="00B222A6" w:rsidRDefault="00B222A6" w:rsidP="00B222A6">
      <w:pPr>
        <w:spacing w:after="0" w:line="360" w:lineRule="auto"/>
        <w:jc w:val="both"/>
        <w:rPr>
          <w:sz w:val="28"/>
          <w:szCs w:val="28"/>
        </w:rPr>
      </w:pPr>
      <w:r>
        <w:rPr>
          <w:sz w:val="28"/>
          <w:szCs w:val="28"/>
        </w:rPr>
        <w:tab/>
        <w:t xml:space="preserve">Accordingly </w:t>
      </w:r>
      <w:r w:rsidR="0062400F">
        <w:rPr>
          <w:sz w:val="28"/>
          <w:szCs w:val="28"/>
        </w:rPr>
        <w:t>I</w:t>
      </w:r>
      <w:r>
        <w:rPr>
          <w:sz w:val="28"/>
          <w:szCs w:val="28"/>
        </w:rPr>
        <w:t xml:space="preserve"> agree with the arbitrator that appellant sued the wrong party.  Whatever rights he has should be enforced against the new employer.</w:t>
      </w:r>
    </w:p>
    <w:p w:rsidR="00B222A6" w:rsidRDefault="00B222A6" w:rsidP="00B222A6">
      <w:pPr>
        <w:spacing w:after="0" w:line="360" w:lineRule="auto"/>
        <w:jc w:val="both"/>
        <w:rPr>
          <w:sz w:val="28"/>
          <w:szCs w:val="28"/>
        </w:rPr>
      </w:pPr>
    </w:p>
    <w:p w:rsidR="00B222A6" w:rsidRPr="00F02EB8" w:rsidRDefault="00B222A6" w:rsidP="00B222A6">
      <w:pPr>
        <w:spacing w:after="0" w:line="360" w:lineRule="auto"/>
        <w:jc w:val="both"/>
        <w:rPr>
          <w:b/>
          <w:sz w:val="28"/>
          <w:szCs w:val="28"/>
        </w:rPr>
      </w:pPr>
      <w:r>
        <w:rPr>
          <w:sz w:val="28"/>
          <w:szCs w:val="28"/>
        </w:rPr>
        <w:tab/>
      </w:r>
      <w:r w:rsidRPr="00F02EB8">
        <w:rPr>
          <w:b/>
          <w:sz w:val="28"/>
          <w:szCs w:val="28"/>
        </w:rPr>
        <w:t>Wherefore it is</w:t>
      </w:r>
      <w:r w:rsidR="0062400F" w:rsidRPr="00F02EB8">
        <w:rPr>
          <w:b/>
          <w:sz w:val="28"/>
          <w:szCs w:val="28"/>
        </w:rPr>
        <w:t xml:space="preserve"> ordered that,</w:t>
      </w:r>
    </w:p>
    <w:p w:rsidR="00F02EB8" w:rsidRPr="00F02EB8" w:rsidRDefault="00F02EB8" w:rsidP="00B222A6">
      <w:pPr>
        <w:spacing w:after="0" w:line="360" w:lineRule="auto"/>
        <w:jc w:val="both"/>
        <w:rPr>
          <w:b/>
          <w:sz w:val="28"/>
          <w:szCs w:val="28"/>
        </w:rPr>
      </w:pPr>
    </w:p>
    <w:p w:rsidR="0062400F" w:rsidRPr="00F02EB8" w:rsidRDefault="0062400F" w:rsidP="0062400F">
      <w:pPr>
        <w:pStyle w:val="ListParagraph"/>
        <w:numPr>
          <w:ilvl w:val="0"/>
          <w:numId w:val="1"/>
        </w:numPr>
        <w:spacing w:after="0" w:line="360" w:lineRule="auto"/>
        <w:jc w:val="both"/>
        <w:rPr>
          <w:b/>
          <w:sz w:val="28"/>
          <w:szCs w:val="28"/>
        </w:rPr>
      </w:pPr>
      <w:r w:rsidRPr="00F02EB8">
        <w:rPr>
          <w:b/>
          <w:sz w:val="28"/>
          <w:szCs w:val="28"/>
        </w:rPr>
        <w:t xml:space="preserve"> The appeal is hereby dismissed; and</w:t>
      </w:r>
    </w:p>
    <w:p w:rsidR="0062400F" w:rsidRPr="00F02EB8" w:rsidRDefault="00F02EB8" w:rsidP="0062400F">
      <w:pPr>
        <w:pStyle w:val="ListParagraph"/>
        <w:numPr>
          <w:ilvl w:val="0"/>
          <w:numId w:val="1"/>
        </w:numPr>
        <w:spacing w:after="0" w:line="360" w:lineRule="auto"/>
        <w:jc w:val="both"/>
        <w:rPr>
          <w:b/>
          <w:sz w:val="28"/>
          <w:szCs w:val="28"/>
        </w:rPr>
      </w:pPr>
      <w:r>
        <w:rPr>
          <w:b/>
          <w:sz w:val="28"/>
          <w:szCs w:val="28"/>
        </w:rPr>
        <w:t xml:space="preserve"> </w:t>
      </w:r>
      <w:r w:rsidR="0062400F" w:rsidRPr="00F02EB8">
        <w:rPr>
          <w:b/>
          <w:sz w:val="28"/>
          <w:szCs w:val="28"/>
        </w:rPr>
        <w:t>Each party shall bear its own costs.</w:t>
      </w:r>
    </w:p>
    <w:p w:rsidR="0062400F" w:rsidRPr="00F02EB8" w:rsidRDefault="0062400F" w:rsidP="0062400F">
      <w:pPr>
        <w:spacing w:after="0" w:line="360" w:lineRule="auto"/>
        <w:jc w:val="both"/>
        <w:rPr>
          <w:b/>
          <w:sz w:val="28"/>
          <w:szCs w:val="28"/>
        </w:rPr>
      </w:pPr>
    </w:p>
    <w:p w:rsidR="0062400F" w:rsidRDefault="0062400F" w:rsidP="0062400F">
      <w:pPr>
        <w:spacing w:after="0" w:line="360" w:lineRule="auto"/>
        <w:jc w:val="both"/>
        <w:rPr>
          <w:sz w:val="28"/>
          <w:szCs w:val="28"/>
        </w:rPr>
      </w:pPr>
    </w:p>
    <w:p w:rsidR="0062400F" w:rsidRDefault="0062400F" w:rsidP="0062400F">
      <w:pPr>
        <w:spacing w:after="0" w:line="360" w:lineRule="auto"/>
        <w:ind w:left="360"/>
        <w:jc w:val="both"/>
        <w:rPr>
          <w:sz w:val="28"/>
          <w:szCs w:val="28"/>
        </w:rPr>
      </w:pPr>
    </w:p>
    <w:p w:rsidR="0062400F" w:rsidRDefault="0062400F" w:rsidP="0062400F">
      <w:pPr>
        <w:spacing w:after="0" w:line="360" w:lineRule="auto"/>
        <w:ind w:left="5040"/>
        <w:jc w:val="both"/>
        <w:rPr>
          <w:b/>
          <w:sz w:val="28"/>
          <w:szCs w:val="28"/>
        </w:rPr>
      </w:pPr>
      <w:r>
        <w:rPr>
          <w:b/>
          <w:sz w:val="28"/>
          <w:szCs w:val="28"/>
        </w:rPr>
        <w:t>G. MUSARIRI</w:t>
      </w:r>
    </w:p>
    <w:p w:rsidR="0062400F" w:rsidRPr="0062400F" w:rsidRDefault="0062400F" w:rsidP="0062400F">
      <w:pPr>
        <w:spacing w:after="0" w:line="360" w:lineRule="auto"/>
        <w:ind w:left="5040"/>
        <w:jc w:val="both"/>
        <w:rPr>
          <w:b/>
          <w:sz w:val="28"/>
          <w:szCs w:val="28"/>
        </w:rPr>
      </w:pPr>
      <w:r>
        <w:rPr>
          <w:b/>
          <w:sz w:val="28"/>
          <w:szCs w:val="28"/>
        </w:rPr>
        <w:t>J U D G E</w:t>
      </w:r>
    </w:p>
    <w:p w:rsidR="00BF142C" w:rsidRDefault="00BF142C" w:rsidP="00F35852">
      <w:pPr>
        <w:spacing w:after="0" w:line="240" w:lineRule="auto"/>
        <w:jc w:val="both"/>
        <w:rPr>
          <w:b/>
          <w:sz w:val="28"/>
          <w:szCs w:val="28"/>
        </w:rPr>
      </w:pPr>
    </w:p>
    <w:p w:rsidR="00BF142C" w:rsidRPr="00FE192D" w:rsidRDefault="00BF142C" w:rsidP="00BF142C">
      <w:pPr>
        <w:spacing w:line="360" w:lineRule="auto"/>
        <w:jc w:val="both"/>
        <w:rPr>
          <w:b/>
          <w:sz w:val="28"/>
          <w:szCs w:val="28"/>
        </w:rPr>
      </w:pPr>
    </w:p>
    <w:sectPr w:rsidR="00BF142C" w:rsidRPr="00FE192D" w:rsidSect="00DF3919">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E25" w:rsidRDefault="00DF1E25" w:rsidP="00DF3919">
      <w:pPr>
        <w:spacing w:after="0" w:line="240" w:lineRule="auto"/>
      </w:pPr>
      <w:r>
        <w:separator/>
      </w:r>
    </w:p>
  </w:endnote>
  <w:endnote w:type="continuationSeparator" w:id="1">
    <w:p w:rsidR="00DF1E25" w:rsidRDefault="00DF1E25" w:rsidP="00DF3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5610"/>
      <w:docPartObj>
        <w:docPartGallery w:val="Page Numbers (Bottom of Page)"/>
        <w:docPartUnique/>
      </w:docPartObj>
    </w:sdtPr>
    <w:sdtContent>
      <w:p w:rsidR="00F02EB8" w:rsidRDefault="00F54F4F">
        <w:pPr>
          <w:pStyle w:val="Footer"/>
          <w:jc w:val="right"/>
        </w:pPr>
        <w:fldSimple w:instr=" PAGE   \* MERGEFORMAT ">
          <w:r w:rsidR="001D4F84">
            <w:rPr>
              <w:noProof/>
            </w:rPr>
            <w:t>3</w:t>
          </w:r>
        </w:fldSimple>
      </w:p>
    </w:sdtContent>
  </w:sdt>
  <w:p w:rsidR="00F02EB8" w:rsidRDefault="00F02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E25" w:rsidRDefault="00DF1E25" w:rsidP="00DF3919">
      <w:pPr>
        <w:spacing w:after="0" w:line="240" w:lineRule="auto"/>
      </w:pPr>
      <w:r>
        <w:separator/>
      </w:r>
    </w:p>
  </w:footnote>
  <w:footnote w:type="continuationSeparator" w:id="1">
    <w:p w:rsidR="00DF1E25" w:rsidRDefault="00DF1E25" w:rsidP="00DF39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19" w:rsidRDefault="00D05FB9" w:rsidP="00D05FB9">
    <w:pPr>
      <w:spacing w:line="360" w:lineRule="auto"/>
      <w:ind w:left="5040"/>
      <w:jc w:val="both"/>
      <w:rPr>
        <w:b/>
        <w:sz w:val="28"/>
        <w:szCs w:val="28"/>
      </w:rPr>
    </w:pPr>
    <w:r>
      <w:rPr>
        <w:b/>
        <w:sz w:val="28"/>
        <w:szCs w:val="28"/>
      </w:rPr>
      <w:t xml:space="preserve">     </w:t>
    </w:r>
    <w:r w:rsidR="00DF3919">
      <w:rPr>
        <w:b/>
        <w:sz w:val="28"/>
        <w:szCs w:val="28"/>
      </w:rPr>
      <w:t>JUDGMENT NO LC/H/</w:t>
    </w:r>
    <w:r>
      <w:rPr>
        <w:b/>
        <w:sz w:val="28"/>
        <w:szCs w:val="28"/>
      </w:rPr>
      <w:t>717</w:t>
    </w:r>
    <w:r w:rsidR="00DF3919">
      <w:rPr>
        <w:b/>
        <w:sz w:val="28"/>
        <w:szCs w:val="28"/>
      </w:rPr>
      <w:t>/14</w:t>
    </w:r>
  </w:p>
  <w:p w:rsidR="00DF3919" w:rsidRDefault="00DF39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57A99"/>
    <w:multiLevelType w:val="hybridMultilevel"/>
    <w:tmpl w:val="AC469B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192D"/>
    <w:rsid w:val="00040041"/>
    <w:rsid w:val="000501E6"/>
    <w:rsid w:val="00062DEC"/>
    <w:rsid w:val="00073B99"/>
    <w:rsid w:val="001A037B"/>
    <w:rsid w:val="001B520A"/>
    <w:rsid w:val="001D4F84"/>
    <w:rsid w:val="001E59E3"/>
    <w:rsid w:val="001F1669"/>
    <w:rsid w:val="00296135"/>
    <w:rsid w:val="002A4EA4"/>
    <w:rsid w:val="002B042E"/>
    <w:rsid w:val="002D0332"/>
    <w:rsid w:val="002E1FE1"/>
    <w:rsid w:val="00333A04"/>
    <w:rsid w:val="003571DC"/>
    <w:rsid w:val="003732BA"/>
    <w:rsid w:val="003C4704"/>
    <w:rsid w:val="003E7494"/>
    <w:rsid w:val="00443D09"/>
    <w:rsid w:val="00450F2A"/>
    <w:rsid w:val="00471F6B"/>
    <w:rsid w:val="004927A7"/>
    <w:rsid w:val="004E2B68"/>
    <w:rsid w:val="005B6B07"/>
    <w:rsid w:val="005E4CBF"/>
    <w:rsid w:val="0062400F"/>
    <w:rsid w:val="006A31F6"/>
    <w:rsid w:val="006C41C5"/>
    <w:rsid w:val="00702109"/>
    <w:rsid w:val="00740E8A"/>
    <w:rsid w:val="00792B78"/>
    <w:rsid w:val="007A10E9"/>
    <w:rsid w:val="007B3902"/>
    <w:rsid w:val="007C3B6F"/>
    <w:rsid w:val="007F7ECE"/>
    <w:rsid w:val="008679E0"/>
    <w:rsid w:val="008C57F8"/>
    <w:rsid w:val="00912EF0"/>
    <w:rsid w:val="00914FC6"/>
    <w:rsid w:val="0095112E"/>
    <w:rsid w:val="0095114C"/>
    <w:rsid w:val="0098286B"/>
    <w:rsid w:val="009951A3"/>
    <w:rsid w:val="00A05445"/>
    <w:rsid w:val="00A91A79"/>
    <w:rsid w:val="00AA1557"/>
    <w:rsid w:val="00AA452E"/>
    <w:rsid w:val="00B1158D"/>
    <w:rsid w:val="00B222A6"/>
    <w:rsid w:val="00B2519C"/>
    <w:rsid w:val="00B40117"/>
    <w:rsid w:val="00B819ED"/>
    <w:rsid w:val="00B95387"/>
    <w:rsid w:val="00BA5626"/>
    <w:rsid w:val="00BE7503"/>
    <w:rsid w:val="00BF142C"/>
    <w:rsid w:val="00C279F3"/>
    <w:rsid w:val="00CE61E0"/>
    <w:rsid w:val="00CF7FB6"/>
    <w:rsid w:val="00D05FB9"/>
    <w:rsid w:val="00D13C45"/>
    <w:rsid w:val="00D34EA0"/>
    <w:rsid w:val="00D35D61"/>
    <w:rsid w:val="00DD7258"/>
    <w:rsid w:val="00DF1E25"/>
    <w:rsid w:val="00DF3919"/>
    <w:rsid w:val="00E5115D"/>
    <w:rsid w:val="00E70D81"/>
    <w:rsid w:val="00EA5CF8"/>
    <w:rsid w:val="00EB6FC6"/>
    <w:rsid w:val="00EC3B90"/>
    <w:rsid w:val="00ED3B87"/>
    <w:rsid w:val="00EE2051"/>
    <w:rsid w:val="00F02EB8"/>
    <w:rsid w:val="00F034A3"/>
    <w:rsid w:val="00F35852"/>
    <w:rsid w:val="00F54F4F"/>
    <w:rsid w:val="00FC68ED"/>
    <w:rsid w:val="00FE192D"/>
    <w:rsid w:val="00FF1A8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39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F3919"/>
  </w:style>
  <w:style w:type="paragraph" w:styleId="Footer">
    <w:name w:val="footer"/>
    <w:basedOn w:val="Normal"/>
    <w:link w:val="FooterChar"/>
    <w:uiPriority w:val="99"/>
    <w:unhideWhenUsed/>
    <w:rsid w:val="00DF3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19"/>
  </w:style>
  <w:style w:type="paragraph" w:styleId="ListParagraph">
    <w:name w:val="List Paragraph"/>
    <w:basedOn w:val="Normal"/>
    <w:uiPriority w:val="34"/>
    <w:qFormat/>
    <w:rsid w:val="006240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9459-5095-4FAD-AD1F-BACE36E6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2014-10-16T10:34:00Z</cp:lastPrinted>
  <dcterms:created xsi:type="dcterms:W3CDTF">2014-10-14T10:13:00Z</dcterms:created>
  <dcterms:modified xsi:type="dcterms:W3CDTF">2014-10-16T10:36:00Z</dcterms:modified>
</cp:coreProperties>
</file>