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74" w:rsidRDefault="00703074" w:rsidP="00ED733E">
      <w:pPr>
        <w:spacing w:line="240" w:lineRule="auto"/>
        <w:rPr>
          <w:rFonts w:cs="Tahoma"/>
          <w:b/>
          <w:color w:val="auto"/>
          <w:szCs w:val="24"/>
        </w:rPr>
      </w:pPr>
      <w:proofErr w:type="gramStart"/>
      <w:r w:rsidRPr="00C0750D">
        <w:rPr>
          <w:rFonts w:cs="Tahoma"/>
          <w:b/>
          <w:color w:val="auto"/>
          <w:szCs w:val="24"/>
        </w:rPr>
        <w:t xml:space="preserve">IN THE LABOUR COURT OF ZIMBABWE  </w:t>
      </w:r>
      <w:r w:rsidR="00D8136C">
        <w:rPr>
          <w:rFonts w:cs="Tahoma"/>
          <w:b/>
          <w:color w:val="auto"/>
          <w:szCs w:val="24"/>
        </w:rPr>
        <w:tab/>
        <w:t xml:space="preserve">     </w:t>
      </w:r>
      <w:r>
        <w:rPr>
          <w:rFonts w:cs="Tahoma"/>
          <w:b/>
          <w:color w:val="auto"/>
          <w:szCs w:val="24"/>
        </w:rPr>
        <w:t>JUDGMENT NO.</w:t>
      </w:r>
      <w:proofErr w:type="gramEnd"/>
      <w:r>
        <w:rPr>
          <w:rFonts w:cs="Tahoma"/>
          <w:b/>
          <w:color w:val="auto"/>
          <w:szCs w:val="24"/>
        </w:rPr>
        <w:t xml:space="preserve"> LC/H/</w:t>
      </w:r>
      <w:r w:rsidR="00D8136C">
        <w:rPr>
          <w:rFonts w:cs="Tahoma"/>
          <w:b/>
          <w:color w:val="auto"/>
          <w:szCs w:val="24"/>
        </w:rPr>
        <w:t>690</w:t>
      </w:r>
      <w:r>
        <w:rPr>
          <w:rFonts w:cs="Tahoma"/>
          <w:b/>
          <w:color w:val="auto"/>
          <w:szCs w:val="24"/>
        </w:rPr>
        <w:t>/16</w:t>
      </w:r>
      <w:r w:rsidRPr="00C0750D">
        <w:rPr>
          <w:rFonts w:cs="Tahoma"/>
          <w:b/>
          <w:color w:val="auto"/>
          <w:szCs w:val="24"/>
        </w:rPr>
        <w:t xml:space="preserve">                  </w:t>
      </w:r>
    </w:p>
    <w:p w:rsidR="00703074" w:rsidRDefault="00703074" w:rsidP="00ED733E">
      <w:pPr>
        <w:spacing w:line="240" w:lineRule="auto"/>
        <w:rPr>
          <w:rFonts w:cs="Tahoma"/>
          <w:b/>
          <w:color w:val="auto"/>
          <w:szCs w:val="24"/>
        </w:rPr>
      </w:pPr>
      <w:r w:rsidRPr="00C0750D">
        <w:rPr>
          <w:rFonts w:cs="Tahoma"/>
          <w:b/>
          <w:color w:val="auto"/>
          <w:szCs w:val="24"/>
        </w:rPr>
        <w:t>HARARE</w:t>
      </w:r>
      <w:r w:rsidR="00D1393A">
        <w:rPr>
          <w:rFonts w:cs="Tahoma"/>
          <w:b/>
          <w:color w:val="auto"/>
          <w:szCs w:val="24"/>
        </w:rPr>
        <w:t>, 18 OCTOBER</w:t>
      </w:r>
      <w:r w:rsidRPr="00C0750D">
        <w:rPr>
          <w:rFonts w:cs="Tahoma"/>
          <w:b/>
          <w:color w:val="auto"/>
          <w:szCs w:val="24"/>
        </w:rPr>
        <w:t xml:space="preserve"> </w:t>
      </w:r>
      <w:r>
        <w:rPr>
          <w:rFonts w:cs="Tahoma"/>
          <w:b/>
          <w:color w:val="auto"/>
          <w:szCs w:val="24"/>
        </w:rPr>
        <w:t>2016</w:t>
      </w:r>
      <w:r>
        <w:rPr>
          <w:rFonts w:cs="Tahoma"/>
          <w:b/>
          <w:color w:val="auto"/>
          <w:szCs w:val="24"/>
        </w:rPr>
        <w:tab/>
      </w:r>
      <w:r>
        <w:rPr>
          <w:rFonts w:cs="Tahoma"/>
          <w:b/>
          <w:color w:val="auto"/>
          <w:szCs w:val="24"/>
        </w:rPr>
        <w:tab/>
      </w:r>
      <w:r>
        <w:rPr>
          <w:rFonts w:cs="Tahoma"/>
          <w:b/>
          <w:color w:val="auto"/>
          <w:szCs w:val="24"/>
        </w:rPr>
        <w:tab/>
        <w:t xml:space="preserve"> </w:t>
      </w:r>
      <w:r w:rsidRPr="00C0750D">
        <w:rPr>
          <w:rFonts w:cs="Tahoma"/>
          <w:b/>
          <w:color w:val="auto"/>
          <w:szCs w:val="24"/>
        </w:rPr>
        <w:t xml:space="preserve">  </w:t>
      </w:r>
      <w:r w:rsidR="00D1393A">
        <w:rPr>
          <w:rFonts w:cs="Tahoma"/>
          <w:b/>
          <w:color w:val="auto"/>
          <w:szCs w:val="24"/>
        </w:rPr>
        <w:t xml:space="preserve">     </w:t>
      </w:r>
      <w:r w:rsidR="00D8136C">
        <w:rPr>
          <w:rFonts w:cs="Tahoma"/>
          <w:b/>
          <w:color w:val="auto"/>
          <w:szCs w:val="24"/>
        </w:rPr>
        <w:tab/>
        <w:t xml:space="preserve">     </w:t>
      </w:r>
      <w:bookmarkStart w:id="0" w:name="_GoBack"/>
      <w:bookmarkEnd w:id="0"/>
      <w:r w:rsidRPr="00C0750D">
        <w:rPr>
          <w:rFonts w:cs="Tahoma"/>
          <w:b/>
          <w:color w:val="auto"/>
          <w:szCs w:val="24"/>
        </w:rPr>
        <w:t xml:space="preserve">CASE NO. </w:t>
      </w:r>
      <w:r>
        <w:rPr>
          <w:rFonts w:cs="Tahoma"/>
          <w:b/>
          <w:color w:val="auto"/>
          <w:szCs w:val="24"/>
        </w:rPr>
        <w:t>LC/</w:t>
      </w:r>
      <w:r w:rsidR="00D1393A">
        <w:rPr>
          <w:rFonts w:cs="Tahoma"/>
          <w:b/>
          <w:color w:val="auto"/>
          <w:szCs w:val="24"/>
        </w:rPr>
        <w:t>H/676/14</w:t>
      </w:r>
    </w:p>
    <w:p w:rsidR="00703074" w:rsidRPr="00C0750D" w:rsidRDefault="004B0250" w:rsidP="00ED733E">
      <w:pPr>
        <w:spacing w:line="240" w:lineRule="auto"/>
        <w:rPr>
          <w:rFonts w:cs="Tahoma"/>
          <w:b/>
          <w:color w:val="auto"/>
          <w:szCs w:val="24"/>
        </w:rPr>
      </w:pPr>
      <w:r>
        <w:rPr>
          <w:rFonts w:cs="Tahoma"/>
          <w:b/>
          <w:color w:val="auto"/>
          <w:szCs w:val="24"/>
        </w:rPr>
        <w:t>AND 4</w:t>
      </w:r>
      <w:r w:rsidR="00D1393A">
        <w:rPr>
          <w:rFonts w:cs="Tahoma"/>
          <w:b/>
          <w:color w:val="auto"/>
          <w:szCs w:val="24"/>
        </w:rPr>
        <w:t xml:space="preserve"> NOVEMBER </w:t>
      </w:r>
      <w:r w:rsidR="00703074">
        <w:rPr>
          <w:rFonts w:cs="Tahoma"/>
          <w:b/>
          <w:color w:val="auto"/>
          <w:szCs w:val="24"/>
        </w:rPr>
        <w:t>2016</w:t>
      </w:r>
    </w:p>
    <w:p w:rsidR="00703074" w:rsidRPr="00C0750D" w:rsidRDefault="00703074" w:rsidP="00703074">
      <w:pPr>
        <w:rPr>
          <w:rFonts w:cs="Tahoma"/>
          <w:color w:val="auto"/>
          <w:szCs w:val="24"/>
        </w:rPr>
      </w:pPr>
      <w:r w:rsidRPr="00C0750D">
        <w:rPr>
          <w:rFonts w:cs="Tahoma"/>
          <w:color w:val="auto"/>
          <w:szCs w:val="24"/>
        </w:rPr>
        <w:t xml:space="preserve">In the matter between:- </w:t>
      </w:r>
    </w:p>
    <w:p w:rsidR="00703074" w:rsidRPr="00C0750D" w:rsidRDefault="0033616E" w:rsidP="00ED733E">
      <w:pPr>
        <w:spacing w:line="240" w:lineRule="auto"/>
        <w:rPr>
          <w:rFonts w:cs="Tahoma"/>
          <w:b/>
          <w:color w:val="auto"/>
          <w:szCs w:val="24"/>
        </w:rPr>
      </w:pPr>
      <w:r>
        <w:rPr>
          <w:rFonts w:cs="Tahoma"/>
          <w:b/>
          <w:color w:val="auto"/>
          <w:szCs w:val="24"/>
        </w:rPr>
        <w:t>TAPIWA SUNDAY</w:t>
      </w:r>
      <w:r w:rsidR="00ED733E">
        <w:rPr>
          <w:rFonts w:cs="Tahoma"/>
          <w:b/>
          <w:color w:val="auto"/>
          <w:szCs w:val="24"/>
        </w:rPr>
        <w:tab/>
      </w:r>
      <w:r>
        <w:rPr>
          <w:rFonts w:cs="Tahoma"/>
          <w:b/>
          <w:color w:val="auto"/>
          <w:szCs w:val="24"/>
        </w:rPr>
        <w:tab/>
      </w:r>
      <w:r w:rsidR="00703074">
        <w:rPr>
          <w:rFonts w:cs="Tahoma"/>
          <w:b/>
          <w:color w:val="auto"/>
          <w:szCs w:val="24"/>
        </w:rPr>
        <w:tab/>
      </w:r>
      <w:r w:rsidR="00703074">
        <w:rPr>
          <w:rFonts w:cs="Tahoma"/>
          <w:b/>
          <w:color w:val="auto"/>
          <w:szCs w:val="24"/>
        </w:rPr>
        <w:tab/>
      </w:r>
      <w:r w:rsidR="00D55F17">
        <w:rPr>
          <w:rFonts w:cs="Tahoma"/>
          <w:b/>
          <w:color w:val="auto"/>
          <w:szCs w:val="24"/>
        </w:rPr>
        <w:t>Appellant</w:t>
      </w:r>
    </w:p>
    <w:sdt>
      <w:sdtPr>
        <w:rPr>
          <w:color w:val="auto"/>
          <w:szCs w:val="24"/>
        </w:rPr>
        <w:id w:val="967902742"/>
        <w:docPartObj>
          <w:docPartGallery w:val="Cover Pages"/>
          <w:docPartUnique/>
        </w:docPartObj>
      </w:sdtPr>
      <w:sdtEndPr/>
      <w:sdtContent>
        <w:p w:rsidR="00703074" w:rsidRPr="00D1393A" w:rsidRDefault="00703074" w:rsidP="00ED733E">
          <w:pPr>
            <w:spacing w:line="240" w:lineRule="auto"/>
            <w:rPr>
              <w:color w:val="auto"/>
              <w:szCs w:val="24"/>
            </w:rPr>
          </w:pPr>
          <w:r w:rsidRPr="00D1393A">
            <w:rPr>
              <w:color w:val="auto"/>
              <w:szCs w:val="24"/>
            </w:rPr>
            <w:t>AND</w:t>
          </w:r>
        </w:p>
        <w:p w:rsidR="00703074" w:rsidRPr="00D1393A" w:rsidRDefault="0033616E" w:rsidP="00ED733E">
          <w:pPr>
            <w:spacing w:line="240" w:lineRule="auto"/>
            <w:rPr>
              <w:rFonts w:cs="Tahoma"/>
              <w:b/>
              <w:color w:val="auto"/>
              <w:szCs w:val="24"/>
            </w:rPr>
          </w:pPr>
          <w:r w:rsidRPr="00D1393A">
            <w:rPr>
              <w:rFonts w:cs="Tahoma"/>
              <w:b/>
              <w:color w:val="auto"/>
              <w:szCs w:val="24"/>
            </w:rPr>
            <w:t>RAVEN COURT FUE</w:t>
          </w:r>
          <w:r w:rsidR="00D1393A" w:rsidRPr="00D1393A">
            <w:rPr>
              <w:rFonts w:cs="Tahoma"/>
              <w:b/>
              <w:color w:val="auto"/>
              <w:szCs w:val="24"/>
            </w:rPr>
            <w:t>LS</w:t>
          </w:r>
          <w:r w:rsidR="00ED733E">
            <w:rPr>
              <w:rFonts w:cs="Tahoma"/>
              <w:b/>
              <w:color w:val="auto"/>
              <w:szCs w:val="24"/>
            </w:rPr>
            <w:tab/>
          </w:r>
          <w:r w:rsidR="00703074" w:rsidRPr="00D1393A">
            <w:rPr>
              <w:rFonts w:cs="Tahoma"/>
              <w:b/>
              <w:color w:val="auto"/>
              <w:szCs w:val="24"/>
            </w:rPr>
            <w:tab/>
          </w:r>
          <w:r w:rsidR="00703074" w:rsidRPr="00D1393A">
            <w:rPr>
              <w:rFonts w:cs="Tahoma"/>
              <w:b/>
              <w:color w:val="auto"/>
              <w:szCs w:val="24"/>
            </w:rPr>
            <w:tab/>
            <w:t>R</w:t>
          </w:r>
          <w:r w:rsidR="00D55F17" w:rsidRPr="00D1393A">
            <w:rPr>
              <w:rFonts w:cs="Tahoma"/>
              <w:b/>
              <w:color w:val="auto"/>
              <w:szCs w:val="24"/>
            </w:rPr>
            <w:t>espondent</w:t>
          </w:r>
        </w:p>
        <w:p w:rsidR="00703074" w:rsidRPr="00D1393A" w:rsidRDefault="00703074" w:rsidP="00ED733E">
          <w:pPr>
            <w:spacing w:line="240" w:lineRule="auto"/>
            <w:rPr>
              <w:rFonts w:cs="Tahoma"/>
              <w:color w:val="auto"/>
              <w:szCs w:val="24"/>
            </w:rPr>
          </w:pPr>
          <w:r w:rsidRPr="00D1393A">
            <w:rPr>
              <w:rFonts w:cs="Tahoma"/>
              <w:color w:val="auto"/>
              <w:szCs w:val="24"/>
            </w:rPr>
            <w:t xml:space="preserve">Before the Honourable B.T </w:t>
          </w:r>
          <w:proofErr w:type="spellStart"/>
          <w:r w:rsidRPr="00D1393A">
            <w:rPr>
              <w:rFonts w:cs="Tahoma"/>
              <w:color w:val="auto"/>
              <w:szCs w:val="24"/>
            </w:rPr>
            <w:t>Chivizhe</w:t>
          </w:r>
          <w:proofErr w:type="spellEnd"/>
          <w:r w:rsidRPr="00D1393A">
            <w:rPr>
              <w:rFonts w:cs="Tahoma"/>
              <w:color w:val="auto"/>
              <w:szCs w:val="24"/>
            </w:rPr>
            <w:t xml:space="preserve">: Judge </w:t>
          </w:r>
        </w:p>
        <w:p w:rsidR="00703074" w:rsidRPr="00D1393A" w:rsidRDefault="00824B81" w:rsidP="00ED733E">
          <w:pPr>
            <w:spacing w:line="240" w:lineRule="auto"/>
            <w:rPr>
              <w:rFonts w:cs="Tahoma"/>
              <w:b/>
              <w:color w:val="auto"/>
              <w:szCs w:val="24"/>
            </w:rPr>
          </w:pPr>
          <w:r w:rsidRPr="00D1393A">
            <w:rPr>
              <w:rFonts w:cs="Tahoma"/>
              <w:b/>
              <w:color w:val="auto"/>
              <w:szCs w:val="24"/>
            </w:rPr>
            <w:t>(IN CHAMBERS)</w:t>
          </w:r>
          <w:r w:rsidR="00703074" w:rsidRPr="00D1393A">
            <w:rPr>
              <w:rFonts w:cs="Tahoma"/>
              <w:b/>
              <w:color w:val="auto"/>
              <w:szCs w:val="24"/>
            </w:rPr>
            <w:tab/>
          </w:r>
        </w:p>
        <w:p w:rsidR="00703074" w:rsidRPr="00D1393A" w:rsidRDefault="00703074" w:rsidP="00ED733E">
          <w:pPr>
            <w:spacing w:line="240" w:lineRule="auto"/>
            <w:rPr>
              <w:rFonts w:cs="Tahoma"/>
              <w:b/>
              <w:color w:val="auto"/>
              <w:szCs w:val="24"/>
            </w:rPr>
          </w:pPr>
        </w:p>
        <w:p w:rsidR="00703074" w:rsidRPr="00D1393A" w:rsidRDefault="00703074" w:rsidP="00ED733E">
          <w:pPr>
            <w:spacing w:line="240" w:lineRule="auto"/>
            <w:rPr>
              <w:color w:val="auto"/>
              <w:szCs w:val="24"/>
            </w:rPr>
          </w:pPr>
          <w:r w:rsidRPr="00D1393A">
            <w:rPr>
              <w:rFonts w:cs="Tahoma"/>
              <w:b/>
              <w:color w:val="auto"/>
              <w:szCs w:val="24"/>
            </w:rPr>
            <w:t>CHIVIZHE, J:</w:t>
          </w:r>
        </w:p>
      </w:sdtContent>
    </w:sdt>
    <w:p w:rsidR="00824B81" w:rsidRPr="00D1393A" w:rsidRDefault="00824B81">
      <w:pPr>
        <w:rPr>
          <w:b/>
          <w:color w:val="0D0D0D" w:themeColor="text1" w:themeTint="F2"/>
          <w:szCs w:val="24"/>
        </w:rPr>
      </w:pPr>
    </w:p>
    <w:p w:rsidR="00AE4393" w:rsidRPr="00D1393A" w:rsidRDefault="00AE4393" w:rsidP="00F54D96">
      <w:pPr>
        <w:rPr>
          <w:color w:val="0D0D0D" w:themeColor="text1" w:themeTint="F2"/>
          <w:szCs w:val="24"/>
        </w:rPr>
      </w:pPr>
      <w:r w:rsidRPr="00324A14">
        <w:rPr>
          <w:color w:val="0D0D0D" w:themeColor="text1" w:themeTint="F2"/>
          <w:szCs w:val="24"/>
        </w:rPr>
        <w:t>This matter was referred to me for</w:t>
      </w:r>
      <w:r w:rsidRPr="00D1393A">
        <w:rPr>
          <w:color w:val="0D0D0D" w:themeColor="text1" w:themeTint="F2"/>
          <w:szCs w:val="24"/>
        </w:rPr>
        <w:t xml:space="preserve"> determination on the record in terms of </w:t>
      </w:r>
      <w:r w:rsidRPr="00D1393A">
        <w:rPr>
          <w:b/>
          <w:color w:val="0D0D0D" w:themeColor="text1" w:themeTint="F2"/>
          <w:szCs w:val="24"/>
        </w:rPr>
        <w:t>Section 89 (2</w:t>
      </w:r>
      <w:r w:rsidR="00C137AA" w:rsidRPr="00D1393A">
        <w:rPr>
          <w:b/>
          <w:color w:val="0D0D0D" w:themeColor="text1" w:themeTint="F2"/>
          <w:szCs w:val="24"/>
        </w:rPr>
        <w:t>) (</w:t>
      </w:r>
      <w:r w:rsidRPr="00D1393A">
        <w:rPr>
          <w:b/>
          <w:color w:val="0D0D0D" w:themeColor="text1" w:themeTint="F2"/>
          <w:szCs w:val="24"/>
        </w:rPr>
        <w:t>a</w:t>
      </w:r>
      <w:r w:rsidR="00C137AA" w:rsidRPr="00D1393A">
        <w:rPr>
          <w:b/>
          <w:color w:val="0D0D0D" w:themeColor="text1" w:themeTint="F2"/>
          <w:szCs w:val="24"/>
        </w:rPr>
        <w:t>) (</w:t>
      </w:r>
      <w:r w:rsidRPr="00D1393A">
        <w:rPr>
          <w:b/>
          <w:color w:val="0D0D0D" w:themeColor="text1" w:themeTint="F2"/>
          <w:szCs w:val="24"/>
        </w:rPr>
        <w:t>i)</w:t>
      </w:r>
      <w:r w:rsidRPr="00D1393A">
        <w:rPr>
          <w:color w:val="0D0D0D" w:themeColor="text1" w:themeTint="F2"/>
          <w:szCs w:val="24"/>
        </w:rPr>
        <w:t xml:space="preserve"> of the </w:t>
      </w:r>
      <w:r w:rsidRPr="00D1393A">
        <w:rPr>
          <w:b/>
          <w:color w:val="0D0D0D" w:themeColor="text1" w:themeTint="F2"/>
          <w:szCs w:val="24"/>
        </w:rPr>
        <w:t xml:space="preserve">Labour Act [Cap </w:t>
      </w:r>
      <w:proofErr w:type="gramStart"/>
      <w:r w:rsidRPr="00D1393A">
        <w:rPr>
          <w:b/>
          <w:color w:val="0D0D0D" w:themeColor="text1" w:themeTint="F2"/>
          <w:szCs w:val="24"/>
        </w:rPr>
        <w:t>28 :</w:t>
      </w:r>
      <w:proofErr w:type="gramEnd"/>
      <w:r w:rsidRPr="00D1393A">
        <w:rPr>
          <w:b/>
          <w:color w:val="0D0D0D" w:themeColor="text1" w:themeTint="F2"/>
          <w:szCs w:val="24"/>
        </w:rPr>
        <w:t xml:space="preserve"> 01]</w:t>
      </w:r>
      <w:r w:rsidRPr="00D1393A">
        <w:rPr>
          <w:color w:val="0D0D0D" w:themeColor="text1" w:themeTint="F2"/>
          <w:szCs w:val="24"/>
        </w:rPr>
        <w:t>.  It is one of the matters that have otherwise been lying idle due to failure on the part of the Appellant to pay sheriff’s costs for services of Notice of Set-Down.</w:t>
      </w:r>
    </w:p>
    <w:p w:rsidR="00B0161E" w:rsidRPr="00D1393A" w:rsidRDefault="00B0161E" w:rsidP="00F54D96">
      <w:pPr>
        <w:rPr>
          <w:color w:val="0D0D0D" w:themeColor="text1" w:themeTint="F2"/>
          <w:szCs w:val="24"/>
        </w:rPr>
      </w:pPr>
      <w:r w:rsidRPr="00D1393A">
        <w:rPr>
          <w:color w:val="0D0D0D" w:themeColor="text1" w:themeTint="F2"/>
          <w:szCs w:val="24"/>
        </w:rPr>
        <w:t xml:space="preserve">The material background facts are that the Appellant was dismissed from employment following disciplinary hearing conduced on the 3rd of June, 2014.  The allegations were that the Appellant had breached the terms of his contract of employment by loading the company vehicle and </w:t>
      </w:r>
      <w:r w:rsidR="00BD6A8C" w:rsidRPr="00D1393A">
        <w:rPr>
          <w:color w:val="0D0D0D" w:themeColor="text1" w:themeTint="F2"/>
          <w:szCs w:val="24"/>
        </w:rPr>
        <w:t>driving the</w:t>
      </w:r>
      <w:r w:rsidRPr="00D1393A">
        <w:rPr>
          <w:color w:val="0D0D0D" w:themeColor="text1" w:themeTint="F2"/>
          <w:szCs w:val="24"/>
        </w:rPr>
        <w:t xml:space="preserve"> loaded vehicle outside the regulated time of 1800 hours (set by Environmental Management Agency Regulations)</w:t>
      </w:r>
      <w:r w:rsidR="0009489F" w:rsidRPr="00D1393A">
        <w:rPr>
          <w:color w:val="0D0D0D" w:themeColor="text1" w:themeTint="F2"/>
          <w:szCs w:val="24"/>
        </w:rPr>
        <w:t>.</w:t>
      </w:r>
      <w:r w:rsidRPr="00D1393A">
        <w:rPr>
          <w:color w:val="0D0D0D" w:themeColor="text1" w:themeTint="F2"/>
          <w:szCs w:val="24"/>
        </w:rPr>
        <w:t xml:space="preserve">  He was alleged to have arrived at the depot at 22.18 hours.  The second allegation was that Appellant had been grossly negligent in the performance of his duties to the extent of incurring a loss of 265 litres of petrol.  The third count was that the Appellant had unlawfully manhandled a security detail who was restraining him from attempting to add diesel to petrol that he had delivered this was in a bid to cover for the loss of petrol.</w:t>
      </w:r>
    </w:p>
    <w:p w:rsidR="0057303D" w:rsidRPr="00D1393A" w:rsidRDefault="0057303D" w:rsidP="00F54D96">
      <w:pPr>
        <w:rPr>
          <w:color w:val="0D0D0D" w:themeColor="text1" w:themeTint="F2"/>
          <w:szCs w:val="24"/>
        </w:rPr>
      </w:pPr>
      <w:r w:rsidRPr="00D1393A">
        <w:rPr>
          <w:color w:val="0D0D0D" w:themeColor="text1" w:themeTint="F2"/>
          <w:szCs w:val="24"/>
        </w:rPr>
        <w:lastRenderedPageBreak/>
        <w:t>The Appellant was found guilty on all three counts.  He was consequently ad</w:t>
      </w:r>
      <w:r w:rsidR="00FA6DFE" w:rsidRPr="00D1393A">
        <w:rPr>
          <w:color w:val="0D0D0D" w:themeColor="text1" w:themeTint="F2"/>
          <w:szCs w:val="24"/>
        </w:rPr>
        <w:t>vised of his dismissal throug</w:t>
      </w:r>
      <w:r w:rsidRPr="00D1393A">
        <w:rPr>
          <w:color w:val="0D0D0D" w:themeColor="text1" w:themeTint="F2"/>
          <w:szCs w:val="24"/>
        </w:rPr>
        <w:t xml:space="preserve">h a letter dated 4th June, 2014.  The Appellant aggrieved then noted an appeal against </w:t>
      </w:r>
      <w:r w:rsidR="00FA6DFE" w:rsidRPr="00D1393A">
        <w:rPr>
          <w:color w:val="0D0D0D" w:themeColor="text1" w:themeTint="F2"/>
          <w:szCs w:val="24"/>
        </w:rPr>
        <w:t>the Disciplinary Committee findings to the Chief Executive Officer on the 20th June, 2014.  On the 13th of Augu</w:t>
      </w:r>
      <w:r w:rsidR="00AB0007" w:rsidRPr="00D1393A">
        <w:rPr>
          <w:color w:val="0D0D0D" w:themeColor="text1" w:themeTint="F2"/>
          <w:szCs w:val="24"/>
        </w:rPr>
        <w:t xml:space="preserve">st </w:t>
      </w:r>
      <w:r w:rsidR="0009489F" w:rsidRPr="00D1393A">
        <w:rPr>
          <w:color w:val="0D0D0D" w:themeColor="text1" w:themeTint="F2"/>
          <w:szCs w:val="24"/>
        </w:rPr>
        <w:t xml:space="preserve">2014 the Appellant then </w:t>
      </w:r>
      <w:r w:rsidR="00FA6DFE" w:rsidRPr="00D1393A">
        <w:rPr>
          <w:color w:val="0D0D0D" w:themeColor="text1" w:themeTint="F2"/>
          <w:szCs w:val="24"/>
        </w:rPr>
        <w:t>noted an appeal to this court.</w:t>
      </w:r>
    </w:p>
    <w:p w:rsidR="00AB0007" w:rsidRPr="00D1393A" w:rsidRDefault="00AB0007" w:rsidP="00F54D96">
      <w:pPr>
        <w:rPr>
          <w:i/>
          <w:color w:val="0D0D0D" w:themeColor="text1" w:themeTint="F2"/>
          <w:szCs w:val="24"/>
        </w:rPr>
      </w:pPr>
      <w:r w:rsidRPr="00D1393A">
        <w:rPr>
          <w:color w:val="0D0D0D" w:themeColor="text1" w:themeTint="F2"/>
          <w:szCs w:val="24"/>
        </w:rPr>
        <w:t xml:space="preserve">The appeal was noted on the basis of one ground which the Appellant also mistakenly took as a point </w:t>
      </w:r>
      <w:r w:rsidRPr="00D1393A">
        <w:rPr>
          <w:i/>
          <w:color w:val="0D0D0D" w:themeColor="text1" w:themeTint="F2"/>
          <w:szCs w:val="24"/>
        </w:rPr>
        <w:t xml:space="preserve">in </w:t>
      </w:r>
      <w:proofErr w:type="spellStart"/>
      <w:r w:rsidRPr="00D1393A">
        <w:rPr>
          <w:i/>
          <w:color w:val="0D0D0D" w:themeColor="text1" w:themeTint="F2"/>
          <w:szCs w:val="24"/>
        </w:rPr>
        <w:t>limine</w:t>
      </w:r>
      <w:proofErr w:type="spellEnd"/>
      <w:r w:rsidRPr="00D1393A">
        <w:rPr>
          <w:i/>
          <w:color w:val="0D0D0D" w:themeColor="text1" w:themeTint="F2"/>
          <w:szCs w:val="24"/>
        </w:rPr>
        <w:t>.</w:t>
      </w:r>
    </w:p>
    <w:p w:rsidR="00AB0007" w:rsidRPr="00D1393A" w:rsidRDefault="00AB0007">
      <w:pPr>
        <w:rPr>
          <w:color w:val="0D0D0D" w:themeColor="text1" w:themeTint="F2"/>
          <w:szCs w:val="24"/>
        </w:rPr>
      </w:pPr>
      <w:r w:rsidRPr="00D1393A">
        <w:rPr>
          <w:color w:val="0D0D0D" w:themeColor="text1" w:themeTint="F2"/>
          <w:szCs w:val="24"/>
        </w:rPr>
        <w:t xml:space="preserve">The </w:t>
      </w:r>
      <w:proofErr w:type="gramStart"/>
      <w:r w:rsidRPr="00D1393A">
        <w:rPr>
          <w:color w:val="0D0D0D" w:themeColor="text1" w:themeTint="F2"/>
          <w:szCs w:val="24"/>
        </w:rPr>
        <w:t>grounds reads</w:t>
      </w:r>
      <w:proofErr w:type="gramEnd"/>
      <w:r w:rsidRPr="00D1393A">
        <w:rPr>
          <w:color w:val="0D0D0D" w:themeColor="text1" w:themeTint="F2"/>
          <w:szCs w:val="24"/>
        </w:rPr>
        <w:t xml:space="preserve"> as follows:</w:t>
      </w:r>
    </w:p>
    <w:p w:rsidR="00AB0007" w:rsidRPr="00C137AA" w:rsidRDefault="00AB0007" w:rsidP="00C137AA">
      <w:pPr>
        <w:spacing w:line="276" w:lineRule="auto"/>
        <w:rPr>
          <w:color w:val="0D0D0D" w:themeColor="text1" w:themeTint="F2"/>
          <w:sz w:val="22"/>
        </w:rPr>
      </w:pPr>
      <w:r w:rsidRPr="00D1393A">
        <w:rPr>
          <w:color w:val="0D0D0D" w:themeColor="text1" w:themeTint="F2"/>
          <w:szCs w:val="24"/>
        </w:rPr>
        <w:tab/>
        <w:t>“</w:t>
      </w:r>
      <w:r w:rsidRPr="00C137AA">
        <w:rPr>
          <w:i/>
          <w:color w:val="0D0D0D" w:themeColor="text1" w:themeTint="F2"/>
          <w:sz w:val="22"/>
        </w:rPr>
        <w:t xml:space="preserve">In </w:t>
      </w:r>
      <w:proofErr w:type="spellStart"/>
      <w:r w:rsidRPr="00C137AA">
        <w:rPr>
          <w:i/>
          <w:color w:val="0D0D0D" w:themeColor="text1" w:themeTint="F2"/>
          <w:sz w:val="22"/>
        </w:rPr>
        <w:t>Limine</w:t>
      </w:r>
      <w:proofErr w:type="spellEnd"/>
    </w:p>
    <w:p w:rsidR="00AB0007" w:rsidRPr="00D1393A" w:rsidRDefault="00AB0007" w:rsidP="00C137AA">
      <w:pPr>
        <w:spacing w:line="276" w:lineRule="auto"/>
        <w:ind w:left="720"/>
        <w:rPr>
          <w:color w:val="0D0D0D" w:themeColor="text1" w:themeTint="F2"/>
          <w:szCs w:val="24"/>
        </w:rPr>
      </w:pPr>
      <w:r w:rsidRPr="00C137AA">
        <w:rPr>
          <w:color w:val="0D0D0D" w:themeColor="text1" w:themeTint="F2"/>
          <w:sz w:val="22"/>
        </w:rPr>
        <w:t xml:space="preserve">The Chief Executive Officer of Respondent failed to make a response to Appellant’s appeal made in terms of </w:t>
      </w:r>
      <w:r w:rsidRPr="00C137AA">
        <w:rPr>
          <w:b/>
          <w:color w:val="0D0D0D" w:themeColor="text1" w:themeTint="F2"/>
          <w:sz w:val="22"/>
        </w:rPr>
        <w:t>Section E.1</w:t>
      </w:r>
      <w:r w:rsidRPr="00C137AA">
        <w:rPr>
          <w:color w:val="0D0D0D" w:themeColor="text1" w:themeTint="F2"/>
          <w:sz w:val="22"/>
        </w:rPr>
        <w:t xml:space="preserve"> of the </w:t>
      </w:r>
      <w:r w:rsidRPr="00C137AA">
        <w:rPr>
          <w:b/>
          <w:color w:val="0D0D0D" w:themeColor="text1" w:themeTint="F2"/>
          <w:sz w:val="22"/>
        </w:rPr>
        <w:t>Code of Conduct</w:t>
      </w:r>
      <w:r w:rsidRPr="00C137AA">
        <w:rPr>
          <w:color w:val="0D0D0D" w:themeColor="text1" w:themeTint="F2"/>
          <w:sz w:val="22"/>
        </w:rPr>
        <w:t xml:space="preserve"> for the </w:t>
      </w:r>
      <w:r w:rsidRPr="00C137AA">
        <w:rPr>
          <w:b/>
          <w:color w:val="0D0D0D" w:themeColor="text1" w:themeTint="F2"/>
          <w:sz w:val="22"/>
        </w:rPr>
        <w:t xml:space="preserve">Transport Operating Industries, Statutory Instrument 67 </w:t>
      </w:r>
      <w:r w:rsidRPr="00C137AA">
        <w:rPr>
          <w:color w:val="0D0D0D" w:themeColor="text1" w:themeTint="F2"/>
          <w:sz w:val="22"/>
        </w:rPr>
        <w:t>of</w:t>
      </w:r>
      <w:r w:rsidRPr="00C137AA">
        <w:rPr>
          <w:b/>
          <w:color w:val="0D0D0D" w:themeColor="text1" w:themeTint="F2"/>
          <w:sz w:val="22"/>
        </w:rPr>
        <w:t xml:space="preserve"> 2012</w:t>
      </w:r>
      <w:r w:rsidRPr="00C137AA">
        <w:rPr>
          <w:color w:val="0D0D0D" w:themeColor="text1" w:themeTint="F2"/>
          <w:sz w:val="22"/>
        </w:rPr>
        <w:t>.  By so doing the Chief Executive Officer frustrated the Appellants efforts to exhaust internal remedies to this case.  The Chief Executive Officer’s decision not to act was tantamount to frus</w:t>
      </w:r>
      <w:r w:rsidR="00D16238" w:rsidRPr="00C137AA">
        <w:rPr>
          <w:color w:val="0D0D0D" w:themeColor="text1" w:themeTint="F2"/>
          <w:sz w:val="22"/>
        </w:rPr>
        <w:t>trating the course of justice</w:t>
      </w:r>
      <w:r w:rsidR="00D16238" w:rsidRPr="00D1393A">
        <w:rPr>
          <w:color w:val="0D0D0D" w:themeColor="text1" w:themeTint="F2"/>
          <w:szCs w:val="24"/>
        </w:rPr>
        <w:t>.”</w:t>
      </w:r>
    </w:p>
    <w:p w:rsidR="00D16238" w:rsidRPr="00D1393A" w:rsidRDefault="00D16238" w:rsidP="00F54D96">
      <w:pPr>
        <w:rPr>
          <w:color w:val="0D0D0D" w:themeColor="text1" w:themeTint="F2"/>
          <w:szCs w:val="24"/>
        </w:rPr>
      </w:pPr>
      <w:r w:rsidRPr="00D1393A">
        <w:rPr>
          <w:color w:val="0D0D0D" w:themeColor="text1" w:themeTint="F2"/>
          <w:szCs w:val="24"/>
        </w:rPr>
        <w:t xml:space="preserve">Despite having been served with Notice by the Registrar the Respondent did not file its response to the appeal.  The court be that as it may shall proceed to determine the matter on the </w:t>
      </w:r>
      <w:r w:rsidR="004F0D55">
        <w:rPr>
          <w:color w:val="0D0D0D" w:themeColor="text1" w:themeTint="F2"/>
          <w:szCs w:val="24"/>
        </w:rPr>
        <w:t xml:space="preserve">basis of </w:t>
      </w:r>
      <w:r w:rsidR="00AB52BB">
        <w:rPr>
          <w:color w:val="0D0D0D" w:themeColor="text1" w:themeTint="F2"/>
          <w:szCs w:val="24"/>
        </w:rPr>
        <w:t>papers as directed by the Senior Judge’s directorate dated 3</w:t>
      </w:r>
      <w:r w:rsidR="00AB52BB" w:rsidRPr="00AB52BB">
        <w:rPr>
          <w:color w:val="0D0D0D" w:themeColor="text1" w:themeTint="F2"/>
          <w:szCs w:val="24"/>
          <w:vertAlign w:val="superscript"/>
        </w:rPr>
        <w:t>rd</w:t>
      </w:r>
      <w:r w:rsidR="00AB52BB">
        <w:rPr>
          <w:color w:val="0D0D0D" w:themeColor="text1" w:themeTint="F2"/>
          <w:szCs w:val="24"/>
        </w:rPr>
        <w:t xml:space="preserve"> October, 2016.</w:t>
      </w:r>
      <w:r w:rsidRPr="00D1393A">
        <w:rPr>
          <w:color w:val="0D0D0D" w:themeColor="text1" w:themeTint="F2"/>
          <w:szCs w:val="24"/>
        </w:rPr>
        <w:t xml:space="preserve"> </w:t>
      </w:r>
    </w:p>
    <w:p w:rsidR="00371955" w:rsidRPr="00D1393A" w:rsidRDefault="00371955" w:rsidP="00F54D96">
      <w:pPr>
        <w:rPr>
          <w:color w:val="0D0D0D" w:themeColor="text1" w:themeTint="F2"/>
          <w:szCs w:val="24"/>
        </w:rPr>
      </w:pPr>
      <w:r w:rsidRPr="00D1393A">
        <w:rPr>
          <w:color w:val="0D0D0D" w:themeColor="text1" w:themeTint="F2"/>
          <w:szCs w:val="24"/>
        </w:rPr>
        <w:t>It is very clear on the basis of the papers that the appeal clearly stands to be dismissed.  There are two fundamental reasons.</w:t>
      </w:r>
    </w:p>
    <w:p w:rsidR="00001D42" w:rsidRPr="00D1393A" w:rsidRDefault="00371955" w:rsidP="00F54D96">
      <w:pPr>
        <w:rPr>
          <w:color w:val="0D0D0D" w:themeColor="text1" w:themeTint="F2"/>
          <w:szCs w:val="24"/>
        </w:rPr>
      </w:pPr>
      <w:r w:rsidRPr="00D1393A">
        <w:rPr>
          <w:color w:val="0D0D0D" w:themeColor="text1" w:themeTint="F2"/>
          <w:szCs w:val="24"/>
        </w:rPr>
        <w:t xml:space="preserve">Firstly the appeal was noted in the absence of a decision by the Chief Executive Officer.  It is a </w:t>
      </w:r>
      <w:r w:rsidR="00EB5CF9">
        <w:rPr>
          <w:color w:val="0D0D0D" w:themeColor="text1" w:themeTint="F2"/>
          <w:szCs w:val="24"/>
        </w:rPr>
        <w:t>trite</w:t>
      </w:r>
      <w:r w:rsidRPr="00D1393A">
        <w:rPr>
          <w:color w:val="0D0D0D" w:themeColor="text1" w:themeTint="F2"/>
          <w:szCs w:val="24"/>
        </w:rPr>
        <w:t xml:space="preserve"> position at law that an appeal is limited to the issues in the record and those </w:t>
      </w:r>
      <w:r w:rsidR="00EB5CF9">
        <w:rPr>
          <w:color w:val="0D0D0D" w:themeColor="text1" w:themeTint="F2"/>
          <w:szCs w:val="24"/>
        </w:rPr>
        <w:t>ensuring</w:t>
      </w:r>
      <w:r w:rsidR="0009489F" w:rsidRPr="00D1393A">
        <w:rPr>
          <w:color w:val="0D0D0D" w:themeColor="text1" w:themeTint="F2"/>
          <w:szCs w:val="24"/>
        </w:rPr>
        <w:t xml:space="preserve"> from the proceedings</w:t>
      </w:r>
      <w:r w:rsidRPr="00D1393A">
        <w:rPr>
          <w:color w:val="0D0D0D" w:themeColor="text1" w:themeTint="F2"/>
          <w:szCs w:val="24"/>
        </w:rPr>
        <w:t xml:space="preserve"> in the court a quo. </w:t>
      </w:r>
      <w:r w:rsidR="00EB5CF9" w:rsidRPr="00D1393A">
        <w:rPr>
          <w:color w:val="0D0D0D" w:themeColor="text1" w:themeTint="F2"/>
          <w:szCs w:val="24"/>
        </w:rPr>
        <w:t>See</w:t>
      </w:r>
      <w:r w:rsidR="00EB5CF9" w:rsidRPr="00D1393A">
        <w:rPr>
          <w:b/>
          <w:color w:val="0D0D0D" w:themeColor="text1" w:themeTint="F2"/>
          <w:szCs w:val="24"/>
        </w:rPr>
        <w:t xml:space="preserve"> </w:t>
      </w:r>
      <w:proofErr w:type="spellStart"/>
      <w:r w:rsidR="00EB5CF9" w:rsidRPr="00D1393A">
        <w:rPr>
          <w:b/>
          <w:color w:val="0D0D0D" w:themeColor="text1" w:themeTint="F2"/>
          <w:szCs w:val="24"/>
        </w:rPr>
        <w:t>Chikanda</w:t>
      </w:r>
      <w:proofErr w:type="spellEnd"/>
      <w:r w:rsidR="00EB5CF9" w:rsidRPr="00D1393A">
        <w:rPr>
          <w:b/>
          <w:color w:val="0D0D0D" w:themeColor="text1" w:themeTint="F2"/>
          <w:szCs w:val="24"/>
        </w:rPr>
        <w:t xml:space="preserve"> </w:t>
      </w:r>
      <w:proofErr w:type="spellStart"/>
      <w:r w:rsidR="00EB5CF9" w:rsidRPr="00D1393A">
        <w:rPr>
          <w:b/>
          <w:color w:val="0D0D0D" w:themeColor="text1" w:themeTint="F2"/>
          <w:szCs w:val="24"/>
        </w:rPr>
        <w:t>vs</w:t>
      </w:r>
      <w:proofErr w:type="spellEnd"/>
      <w:r w:rsidR="00EB5CF9" w:rsidRPr="00D1393A">
        <w:rPr>
          <w:b/>
          <w:color w:val="0D0D0D" w:themeColor="text1" w:themeTint="F2"/>
          <w:szCs w:val="24"/>
        </w:rPr>
        <w:t xml:space="preserve"> United Touring Co. SC 7/99</w:t>
      </w:r>
      <w:r w:rsidR="00EB5CF9" w:rsidRPr="00D1393A">
        <w:rPr>
          <w:color w:val="0D0D0D" w:themeColor="text1" w:themeTint="F2"/>
          <w:szCs w:val="24"/>
        </w:rPr>
        <w:t>.</w:t>
      </w:r>
      <w:r w:rsidR="00CE60CD">
        <w:rPr>
          <w:color w:val="0D0D0D" w:themeColor="text1" w:themeTint="F2"/>
          <w:szCs w:val="24"/>
        </w:rPr>
        <w:t xml:space="preserve"> </w:t>
      </w:r>
      <w:r w:rsidRPr="00D1393A">
        <w:rPr>
          <w:color w:val="0D0D0D" w:themeColor="text1" w:themeTint="F2"/>
          <w:szCs w:val="24"/>
        </w:rPr>
        <w:t>The Appellant clearly took a wrong</w:t>
      </w:r>
      <w:r w:rsidR="00001D42" w:rsidRPr="00D1393A">
        <w:rPr>
          <w:color w:val="0D0D0D" w:themeColor="text1" w:themeTint="F2"/>
          <w:szCs w:val="24"/>
        </w:rPr>
        <w:t xml:space="preserve"> procedure by seeking to appeal where there is no record of proceedings pertaining to the appeal placed before the Chief Executive</w:t>
      </w:r>
      <w:r w:rsidR="00615A0C">
        <w:rPr>
          <w:color w:val="0D0D0D" w:themeColor="text1" w:themeTint="F2"/>
          <w:szCs w:val="24"/>
        </w:rPr>
        <w:t xml:space="preserve"> Officer.  The second reason that the</w:t>
      </w:r>
      <w:r w:rsidR="00001D42" w:rsidRPr="00D1393A">
        <w:rPr>
          <w:color w:val="0D0D0D" w:themeColor="text1" w:themeTint="F2"/>
          <w:szCs w:val="24"/>
        </w:rPr>
        <w:t xml:space="preserve"> Appellant was inclined to attack the failure</w:t>
      </w:r>
      <w:r w:rsidR="00665256">
        <w:rPr>
          <w:color w:val="0D0D0D" w:themeColor="text1" w:themeTint="F2"/>
          <w:szCs w:val="24"/>
        </w:rPr>
        <w:t xml:space="preserve"> on Respondent</w:t>
      </w:r>
      <w:r w:rsidR="00615A0C">
        <w:rPr>
          <w:color w:val="0D0D0D" w:themeColor="text1" w:themeTint="F2"/>
          <w:szCs w:val="24"/>
        </w:rPr>
        <w:t>’s</w:t>
      </w:r>
      <w:r w:rsidR="00665256">
        <w:rPr>
          <w:color w:val="0D0D0D" w:themeColor="text1" w:themeTint="F2"/>
          <w:szCs w:val="24"/>
        </w:rPr>
        <w:t xml:space="preserve"> part</w:t>
      </w:r>
      <w:r w:rsidR="00001D42" w:rsidRPr="00D1393A">
        <w:rPr>
          <w:color w:val="0D0D0D" w:themeColor="text1" w:themeTint="F2"/>
          <w:szCs w:val="24"/>
        </w:rPr>
        <w:t xml:space="preserve"> to comply with processes under the relevant Code of Conduct he ought to have applied for a review.  By lodging an appeal he clearly adopted the wrong procedure.</w:t>
      </w:r>
      <w:r w:rsidR="00CE60CD">
        <w:rPr>
          <w:color w:val="0D0D0D" w:themeColor="text1" w:themeTint="F2"/>
          <w:szCs w:val="24"/>
        </w:rPr>
        <w:t xml:space="preserve"> It is trite that where the reason for </w:t>
      </w:r>
      <w:r w:rsidR="00020020">
        <w:rPr>
          <w:color w:val="0D0D0D" w:themeColor="text1" w:themeTint="F2"/>
          <w:szCs w:val="24"/>
        </w:rPr>
        <w:lastRenderedPageBreak/>
        <w:t>wan</w:t>
      </w:r>
      <w:r w:rsidR="00CE60CD">
        <w:rPr>
          <w:color w:val="0D0D0D" w:themeColor="text1" w:themeTint="F2"/>
          <w:szCs w:val="24"/>
        </w:rPr>
        <w:t>ting to have the judgment of a court set aside or a process to be set aside is due to some grievance against the</w:t>
      </w:r>
      <w:r w:rsidR="0030706C">
        <w:rPr>
          <w:color w:val="0D0D0D" w:themeColor="text1" w:themeTint="F2"/>
          <w:szCs w:val="24"/>
        </w:rPr>
        <w:t xml:space="preserve"> </w:t>
      </w:r>
      <w:r w:rsidR="008F187F">
        <w:rPr>
          <w:color w:val="0D0D0D" w:themeColor="text1" w:themeTint="F2"/>
          <w:szCs w:val="24"/>
        </w:rPr>
        <w:t xml:space="preserve">method of the trial </w:t>
      </w:r>
      <w:r w:rsidR="00020020">
        <w:rPr>
          <w:color w:val="0D0D0D" w:themeColor="text1" w:themeTint="F2"/>
          <w:szCs w:val="24"/>
        </w:rPr>
        <w:t>i</w:t>
      </w:r>
      <w:r w:rsidR="0030706C">
        <w:rPr>
          <w:color w:val="0D0D0D" w:themeColor="text1" w:themeTint="F2"/>
          <w:szCs w:val="24"/>
        </w:rPr>
        <w:t xml:space="preserve">t is proper to bring the case </w:t>
      </w:r>
      <w:r w:rsidR="000809C3">
        <w:rPr>
          <w:color w:val="0D0D0D" w:themeColor="text1" w:themeTint="F2"/>
          <w:szCs w:val="24"/>
        </w:rPr>
        <w:t xml:space="preserve">on review and not an appeal.  See </w:t>
      </w:r>
      <w:proofErr w:type="spellStart"/>
      <w:r w:rsidR="000809C3" w:rsidRPr="004F4C38">
        <w:rPr>
          <w:b/>
          <w:color w:val="0D0D0D" w:themeColor="text1" w:themeTint="F2"/>
          <w:szCs w:val="24"/>
        </w:rPr>
        <w:t>Pawanda</w:t>
      </w:r>
      <w:proofErr w:type="spellEnd"/>
      <w:r w:rsidR="000809C3" w:rsidRPr="004F4C38">
        <w:rPr>
          <w:b/>
          <w:color w:val="0D0D0D" w:themeColor="text1" w:themeTint="F2"/>
          <w:szCs w:val="24"/>
        </w:rPr>
        <w:t xml:space="preserve"> </w:t>
      </w:r>
      <w:proofErr w:type="spellStart"/>
      <w:r w:rsidR="000809C3" w:rsidRPr="004F4C38">
        <w:rPr>
          <w:b/>
          <w:color w:val="0D0D0D" w:themeColor="text1" w:themeTint="F2"/>
          <w:szCs w:val="24"/>
        </w:rPr>
        <w:t>vs</w:t>
      </w:r>
      <w:proofErr w:type="spellEnd"/>
      <w:r w:rsidR="000809C3" w:rsidRPr="004F4C38">
        <w:rPr>
          <w:b/>
          <w:color w:val="0D0D0D" w:themeColor="text1" w:themeTint="F2"/>
          <w:szCs w:val="24"/>
        </w:rPr>
        <w:t xml:space="preserve"> </w:t>
      </w:r>
      <w:proofErr w:type="spellStart"/>
      <w:r w:rsidR="000809C3" w:rsidRPr="004F4C38">
        <w:rPr>
          <w:b/>
          <w:color w:val="0D0D0D" w:themeColor="text1" w:themeTint="F2"/>
          <w:szCs w:val="24"/>
        </w:rPr>
        <w:t>Murewa</w:t>
      </w:r>
      <w:proofErr w:type="spellEnd"/>
      <w:r w:rsidR="000809C3" w:rsidRPr="004F4C38">
        <w:rPr>
          <w:b/>
          <w:color w:val="0D0D0D" w:themeColor="text1" w:themeTint="F2"/>
          <w:szCs w:val="24"/>
        </w:rPr>
        <w:t xml:space="preserve"> Rural District Council</w:t>
      </w:r>
      <w:r w:rsidR="000809C3">
        <w:rPr>
          <w:color w:val="0D0D0D" w:themeColor="text1" w:themeTint="F2"/>
          <w:szCs w:val="24"/>
        </w:rPr>
        <w:t xml:space="preserve"> LC/H/</w:t>
      </w:r>
      <w:r w:rsidR="004861A9">
        <w:rPr>
          <w:color w:val="0D0D0D" w:themeColor="text1" w:themeTint="F2"/>
          <w:szCs w:val="24"/>
        </w:rPr>
        <w:t xml:space="preserve">51/2010 and </w:t>
      </w:r>
      <w:proofErr w:type="spellStart"/>
      <w:r w:rsidR="004861A9" w:rsidRPr="004F4C38">
        <w:rPr>
          <w:b/>
          <w:color w:val="0D0D0D" w:themeColor="text1" w:themeTint="F2"/>
          <w:szCs w:val="24"/>
        </w:rPr>
        <w:t>Herbstein</w:t>
      </w:r>
      <w:proofErr w:type="spellEnd"/>
      <w:r w:rsidR="004861A9" w:rsidRPr="004F4C38">
        <w:rPr>
          <w:b/>
          <w:color w:val="0D0D0D" w:themeColor="text1" w:themeTint="F2"/>
          <w:szCs w:val="24"/>
        </w:rPr>
        <w:t xml:space="preserve"> &amp; Van</w:t>
      </w:r>
      <w:r w:rsidR="004F4C38">
        <w:rPr>
          <w:color w:val="0D0D0D" w:themeColor="text1" w:themeTint="F2"/>
          <w:szCs w:val="24"/>
        </w:rPr>
        <w:t xml:space="preserve"> </w:t>
      </w:r>
      <w:proofErr w:type="spellStart"/>
      <w:r w:rsidR="004F4C38" w:rsidRPr="004F4C38">
        <w:rPr>
          <w:b/>
          <w:color w:val="0D0D0D" w:themeColor="text1" w:themeTint="F2"/>
          <w:szCs w:val="24"/>
        </w:rPr>
        <w:t>W</w:t>
      </w:r>
      <w:r w:rsidR="004861A9" w:rsidRPr="004F4C38">
        <w:rPr>
          <w:b/>
          <w:color w:val="0D0D0D" w:themeColor="text1" w:themeTint="F2"/>
          <w:szCs w:val="24"/>
        </w:rPr>
        <w:t>insen</w:t>
      </w:r>
      <w:proofErr w:type="spellEnd"/>
      <w:r w:rsidR="004861A9">
        <w:rPr>
          <w:color w:val="0D0D0D" w:themeColor="text1" w:themeTint="F2"/>
          <w:szCs w:val="24"/>
        </w:rPr>
        <w:t xml:space="preserve"> – The Civil Practice of the Superior Courts in South Africa</w:t>
      </w:r>
      <w:r w:rsidR="004F4C38">
        <w:rPr>
          <w:color w:val="0D0D0D" w:themeColor="text1" w:themeTint="F2"/>
          <w:szCs w:val="24"/>
        </w:rPr>
        <w:t xml:space="preserve"> 2</w:t>
      </w:r>
      <w:r w:rsidR="004F4C38" w:rsidRPr="004F4C38">
        <w:rPr>
          <w:color w:val="0D0D0D" w:themeColor="text1" w:themeTint="F2"/>
          <w:szCs w:val="24"/>
          <w:vertAlign w:val="superscript"/>
        </w:rPr>
        <w:t>nd</w:t>
      </w:r>
      <w:r w:rsidR="004F4C38">
        <w:rPr>
          <w:color w:val="0D0D0D" w:themeColor="text1" w:themeTint="F2"/>
          <w:szCs w:val="24"/>
        </w:rPr>
        <w:t xml:space="preserve"> Ed at p668.</w:t>
      </w:r>
    </w:p>
    <w:p w:rsidR="00001D42" w:rsidRPr="00D1393A" w:rsidRDefault="00001D42" w:rsidP="00F54D96">
      <w:pPr>
        <w:rPr>
          <w:color w:val="0D0D0D" w:themeColor="text1" w:themeTint="F2"/>
          <w:szCs w:val="24"/>
        </w:rPr>
      </w:pPr>
      <w:r w:rsidRPr="00D1393A">
        <w:rPr>
          <w:color w:val="0D0D0D" w:themeColor="text1" w:themeTint="F2"/>
          <w:szCs w:val="24"/>
        </w:rPr>
        <w:t>For these two reason</w:t>
      </w:r>
      <w:r w:rsidR="0009489F" w:rsidRPr="00D1393A">
        <w:rPr>
          <w:color w:val="0D0D0D" w:themeColor="text1" w:themeTint="F2"/>
          <w:szCs w:val="24"/>
        </w:rPr>
        <w:t>s</w:t>
      </w:r>
      <w:r w:rsidRPr="00D1393A">
        <w:rPr>
          <w:color w:val="0D0D0D" w:themeColor="text1" w:themeTint="F2"/>
          <w:szCs w:val="24"/>
        </w:rPr>
        <w:t xml:space="preserve"> therefore the appeal clearly cannot be allowed to stand.</w:t>
      </w:r>
    </w:p>
    <w:p w:rsidR="00001D42" w:rsidRPr="00D1393A" w:rsidRDefault="00001D42" w:rsidP="00D16238">
      <w:pPr>
        <w:rPr>
          <w:color w:val="0D0D0D" w:themeColor="text1" w:themeTint="F2"/>
          <w:szCs w:val="24"/>
        </w:rPr>
      </w:pPr>
      <w:r w:rsidRPr="00D1393A">
        <w:rPr>
          <w:color w:val="0D0D0D" w:themeColor="text1" w:themeTint="F2"/>
          <w:szCs w:val="24"/>
        </w:rPr>
        <w:t>In the result the following order is made:</w:t>
      </w:r>
    </w:p>
    <w:p w:rsidR="00001D42" w:rsidRPr="00D1393A" w:rsidRDefault="00001D42" w:rsidP="0017435C">
      <w:pPr>
        <w:pStyle w:val="ListParagraph"/>
        <w:numPr>
          <w:ilvl w:val="0"/>
          <w:numId w:val="2"/>
        </w:numPr>
        <w:rPr>
          <w:color w:val="0D0D0D" w:themeColor="text1" w:themeTint="F2"/>
          <w:szCs w:val="24"/>
        </w:rPr>
      </w:pPr>
      <w:r w:rsidRPr="00D1393A">
        <w:rPr>
          <w:color w:val="0D0D0D" w:themeColor="text1" w:themeTint="F2"/>
          <w:szCs w:val="24"/>
        </w:rPr>
        <w:t>The appeal be and is hereby dismissed as being improperly placed before the court.</w:t>
      </w:r>
    </w:p>
    <w:p w:rsidR="00001D42" w:rsidRPr="00D1393A" w:rsidRDefault="00001D42" w:rsidP="00001D42">
      <w:pPr>
        <w:pStyle w:val="ListParagraph"/>
        <w:numPr>
          <w:ilvl w:val="0"/>
          <w:numId w:val="2"/>
        </w:numPr>
        <w:rPr>
          <w:color w:val="0D0D0D" w:themeColor="text1" w:themeTint="F2"/>
          <w:szCs w:val="24"/>
        </w:rPr>
      </w:pPr>
      <w:r w:rsidRPr="00D1393A">
        <w:rPr>
          <w:color w:val="0D0D0D" w:themeColor="text1" w:themeTint="F2"/>
          <w:szCs w:val="24"/>
        </w:rPr>
        <w:t>There is no order as to costs.</w:t>
      </w:r>
    </w:p>
    <w:p w:rsidR="00AE4393" w:rsidRPr="00DF40BE" w:rsidRDefault="00AE4393">
      <w:pPr>
        <w:rPr>
          <w:color w:val="0D0D0D" w:themeColor="text1" w:themeTint="F2"/>
          <w:sz w:val="22"/>
        </w:rPr>
      </w:pPr>
    </w:p>
    <w:sectPr w:rsidR="00AE4393" w:rsidRPr="00DF40BE" w:rsidSect="00402C4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B7" w:rsidRDefault="002E0EB7" w:rsidP="004F4C38">
      <w:pPr>
        <w:spacing w:before="0" w:after="0" w:line="240" w:lineRule="auto"/>
      </w:pPr>
      <w:r>
        <w:separator/>
      </w:r>
    </w:p>
  </w:endnote>
  <w:endnote w:type="continuationSeparator" w:id="0">
    <w:p w:rsidR="002E0EB7" w:rsidRDefault="002E0EB7" w:rsidP="004F4C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298008"/>
      <w:docPartObj>
        <w:docPartGallery w:val="Page Numbers (Bottom of Page)"/>
        <w:docPartUnique/>
      </w:docPartObj>
    </w:sdtPr>
    <w:sdtEndPr>
      <w:rPr>
        <w:noProof/>
      </w:rPr>
    </w:sdtEndPr>
    <w:sdtContent>
      <w:p w:rsidR="00F66012" w:rsidRDefault="00F66012">
        <w:pPr>
          <w:pStyle w:val="Footer"/>
          <w:jc w:val="center"/>
        </w:pPr>
        <w:r>
          <w:fldChar w:fldCharType="begin"/>
        </w:r>
        <w:r>
          <w:instrText xml:space="preserve"> PAGE   \* MERGEFORMAT </w:instrText>
        </w:r>
        <w:r>
          <w:fldChar w:fldCharType="separate"/>
        </w:r>
        <w:r w:rsidR="00386E32">
          <w:rPr>
            <w:noProof/>
          </w:rPr>
          <w:t>2</w:t>
        </w:r>
        <w:r>
          <w:rPr>
            <w:noProof/>
          </w:rPr>
          <w:fldChar w:fldCharType="end"/>
        </w:r>
      </w:p>
    </w:sdtContent>
  </w:sdt>
  <w:p w:rsidR="00F66012" w:rsidRDefault="00F66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B7" w:rsidRDefault="002E0EB7" w:rsidP="004F4C38">
      <w:pPr>
        <w:spacing w:before="0" w:after="0" w:line="240" w:lineRule="auto"/>
      </w:pPr>
      <w:r>
        <w:separator/>
      </w:r>
    </w:p>
  </w:footnote>
  <w:footnote w:type="continuationSeparator" w:id="0">
    <w:p w:rsidR="002E0EB7" w:rsidRDefault="002E0EB7" w:rsidP="004F4C3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38" w:rsidRDefault="00402C46">
    <w:pPr>
      <w:pStyle w:val="Header"/>
    </w:pPr>
    <w:r>
      <w:tab/>
    </w:r>
    <w:r>
      <w:tab/>
      <w:t>JUDGMENT NO. LC/H/</w:t>
    </w:r>
    <w:r w:rsidR="00386E32">
      <w:t>690</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80AB5"/>
    <w:multiLevelType w:val="hybridMultilevel"/>
    <w:tmpl w:val="B30080E6"/>
    <w:lvl w:ilvl="0" w:tplc="5E566248">
      <w:start w:val="1"/>
      <w:numFmt w:val="decimal"/>
      <w:lvlText w:val="%1."/>
      <w:lvlJc w:val="left"/>
      <w:pPr>
        <w:ind w:left="788" w:hanging="360"/>
      </w:pPr>
      <w:rPr>
        <w:rFonts w:ascii="Tahoma" w:eastAsiaTheme="minorHAnsi" w:hAnsi="Tahoma" w:cstheme="minorBidi"/>
      </w:rPr>
    </w:lvl>
    <w:lvl w:ilvl="1" w:tplc="30090003" w:tentative="1">
      <w:start w:val="1"/>
      <w:numFmt w:val="bullet"/>
      <w:lvlText w:val="o"/>
      <w:lvlJc w:val="left"/>
      <w:pPr>
        <w:ind w:left="1508" w:hanging="360"/>
      </w:pPr>
      <w:rPr>
        <w:rFonts w:ascii="Courier New" w:hAnsi="Courier New" w:cs="Courier New" w:hint="default"/>
      </w:rPr>
    </w:lvl>
    <w:lvl w:ilvl="2" w:tplc="30090005" w:tentative="1">
      <w:start w:val="1"/>
      <w:numFmt w:val="bullet"/>
      <w:lvlText w:val=""/>
      <w:lvlJc w:val="left"/>
      <w:pPr>
        <w:ind w:left="2228" w:hanging="360"/>
      </w:pPr>
      <w:rPr>
        <w:rFonts w:ascii="Wingdings" w:hAnsi="Wingdings" w:hint="default"/>
      </w:rPr>
    </w:lvl>
    <w:lvl w:ilvl="3" w:tplc="30090001" w:tentative="1">
      <w:start w:val="1"/>
      <w:numFmt w:val="bullet"/>
      <w:lvlText w:val=""/>
      <w:lvlJc w:val="left"/>
      <w:pPr>
        <w:ind w:left="2948" w:hanging="360"/>
      </w:pPr>
      <w:rPr>
        <w:rFonts w:ascii="Symbol" w:hAnsi="Symbol" w:hint="default"/>
      </w:rPr>
    </w:lvl>
    <w:lvl w:ilvl="4" w:tplc="30090003" w:tentative="1">
      <w:start w:val="1"/>
      <w:numFmt w:val="bullet"/>
      <w:lvlText w:val="o"/>
      <w:lvlJc w:val="left"/>
      <w:pPr>
        <w:ind w:left="3668" w:hanging="360"/>
      </w:pPr>
      <w:rPr>
        <w:rFonts w:ascii="Courier New" w:hAnsi="Courier New" w:cs="Courier New" w:hint="default"/>
      </w:rPr>
    </w:lvl>
    <w:lvl w:ilvl="5" w:tplc="30090005" w:tentative="1">
      <w:start w:val="1"/>
      <w:numFmt w:val="bullet"/>
      <w:lvlText w:val=""/>
      <w:lvlJc w:val="left"/>
      <w:pPr>
        <w:ind w:left="4388" w:hanging="360"/>
      </w:pPr>
      <w:rPr>
        <w:rFonts w:ascii="Wingdings" w:hAnsi="Wingdings" w:hint="default"/>
      </w:rPr>
    </w:lvl>
    <w:lvl w:ilvl="6" w:tplc="30090001" w:tentative="1">
      <w:start w:val="1"/>
      <w:numFmt w:val="bullet"/>
      <w:lvlText w:val=""/>
      <w:lvlJc w:val="left"/>
      <w:pPr>
        <w:ind w:left="5108" w:hanging="360"/>
      </w:pPr>
      <w:rPr>
        <w:rFonts w:ascii="Symbol" w:hAnsi="Symbol" w:hint="default"/>
      </w:rPr>
    </w:lvl>
    <w:lvl w:ilvl="7" w:tplc="30090003" w:tentative="1">
      <w:start w:val="1"/>
      <w:numFmt w:val="bullet"/>
      <w:lvlText w:val="o"/>
      <w:lvlJc w:val="left"/>
      <w:pPr>
        <w:ind w:left="5828" w:hanging="360"/>
      </w:pPr>
      <w:rPr>
        <w:rFonts w:ascii="Courier New" w:hAnsi="Courier New" w:cs="Courier New" w:hint="default"/>
      </w:rPr>
    </w:lvl>
    <w:lvl w:ilvl="8" w:tplc="30090005" w:tentative="1">
      <w:start w:val="1"/>
      <w:numFmt w:val="bullet"/>
      <w:lvlText w:val=""/>
      <w:lvlJc w:val="left"/>
      <w:pPr>
        <w:ind w:left="6548" w:hanging="360"/>
      </w:pPr>
      <w:rPr>
        <w:rFonts w:ascii="Wingdings" w:hAnsi="Wingdings" w:hint="default"/>
      </w:rPr>
    </w:lvl>
  </w:abstractNum>
  <w:abstractNum w:abstractNumId="1">
    <w:nsid w:val="72CE1E0A"/>
    <w:multiLevelType w:val="hybridMultilevel"/>
    <w:tmpl w:val="5E24DEA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BE"/>
    <w:rsid w:val="00001D42"/>
    <w:rsid w:val="00020020"/>
    <w:rsid w:val="000809C3"/>
    <w:rsid w:val="0009489F"/>
    <w:rsid w:val="000D0E78"/>
    <w:rsid w:val="0017435C"/>
    <w:rsid w:val="001C27E1"/>
    <w:rsid w:val="00255ADA"/>
    <w:rsid w:val="00256055"/>
    <w:rsid w:val="002719D4"/>
    <w:rsid w:val="002E0EB7"/>
    <w:rsid w:val="0030706C"/>
    <w:rsid w:val="00324A14"/>
    <w:rsid w:val="0033616E"/>
    <w:rsid w:val="00371955"/>
    <w:rsid w:val="00386E32"/>
    <w:rsid w:val="003E59AD"/>
    <w:rsid w:val="00402C46"/>
    <w:rsid w:val="004861A9"/>
    <w:rsid w:val="004B0250"/>
    <w:rsid w:val="004F0D55"/>
    <w:rsid w:val="004F4C38"/>
    <w:rsid w:val="00547360"/>
    <w:rsid w:val="0057303D"/>
    <w:rsid w:val="00574B62"/>
    <w:rsid w:val="005D3C88"/>
    <w:rsid w:val="00601DB4"/>
    <w:rsid w:val="00615A0C"/>
    <w:rsid w:val="00665256"/>
    <w:rsid w:val="006B792B"/>
    <w:rsid w:val="00703074"/>
    <w:rsid w:val="00720ABF"/>
    <w:rsid w:val="00814AAD"/>
    <w:rsid w:val="00824B81"/>
    <w:rsid w:val="00847325"/>
    <w:rsid w:val="008925C6"/>
    <w:rsid w:val="008949CA"/>
    <w:rsid w:val="008F187F"/>
    <w:rsid w:val="009171C9"/>
    <w:rsid w:val="00940C15"/>
    <w:rsid w:val="00AB0007"/>
    <w:rsid w:val="00AB52BB"/>
    <w:rsid w:val="00AB57DE"/>
    <w:rsid w:val="00AE4393"/>
    <w:rsid w:val="00AF1232"/>
    <w:rsid w:val="00B0161E"/>
    <w:rsid w:val="00B54333"/>
    <w:rsid w:val="00B5687A"/>
    <w:rsid w:val="00BB7CB7"/>
    <w:rsid w:val="00BD6A8C"/>
    <w:rsid w:val="00C11C23"/>
    <w:rsid w:val="00C137AA"/>
    <w:rsid w:val="00C560D5"/>
    <w:rsid w:val="00C57BB8"/>
    <w:rsid w:val="00C90ED9"/>
    <w:rsid w:val="00CB1901"/>
    <w:rsid w:val="00CE60CD"/>
    <w:rsid w:val="00D1393A"/>
    <w:rsid w:val="00D16238"/>
    <w:rsid w:val="00D55F17"/>
    <w:rsid w:val="00D74E0A"/>
    <w:rsid w:val="00D8136C"/>
    <w:rsid w:val="00DA667C"/>
    <w:rsid w:val="00DC7218"/>
    <w:rsid w:val="00DF40BE"/>
    <w:rsid w:val="00EB5CF9"/>
    <w:rsid w:val="00EC5A5C"/>
    <w:rsid w:val="00ED733E"/>
    <w:rsid w:val="00F07B59"/>
    <w:rsid w:val="00F5042F"/>
    <w:rsid w:val="00F54D96"/>
    <w:rsid w:val="00F66012"/>
    <w:rsid w:val="00FA6DFE"/>
    <w:rsid w:val="00FB5A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AB0007"/>
    <w:pPr>
      <w:ind w:left="720"/>
      <w:contextualSpacing/>
    </w:pPr>
  </w:style>
  <w:style w:type="paragraph" w:styleId="Header">
    <w:name w:val="header"/>
    <w:basedOn w:val="Normal"/>
    <w:link w:val="HeaderChar"/>
    <w:uiPriority w:val="99"/>
    <w:unhideWhenUsed/>
    <w:rsid w:val="004F4C3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4C38"/>
    <w:rPr>
      <w:color w:val="7F7F7F" w:themeColor="text1" w:themeTint="80"/>
      <w:sz w:val="24"/>
    </w:rPr>
  </w:style>
  <w:style w:type="paragraph" w:styleId="Footer">
    <w:name w:val="footer"/>
    <w:basedOn w:val="Normal"/>
    <w:link w:val="FooterChar"/>
    <w:uiPriority w:val="99"/>
    <w:unhideWhenUsed/>
    <w:rsid w:val="004F4C3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4C38"/>
    <w:rPr>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AB0007"/>
    <w:pPr>
      <w:ind w:left="720"/>
      <w:contextualSpacing/>
    </w:pPr>
  </w:style>
  <w:style w:type="paragraph" w:styleId="Header">
    <w:name w:val="header"/>
    <w:basedOn w:val="Normal"/>
    <w:link w:val="HeaderChar"/>
    <w:uiPriority w:val="99"/>
    <w:unhideWhenUsed/>
    <w:rsid w:val="004F4C3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4C38"/>
    <w:rPr>
      <w:color w:val="7F7F7F" w:themeColor="text1" w:themeTint="80"/>
      <w:sz w:val="24"/>
    </w:rPr>
  </w:style>
  <w:style w:type="paragraph" w:styleId="Footer">
    <w:name w:val="footer"/>
    <w:basedOn w:val="Normal"/>
    <w:link w:val="FooterChar"/>
    <w:uiPriority w:val="99"/>
    <w:unhideWhenUsed/>
    <w:rsid w:val="004F4C3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4C38"/>
    <w:rPr>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14</cp:revision>
  <cp:lastPrinted>2016-10-28T05:41:00Z</cp:lastPrinted>
  <dcterms:created xsi:type="dcterms:W3CDTF">2016-10-27T14:07:00Z</dcterms:created>
  <dcterms:modified xsi:type="dcterms:W3CDTF">2016-10-31T12:12:00Z</dcterms:modified>
</cp:coreProperties>
</file>