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5B" w:rsidRDefault="00C9795B" w:rsidP="0009176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TAPIWA MARK CHIMOMBE </w:t>
      </w:r>
    </w:p>
    <w:p w:rsidR="00C9795B" w:rsidRDefault="00693333" w:rsidP="0009176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9795B">
        <w:rPr>
          <w:rFonts w:ascii="Times New Roman" w:hAnsi="Times New Roman" w:cs="Times New Roman"/>
          <w:sz w:val="24"/>
          <w:szCs w:val="24"/>
        </w:rPr>
        <w:t>ersus</w:t>
      </w:r>
    </w:p>
    <w:p w:rsidR="00C9795B" w:rsidRDefault="00C9795B" w:rsidP="000917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AUDREY RUNGANO CHIMOMBE (NEE MAGUME) </w:t>
      </w:r>
    </w:p>
    <w:p w:rsidR="00693333" w:rsidRDefault="00693333" w:rsidP="00091761">
      <w:pPr>
        <w:spacing w:after="0" w:line="240" w:lineRule="auto"/>
        <w:rPr>
          <w:rFonts w:ascii="Times New Roman" w:hAnsi="Times New Roman" w:cs="Times New Roman"/>
          <w:sz w:val="24"/>
          <w:szCs w:val="24"/>
        </w:rPr>
      </w:pPr>
    </w:p>
    <w:p w:rsidR="00693333" w:rsidRDefault="00693333" w:rsidP="0009176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9795B" w:rsidRDefault="00C9795B" w:rsidP="000917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C9795B" w:rsidRDefault="00C9795B" w:rsidP="000917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8 September </w:t>
      </w:r>
      <w:r w:rsidR="00C60486">
        <w:rPr>
          <w:rFonts w:ascii="Times New Roman" w:hAnsi="Times New Roman" w:cs="Times New Roman"/>
          <w:sz w:val="24"/>
          <w:szCs w:val="24"/>
        </w:rPr>
        <w:t>2020 &amp; 18 February 2021</w:t>
      </w:r>
    </w:p>
    <w:p w:rsidR="00C9795B" w:rsidRDefault="00C9795B" w:rsidP="00091761">
      <w:pPr>
        <w:spacing w:after="0" w:line="240" w:lineRule="auto"/>
        <w:rPr>
          <w:rFonts w:ascii="Times New Roman" w:hAnsi="Times New Roman" w:cs="Times New Roman"/>
          <w:b/>
          <w:sz w:val="24"/>
          <w:szCs w:val="24"/>
        </w:rPr>
      </w:pPr>
    </w:p>
    <w:p w:rsidR="00693333" w:rsidRDefault="00693333" w:rsidP="00091761">
      <w:pPr>
        <w:spacing w:after="0" w:line="240" w:lineRule="auto"/>
        <w:rPr>
          <w:rFonts w:ascii="Times New Roman" w:hAnsi="Times New Roman" w:cs="Times New Roman"/>
          <w:b/>
          <w:sz w:val="24"/>
          <w:szCs w:val="24"/>
        </w:rPr>
      </w:pPr>
    </w:p>
    <w:p w:rsidR="00C9795B" w:rsidRDefault="00693333" w:rsidP="00091761">
      <w:pPr>
        <w:spacing w:after="0" w:line="240" w:lineRule="auto"/>
        <w:rPr>
          <w:rFonts w:ascii="Times New Roman" w:hAnsi="Times New Roman" w:cs="Times New Roman"/>
          <w:b/>
          <w:sz w:val="24"/>
          <w:szCs w:val="24"/>
        </w:rPr>
      </w:pPr>
      <w:r>
        <w:rPr>
          <w:rFonts w:ascii="Times New Roman" w:hAnsi="Times New Roman" w:cs="Times New Roman"/>
          <w:b/>
          <w:sz w:val="24"/>
          <w:szCs w:val="24"/>
        </w:rPr>
        <w:t>Special Plea</w:t>
      </w:r>
    </w:p>
    <w:p w:rsidR="00C9795B" w:rsidRDefault="00C9795B" w:rsidP="00091761">
      <w:pPr>
        <w:spacing w:after="0" w:line="240" w:lineRule="auto"/>
        <w:jc w:val="both"/>
        <w:rPr>
          <w:rFonts w:ascii="Times New Roman" w:hAnsi="Times New Roman" w:cs="Times New Roman"/>
          <w:sz w:val="24"/>
          <w:szCs w:val="24"/>
        </w:rPr>
      </w:pPr>
    </w:p>
    <w:p w:rsidR="00C9795B" w:rsidRDefault="00C9795B" w:rsidP="00091761">
      <w:pPr>
        <w:spacing w:after="0" w:line="240" w:lineRule="auto"/>
        <w:jc w:val="both"/>
        <w:rPr>
          <w:rFonts w:ascii="Times New Roman" w:hAnsi="Times New Roman" w:cs="Times New Roman"/>
          <w:sz w:val="24"/>
          <w:szCs w:val="24"/>
        </w:rPr>
      </w:pPr>
      <w:r w:rsidRPr="00693333">
        <w:rPr>
          <w:rFonts w:ascii="Times New Roman" w:hAnsi="Times New Roman" w:cs="Times New Roman"/>
          <w:i/>
          <w:sz w:val="24"/>
          <w:szCs w:val="24"/>
        </w:rPr>
        <w:t>H Nkomo</w:t>
      </w:r>
      <w:r>
        <w:rPr>
          <w:rFonts w:ascii="Times New Roman" w:hAnsi="Times New Roman" w:cs="Times New Roman"/>
          <w:sz w:val="24"/>
          <w:szCs w:val="24"/>
        </w:rPr>
        <w:t>, for the plaintiff</w:t>
      </w:r>
    </w:p>
    <w:p w:rsidR="00C9795B" w:rsidRDefault="00C9795B" w:rsidP="00091761">
      <w:pPr>
        <w:spacing w:after="0" w:line="240" w:lineRule="auto"/>
        <w:jc w:val="both"/>
        <w:rPr>
          <w:rFonts w:ascii="Times New Roman" w:hAnsi="Times New Roman" w:cs="Times New Roman"/>
          <w:sz w:val="24"/>
          <w:szCs w:val="24"/>
        </w:rPr>
      </w:pPr>
      <w:r w:rsidRPr="00693333">
        <w:rPr>
          <w:rFonts w:ascii="Times New Roman" w:hAnsi="Times New Roman" w:cs="Times New Roman"/>
          <w:i/>
          <w:sz w:val="24"/>
          <w:szCs w:val="24"/>
        </w:rPr>
        <w:t>J Ndlovu</w:t>
      </w:r>
      <w:r>
        <w:rPr>
          <w:rFonts w:ascii="Times New Roman" w:hAnsi="Times New Roman" w:cs="Times New Roman"/>
          <w:sz w:val="24"/>
          <w:szCs w:val="24"/>
        </w:rPr>
        <w:t>, for the defendant</w:t>
      </w:r>
    </w:p>
    <w:p w:rsidR="00C9795B" w:rsidRDefault="00C9795B" w:rsidP="00091761">
      <w:pPr>
        <w:spacing w:after="0" w:line="240" w:lineRule="auto"/>
        <w:jc w:val="both"/>
        <w:rPr>
          <w:rFonts w:ascii="Times New Roman" w:hAnsi="Times New Roman" w:cs="Times New Roman"/>
          <w:sz w:val="24"/>
          <w:szCs w:val="24"/>
        </w:rPr>
      </w:pPr>
    </w:p>
    <w:p w:rsidR="00C9795B" w:rsidRDefault="00C9795B" w:rsidP="00091761">
      <w:pPr>
        <w:spacing w:line="240" w:lineRule="auto"/>
        <w:jc w:val="both"/>
        <w:rPr>
          <w:rFonts w:ascii="Times New Roman" w:hAnsi="Times New Roman" w:cs="Times New Roman"/>
          <w:sz w:val="24"/>
          <w:szCs w:val="24"/>
        </w:rPr>
      </w:pPr>
    </w:p>
    <w:p w:rsidR="00A4254E" w:rsidRDefault="00693333" w:rsidP="00693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795B">
        <w:rPr>
          <w:rFonts w:ascii="Times New Roman" w:hAnsi="Times New Roman" w:cs="Times New Roman"/>
          <w:sz w:val="24"/>
          <w:szCs w:val="24"/>
        </w:rPr>
        <w:t xml:space="preserve">MANZUNZU J </w:t>
      </w:r>
      <w:r w:rsidR="00DA5B51">
        <w:rPr>
          <w:rFonts w:ascii="Times New Roman" w:hAnsi="Times New Roman" w:cs="Times New Roman"/>
          <w:sz w:val="24"/>
          <w:szCs w:val="24"/>
        </w:rPr>
        <w:t xml:space="preserve">This ruling relates to a point </w:t>
      </w:r>
      <w:r w:rsidR="00DA5B51" w:rsidRPr="00693333">
        <w:rPr>
          <w:rFonts w:ascii="Times New Roman" w:hAnsi="Times New Roman" w:cs="Times New Roman"/>
          <w:i/>
          <w:sz w:val="24"/>
          <w:szCs w:val="24"/>
        </w:rPr>
        <w:t>in limine</w:t>
      </w:r>
      <w:r w:rsidR="00DA5B51">
        <w:rPr>
          <w:rFonts w:ascii="Times New Roman" w:hAnsi="Times New Roman" w:cs="Times New Roman"/>
          <w:sz w:val="24"/>
          <w:szCs w:val="24"/>
        </w:rPr>
        <w:t xml:space="preserve"> raised by the plaintiff to the defendant’s plea in bar/abatement. </w:t>
      </w:r>
    </w:p>
    <w:p w:rsidR="00D430F8" w:rsidRDefault="00693333" w:rsidP="00693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254E">
        <w:rPr>
          <w:rFonts w:ascii="Times New Roman" w:hAnsi="Times New Roman" w:cs="Times New Roman"/>
          <w:sz w:val="24"/>
          <w:szCs w:val="24"/>
        </w:rPr>
        <w:t xml:space="preserve">The brief </w:t>
      </w:r>
      <w:r w:rsidR="00DA5B51">
        <w:rPr>
          <w:rFonts w:ascii="Times New Roman" w:hAnsi="Times New Roman" w:cs="Times New Roman"/>
          <w:sz w:val="24"/>
          <w:szCs w:val="24"/>
        </w:rPr>
        <w:t xml:space="preserve">background of the matter is that the parties are married in terms of the Marriage </w:t>
      </w:r>
      <w:r w:rsidR="00DA5B51" w:rsidRPr="00693333">
        <w:rPr>
          <w:rFonts w:ascii="Times New Roman" w:hAnsi="Times New Roman" w:cs="Times New Roman"/>
          <w:sz w:val="24"/>
          <w:szCs w:val="24"/>
        </w:rPr>
        <w:t>Act,</w:t>
      </w:r>
      <w:r w:rsidR="00DA5B51" w:rsidRPr="00693333">
        <w:rPr>
          <w:rFonts w:ascii="Times New Roman" w:hAnsi="Times New Roman" w:cs="Times New Roman"/>
          <w:i/>
          <w:sz w:val="24"/>
          <w:szCs w:val="24"/>
        </w:rPr>
        <w:t xml:space="preserve"> </w:t>
      </w:r>
      <w:r>
        <w:rPr>
          <w:rFonts w:ascii="Times New Roman" w:hAnsi="Times New Roman" w:cs="Times New Roman"/>
          <w:i/>
          <w:sz w:val="24"/>
          <w:szCs w:val="24"/>
        </w:rPr>
        <w:t>[</w:t>
      </w:r>
      <w:r w:rsidR="00DA5B51" w:rsidRPr="00693333">
        <w:rPr>
          <w:rFonts w:ascii="Times New Roman" w:hAnsi="Times New Roman" w:cs="Times New Roman"/>
          <w:i/>
          <w:sz w:val="24"/>
          <w:szCs w:val="24"/>
        </w:rPr>
        <w:t>Chapter 5:11</w:t>
      </w:r>
      <w:r>
        <w:rPr>
          <w:rFonts w:ascii="Times New Roman" w:hAnsi="Times New Roman" w:cs="Times New Roman"/>
          <w:i/>
          <w:sz w:val="24"/>
          <w:szCs w:val="24"/>
        </w:rPr>
        <w:t>]</w:t>
      </w:r>
      <w:r w:rsidR="00DA5B51">
        <w:rPr>
          <w:rFonts w:ascii="Times New Roman" w:hAnsi="Times New Roman" w:cs="Times New Roman"/>
          <w:sz w:val="24"/>
          <w:szCs w:val="24"/>
        </w:rPr>
        <w:t xml:space="preserve">. On 18 February 2019 the plaintiff instituted divorce summons under case number HC 1271/19. On 5 March 2019 the defendant </w:t>
      </w:r>
      <w:r w:rsidR="00A4254E">
        <w:rPr>
          <w:rFonts w:ascii="Times New Roman" w:hAnsi="Times New Roman" w:cs="Times New Roman"/>
          <w:sz w:val="24"/>
          <w:szCs w:val="24"/>
        </w:rPr>
        <w:t>e</w:t>
      </w:r>
      <w:r w:rsidR="00DA5B51">
        <w:rPr>
          <w:rFonts w:ascii="Times New Roman" w:hAnsi="Times New Roman" w:cs="Times New Roman"/>
          <w:sz w:val="24"/>
          <w:szCs w:val="24"/>
        </w:rPr>
        <w:t>ntered an appearance to defend and subsequently filed a plea and claim in reconvention on 7 March 2019. On 20 March 2019 the plaintiff file</w:t>
      </w:r>
      <w:r w:rsidR="009208B2">
        <w:rPr>
          <w:rFonts w:ascii="Times New Roman" w:hAnsi="Times New Roman" w:cs="Times New Roman"/>
          <w:sz w:val="24"/>
          <w:szCs w:val="24"/>
        </w:rPr>
        <w:t>d</w:t>
      </w:r>
      <w:r w:rsidR="00DA5B51">
        <w:rPr>
          <w:rFonts w:ascii="Times New Roman" w:hAnsi="Times New Roman" w:cs="Times New Roman"/>
          <w:sz w:val="24"/>
          <w:szCs w:val="24"/>
        </w:rPr>
        <w:t xml:space="preserve"> a replication to defendant’s plea and also filed a plea to the defendant’s claim in reconvention. On 8 May 2019 the plaintiff withdrew his action against the defendant under HC 1271/19. The defendant did not follow suit to withdraw the counter-claim.</w:t>
      </w:r>
    </w:p>
    <w:p w:rsidR="0077005F" w:rsidRDefault="00693333" w:rsidP="00693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4D8B">
        <w:rPr>
          <w:rFonts w:ascii="Times New Roman" w:hAnsi="Times New Roman" w:cs="Times New Roman"/>
          <w:sz w:val="24"/>
          <w:szCs w:val="24"/>
        </w:rPr>
        <w:t xml:space="preserve">The withdrawal of the plaintiff’s claim rendered the </w:t>
      </w:r>
      <w:r w:rsidR="0077005F">
        <w:rPr>
          <w:rFonts w:ascii="Times New Roman" w:hAnsi="Times New Roman" w:cs="Times New Roman"/>
          <w:sz w:val="24"/>
          <w:szCs w:val="24"/>
        </w:rPr>
        <w:t xml:space="preserve">defendant’s </w:t>
      </w:r>
      <w:r w:rsidR="00C84D8B">
        <w:rPr>
          <w:rFonts w:ascii="Times New Roman" w:hAnsi="Times New Roman" w:cs="Times New Roman"/>
          <w:sz w:val="24"/>
          <w:szCs w:val="24"/>
        </w:rPr>
        <w:t xml:space="preserve">appearance to defend, defendant’s plea and plaintiff’s replication to defendant’s plea nugatory. </w:t>
      </w:r>
      <w:r w:rsidR="00C84D8B" w:rsidRPr="008D0685">
        <w:rPr>
          <w:rFonts w:ascii="Times New Roman" w:hAnsi="Times New Roman" w:cs="Times New Roman"/>
          <w:sz w:val="24"/>
          <w:szCs w:val="24"/>
        </w:rPr>
        <w:t>The parties differ on its effect to the counterclaim and plaintiff’s plea to the claim</w:t>
      </w:r>
      <w:r w:rsidR="00F216B3" w:rsidRPr="008D0685">
        <w:rPr>
          <w:rFonts w:ascii="Times New Roman" w:hAnsi="Times New Roman" w:cs="Times New Roman"/>
          <w:sz w:val="24"/>
          <w:szCs w:val="24"/>
        </w:rPr>
        <w:t xml:space="preserve"> in reconvention</w:t>
      </w:r>
      <w:r w:rsidR="00F216B3">
        <w:rPr>
          <w:rFonts w:ascii="Times New Roman" w:hAnsi="Times New Roman" w:cs="Times New Roman"/>
          <w:sz w:val="24"/>
          <w:szCs w:val="24"/>
        </w:rPr>
        <w:t xml:space="preserve">. Having withdrawn his divorce action in HC 1271/19 the plaintiff proceeded to file this second divorce action on 7 February 2020 under HC 950/20. It is in respect of this second action that the defendant filed a special plea of </w:t>
      </w:r>
      <w:r w:rsidR="00F216B3" w:rsidRPr="00693333">
        <w:rPr>
          <w:rFonts w:ascii="Times New Roman" w:hAnsi="Times New Roman" w:cs="Times New Roman"/>
          <w:i/>
          <w:sz w:val="24"/>
          <w:szCs w:val="24"/>
        </w:rPr>
        <w:t>lis alibi pendens</w:t>
      </w:r>
      <w:r w:rsidR="00F216B3">
        <w:rPr>
          <w:rFonts w:ascii="Times New Roman" w:hAnsi="Times New Roman" w:cs="Times New Roman"/>
          <w:sz w:val="24"/>
          <w:szCs w:val="24"/>
        </w:rPr>
        <w:t>. The defendant is saying there is litigation pending between the parties on the same action in respect of the same subject matter under Case number HC 1271/1</w:t>
      </w:r>
      <w:r w:rsidR="0077005F">
        <w:rPr>
          <w:rFonts w:ascii="Times New Roman" w:hAnsi="Times New Roman" w:cs="Times New Roman"/>
          <w:sz w:val="24"/>
          <w:szCs w:val="24"/>
        </w:rPr>
        <w:t xml:space="preserve">9. The defendant’s position is </w:t>
      </w:r>
      <w:r w:rsidR="00F216B3">
        <w:rPr>
          <w:rFonts w:ascii="Times New Roman" w:hAnsi="Times New Roman" w:cs="Times New Roman"/>
          <w:sz w:val="24"/>
          <w:szCs w:val="24"/>
        </w:rPr>
        <w:t>that the counter-claim in HC 1271/19 is still pending before this court hence there is duplication of actions. She seeks dismissal of the plaintiff’s claim in HC 950/20 with costs.</w:t>
      </w:r>
      <w:r w:rsidR="0077005F">
        <w:rPr>
          <w:rFonts w:ascii="Times New Roman" w:hAnsi="Times New Roman" w:cs="Times New Roman"/>
          <w:sz w:val="24"/>
          <w:szCs w:val="24"/>
        </w:rPr>
        <w:t xml:space="preserve"> However, I believe on second reflection in the heads of argument the defendant seeks that case number HC 950/20 be stayed pending the finalization of divorce action under case number HC 1271/19.</w:t>
      </w:r>
    </w:p>
    <w:p w:rsidR="00283E4E" w:rsidRDefault="00693333" w:rsidP="00693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7005F">
        <w:rPr>
          <w:rFonts w:ascii="Times New Roman" w:hAnsi="Times New Roman" w:cs="Times New Roman"/>
          <w:sz w:val="24"/>
          <w:szCs w:val="24"/>
        </w:rPr>
        <w:t>The defendant filed a</w:t>
      </w:r>
      <w:r w:rsidR="00F216B3">
        <w:rPr>
          <w:rFonts w:ascii="Times New Roman" w:hAnsi="Times New Roman" w:cs="Times New Roman"/>
          <w:sz w:val="24"/>
          <w:szCs w:val="24"/>
        </w:rPr>
        <w:t xml:space="preserve"> plea in abatement o</w:t>
      </w:r>
      <w:r w:rsidR="0077005F">
        <w:rPr>
          <w:rFonts w:ascii="Times New Roman" w:hAnsi="Times New Roman" w:cs="Times New Roman"/>
          <w:sz w:val="24"/>
          <w:szCs w:val="24"/>
        </w:rPr>
        <w:t>n 19 June 2020 followed with heads</w:t>
      </w:r>
      <w:r w:rsidR="00F216B3">
        <w:rPr>
          <w:rFonts w:ascii="Times New Roman" w:hAnsi="Times New Roman" w:cs="Times New Roman"/>
          <w:sz w:val="24"/>
          <w:szCs w:val="24"/>
        </w:rPr>
        <w:t xml:space="preserve"> </w:t>
      </w:r>
      <w:r w:rsidR="0077005F">
        <w:rPr>
          <w:rFonts w:ascii="Times New Roman" w:hAnsi="Times New Roman" w:cs="Times New Roman"/>
          <w:sz w:val="24"/>
          <w:szCs w:val="24"/>
        </w:rPr>
        <w:t xml:space="preserve">of argument </w:t>
      </w:r>
      <w:r w:rsidR="00F216B3">
        <w:rPr>
          <w:rFonts w:ascii="Times New Roman" w:hAnsi="Times New Roman" w:cs="Times New Roman"/>
          <w:sz w:val="24"/>
          <w:szCs w:val="24"/>
        </w:rPr>
        <w:t xml:space="preserve">on 24 June 2020 and </w:t>
      </w:r>
      <w:r w:rsidR="00770E69">
        <w:rPr>
          <w:rFonts w:ascii="Times New Roman" w:hAnsi="Times New Roman" w:cs="Times New Roman"/>
          <w:sz w:val="24"/>
          <w:szCs w:val="24"/>
        </w:rPr>
        <w:t xml:space="preserve">proceeded to file </w:t>
      </w:r>
      <w:r w:rsidR="00F216B3">
        <w:rPr>
          <w:rFonts w:ascii="Times New Roman" w:hAnsi="Times New Roman" w:cs="Times New Roman"/>
          <w:sz w:val="24"/>
          <w:szCs w:val="24"/>
        </w:rPr>
        <w:t xml:space="preserve">a notice of set down </w:t>
      </w:r>
      <w:r w:rsidR="0077005F">
        <w:rPr>
          <w:rFonts w:ascii="Times New Roman" w:hAnsi="Times New Roman" w:cs="Times New Roman"/>
          <w:sz w:val="24"/>
          <w:szCs w:val="24"/>
        </w:rPr>
        <w:t xml:space="preserve">on 29 June 2020 </w:t>
      </w:r>
      <w:r w:rsidR="00F216B3">
        <w:rPr>
          <w:rFonts w:ascii="Times New Roman" w:hAnsi="Times New Roman" w:cs="Times New Roman"/>
          <w:sz w:val="24"/>
          <w:szCs w:val="24"/>
        </w:rPr>
        <w:t xml:space="preserve">for the </w:t>
      </w:r>
      <w:r w:rsidR="00770E69">
        <w:rPr>
          <w:rFonts w:ascii="Times New Roman" w:hAnsi="Times New Roman" w:cs="Times New Roman"/>
          <w:sz w:val="24"/>
          <w:szCs w:val="24"/>
        </w:rPr>
        <w:t xml:space="preserve">hearing of the </w:t>
      </w:r>
      <w:r w:rsidR="00F216B3">
        <w:rPr>
          <w:rFonts w:ascii="Times New Roman" w:hAnsi="Times New Roman" w:cs="Times New Roman"/>
          <w:sz w:val="24"/>
          <w:szCs w:val="24"/>
        </w:rPr>
        <w:t>special plea</w:t>
      </w:r>
      <w:r w:rsidR="00770E69">
        <w:rPr>
          <w:rFonts w:ascii="Times New Roman" w:hAnsi="Times New Roman" w:cs="Times New Roman"/>
          <w:sz w:val="24"/>
          <w:szCs w:val="24"/>
        </w:rPr>
        <w:t>. The plaintiff filed replication to the defendant’s special plea on 2 July 2020 and raised a preliminary point that the defendant used the wrong procedure as it robs the parties th</w:t>
      </w:r>
      <w:r w:rsidR="0077005F">
        <w:rPr>
          <w:rFonts w:ascii="Times New Roman" w:hAnsi="Times New Roman" w:cs="Times New Roman"/>
          <w:sz w:val="24"/>
          <w:szCs w:val="24"/>
        </w:rPr>
        <w:t>e opportunity to lead evidence.</w:t>
      </w:r>
      <w:r w:rsidR="00770E69">
        <w:rPr>
          <w:rFonts w:ascii="Times New Roman" w:hAnsi="Times New Roman" w:cs="Times New Roman"/>
          <w:sz w:val="24"/>
          <w:szCs w:val="24"/>
        </w:rPr>
        <w:t xml:space="preserve"> </w:t>
      </w:r>
    </w:p>
    <w:p w:rsidR="00693333" w:rsidRDefault="00693333" w:rsidP="006933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7005F">
        <w:rPr>
          <w:rFonts w:ascii="Times New Roman" w:hAnsi="Times New Roman" w:cs="Times New Roman"/>
          <w:sz w:val="24"/>
          <w:szCs w:val="24"/>
        </w:rPr>
        <w:t xml:space="preserve">Mr </w:t>
      </w:r>
      <w:r w:rsidR="0077005F" w:rsidRPr="00693333">
        <w:rPr>
          <w:rFonts w:ascii="Times New Roman" w:hAnsi="Times New Roman" w:cs="Times New Roman"/>
          <w:i/>
          <w:sz w:val="24"/>
          <w:szCs w:val="24"/>
        </w:rPr>
        <w:t xml:space="preserve">Nkomo </w:t>
      </w:r>
      <w:r w:rsidR="0077005F">
        <w:rPr>
          <w:rFonts w:ascii="Times New Roman" w:hAnsi="Times New Roman" w:cs="Times New Roman"/>
          <w:sz w:val="24"/>
          <w:szCs w:val="24"/>
        </w:rPr>
        <w:t xml:space="preserve">who represented the plaintiff argued in support of the preliminary point taken that there was need for oral evidence to be led in dealing with the plea of </w:t>
      </w:r>
      <w:r w:rsidR="0077005F" w:rsidRPr="00693333">
        <w:rPr>
          <w:rFonts w:ascii="Times New Roman" w:hAnsi="Times New Roman" w:cs="Times New Roman"/>
          <w:i/>
          <w:sz w:val="24"/>
          <w:szCs w:val="24"/>
        </w:rPr>
        <w:t>lis pendens</w:t>
      </w:r>
      <w:r w:rsidR="0077005F">
        <w:rPr>
          <w:rFonts w:ascii="Times New Roman" w:hAnsi="Times New Roman" w:cs="Times New Roman"/>
          <w:sz w:val="24"/>
          <w:szCs w:val="24"/>
        </w:rPr>
        <w:t xml:space="preserve">. He said the matter cannot be disposed on the basis of pleadings and heads of argument as if it were an exception. </w:t>
      </w:r>
      <w:r w:rsidR="00ED5D00">
        <w:rPr>
          <w:rFonts w:ascii="Times New Roman" w:hAnsi="Times New Roman" w:cs="Times New Roman"/>
          <w:sz w:val="24"/>
          <w:szCs w:val="24"/>
        </w:rPr>
        <w:t xml:space="preserve">He relied on a plethora of authorities to support his argument. First was the case of </w:t>
      </w:r>
      <w:r w:rsidR="00B71ADA">
        <w:rPr>
          <w:rFonts w:ascii="Times New Roman" w:hAnsi="Times New Roman" w:cs="Times New Roman"/>
          <w:sz w:val="24"/>
          <w:szCs w:val="24"/>
        </w:rPr>
        <w:t xml:space="preserve"> </w:t>
      </w:r>
      <w:r w:rsidR="00B71ADA" w:rsidRPr="00FE1801">
        <w:rPr>
          <w:rFonts w:ascii="Times New Roman" w:hAnsi="Times New Roman" w:cs="Times New Roman"/>
          <w:i/>
          <w:sz w:val="24"/>
          <w:szCs w:val="24"/>
        </w:rPr>
        <w:t>Cabat Trade and Finance</w:t>
      </w:r>
      <w:r w:rsidR="00B71ADA">
        <w:rPr>
          <w:rFonts w:ascii="Times New Roman" w:hAnsi="Times New Roman" w:cs="Times New Roman"/>
          <w:sz w:val="24"/>
          <w:szCs w:val="24"/>
        </w:rPr>
        <w:t xml:space="preserve"> v </w:t>
      </w:r>
      <w:r w:rsidR="00737CD5" w:rsidRPr="00FE1801">
        <w:rPr>
          <w:rFonts w:ascii="Times New Roman" w:hAnsi="Times New Roman" w:cs="Times New Roman"/>
          <w:i/>
          <w:sz w:val="24"/>
          <w:szCs w:val="24"/>
        </w:rPr>
        <w:t>Movement of Democratic Change</w:t>
      </w:r>
      <w:r w:rsidR="00737CD5">
        <w:rPr>
          <w:rFonts w:ascii="Times New Roman" w:hAnsi="Times New Roman" w:cs="Times New Roman"/>
          <w:sz w:val="24"/>
          <w:szCs w:val="24"/>
        </w:rPr>
        <w:t xml:space="preserve">, SC 50-12 where </w:t>
      </w:r>
      <w:r w:rsidR="00737CD5" w:rsidRPr="00693333">
        <w:rPr>
          <w:rFonts w:ascii="Times New Roman" w:hAnsi="Times New Roman" w:cs="Times New Roman"/>
          <w:smallCaps/>
          <w:sz w:val="24"/>
          <w:szCs w:val="24"/>
        </w:rPr>
        <w:t>Malaba DCJ</w:t>
      </w:r>
      <w:r w:rsidR="00737CD5">
        <w:rPr>
          <w:rFonts w:ascii="Times New Roman" w:hAnsi="Times New Roman" w:cs="Times New Roman"/>
          <w:sz w:val="24"/>
          <w:szCs w:val="24"/>
        </w:rPr>
        <w:t xml:space="preserve"> (as he then was) had this to say,</w:t>
      </w:r>
    </w:p>
    <w:p w:rsidR="00E60811" w:rsidRPr="00693333" w:rsidRDefault="00693333" w:rsidP="00693333">
      <w:pPr>
        <w:spacing w:line="240" w:lineRule="auto"/>
        <w:jc w:val="both"/>
        <w:rPr>
          <w:rFonts w:ascii="Times New Roman" w:hAnsi="Times New Roman" w:cs="Times New Roman"/>
          <w:lang w:val="en-GB"/>
        </w:rPr>
      </w:pPr>
      <w:r>
        <w:rPr>
          <w:rFonts w:ascii="Times New Roman" w:hAnsi="Times New Roman" w:cs="Times New Roman"/>
          <w:sz w:val="24"/>
          <w:szCs w:val="24"/>
        </w:rPr>
        <w:tab/>
      </w:r>
      <w:r w:rsidR="00737CD5">
        <w:rPr>
          <w:rFonts w:ascii="Times New Roman" w:hAnsi="Times New Roman" w:cs="Times New Roman"/>
          <w:sz w:val="24"/>
          <w:szCs w:val="24"/>
        </w:rPr>
        <w:t xml:space="preserve"> “</w:t>
      </w:r>
      <w:r w:rsidR="00B71ADA" w:rsidRPr="00693333">
        <w:rPr>
          <w:rFonts w:ascii="Times New Roman" w:hAnsi="Times New Roman" w:cs="Times New Roman"/>
          <w:lang w:val="en-GB"/>
        </w:rPr>
        <w:t xml:space="preserve">A special plea is a plea in trial susceptible of a replication and must be heard separately on </w:t>
      </w:r>
      <w:r>
        <w:rPr>
          <w:rFonts w:ascii="Times New Roman" w:hAnsi="Times New Roman" w:cs="Times New Roman"/>
          <w:lang w:val="en-GB"/>
        </w:rPr>
        <w:tab/>
      </w:r>
      <w:r w:rsidR="00B71ADA" w:rsidRPr="00693333">
        <w:rPr>
          <w:rFonts w:ascii="Times New Roman" w:hAnsi="Times New Roman" w:cs="Times New Roman"/>
          <w:lang w:val="en-GB"/>
        </w:rPr>
        <w:t xml:space="preserve">the adduction of evidence.  </w:t>
      </w:r>
      <w:r w:rsidR="00B71ADA" w:rsidRPr="00693333">
        <w:rPr>
          <w:rFonts w:ascii="Times New Roman" w:hAnsi="Times New Roman" w:cs="Times New Roman"/>
          <w:i/>
          <w:lang w:val="en-GB"/>
        </w:rPr>
        <w:t xml:space="preserve">Doelcam </w:t>
      </w:r>
      <w:r w:rsidR="00B71ADA" w:rsidRPr="00693333">
        <w:rPr>
          <w:rFonts w:ascii="Times New Roman" w:hAnsi="Times New Roman" w:cs="Times New Roman"/>
          <w:lang w:val="en-GB"/>
        </w:rPr>
        <w:t xml:space="preserve">v </w:t>
      </w:r>
      <w:r w:rsidR="00B71ADA" w:rsidRPr="00693333">
        <w:rPr>
          <w:rFonts w:ascii="Times New Roman" w:hAnsi="Times New Roman" w:cs="Times New Roman"/>
          <w:i/>
          <w:lang w:val="en-GB"/>
        </w:rPr>
        <w:t>Pitchanik and ors</w:t>
      </w:r>
      <w:r w:rsidR="00B71ADA" w:rsidRPr="00693333">
        <w:rPr>
          <w:rFonts w:ascii="Times New Roman" w:hAnsi="Times New Roman" w:cs="Times New Roman"/>
          <w:lang w:val="en-GB"/>
        </w:rPr>
        <w:t xml:space="preserve"> 1999 1 ZLR 390 (H) 396 G-E.</w:t>
      </w:r>
      <w:r w:rsidR="00737CD5" w:rsidRPr="00693333">
        <w:rPr>
          <w:rFonts w:ascii="Times New Roman" w:hAnsi="Times New Roman" w:cs="Times New Roman"/>
          <w:lang w:val="en-GB"/>
        </w:rPr>
        <w:t xml:space="preserve">” </w:t>
      </w:r>
    </w:p>
    <w:p w:rsidR="00693333" w:rsidRDefault="00693333" w:rsidP="00693333">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37CD5">
        <w:rPr>
          <w:rFonts w:ascii="Times New Roman" w:hAnsi="Times New Roman" w:cs="Times New Roman"/>
          <w:sz w:val="24"/>
          <w:szCs w:val="24"/>
          <w:lang w:val="en-GB"/>
        </w:rPr>
        <w:t xml:space="preserve">In an earlier case of </w:t>
      </w:r>
      <w:r w:rsidR="00737CD5" w:rsidRPr="00693333">
        <w:rPr>
          <w:rFonts w:ascii="Times New Roman" w:hAnsi="Times New Roman" w:cs="Times New Roman"/>
          <w:i/>
          <w:sz w:val="24"/>
          <w:szCs w:val="24"/>
          <w:lang w:val="en-GB"/>
        </w:rPr>
        <w:t>Edwards</w:t>
      </w:r>
      <w:r w:rsidR="00737CD5">
        <w:rPr>
          <w:rFonts w:ascii="Times New Roman" w:hAnsi="Times New Roman" w:cs="Times New Roman"/>
          <w:sz w:val="24"/>
          <w:szCs w:val="24"/>
          <w:lang w:val="en-GB"/>
        </w:rPr>
        <w:t xml:space="preserve"> v </w:t>
      </w:r>
      <w:r w:rsidR="00737CD5" w:rsidRPr="00693333">
        <w:rPr>
          <w:rFonts w:ascii="Times New Roman" w:hAnsi="Times New Roman" w:cs="Times New Roman"/>
          <w:i/>
          <w:sz w:val="24"/>
          <w:szCs w:val="24"/>
          <w:lang w:val="en-GB"/>
        </w:rPr>
        <w:t>Woodnut</w:t>
      </w:r>
      <w:r w:rsidR="00737CD5">
        <w:rPr>
          <w:rFonts w:ascii="Times New Roman" w:hAnsi="Times New Roman" w:cs="Times New Roman"/>
          <w:sz w:val="24"/>
          <w:szCs w:val="24"/>
          <w:lang w:val="en-GB"/>
        </w:rPr>
        <w:t xml:space="preserve"> NO 1968 (4) SA 184 (R) </w:t>
      </w:r>
      <w:r w:rsidR="00737CD5" w:rsidRPr="00693333">
        <w:rPr>
          <w:rFonts w:ascii="Times New Roman" w:hAnsi="Times New Roman" w:cs="Times New Roman"/>
          <w:smallCaps/>
          <w:sz w:val="24"/>
          <w:szCs w:val="24"/>
          <w:lang w:val="en-GB"/>
        </w:rPr>
        <w:t>Beadle CJ</w:t>
      </w:r>
      <w:r w:rsidR="00737CD5">
        <w:rPr>
          <w:rFonts w:ascii="Times New Roman" w:hAnsi="Times New Roman" w:cs="Times New Roman"/>
          <w:sz w:val="24"/>
          <w:szCs w:val="24"/>
          <w:lang w:val="en-GB"/>
        </w:rPr>
        <w:t xml:space="preserve"> stated, </w:t>
      </w:r>
    </w:p>
    <w:p w:rsidR="00E60811" w:rsidRPr="00693333" w:rsidRDefault="00693333" w:rsidP="00693333">
      <w:pPr>
        <w:spacing w:line="240" w:lineRule="auto"/>
        <w:jc w:val="both"/>
        <w:rPr>
          <w:rFonts w:ascii="Times New Roman" w:hAnsi="Times New Roman" w:cs="Times New Roman"/>
          <w:lang w:val="en-GB"/>
        </w:rPr>
      </w:pPr>
      <w:r>
        <w:rPr>
          <w:rFonts w:ascii="Times New Roman" w:hAnsi="Times New Roman" w:cs="Times New Roman"/>
          <w:sz w:val="24"/>
          <w:szCs w:val="24"/>
          <w:lang w:val="en-GB"/>
        </w:rPr>
        <w:tab/>
      </w:r>
      <w:r w:rsidR="00737CD5" w:rsidRPr="00693333">
        <w:rPr>
          <w:rFonts w:ascii="Times New Roman" w:hAnsi="Times New Roman" w:cs="Times New Roman"/>
          <w:lang w:val="en-GB"/>
        </w:rPr>
        <w:t xml:space="preserve">“… the basic difference, however, between an exception and a plea in abatement is that </w:t>
      </w:r>
      <w:r w:rsidR="00737CD5" w:rsidRPr="00693333">
        <w:rPr>
          <w:rFonts w:ascii="Times New Roman" w:hAnsi="Times New Roman" w:cs="Times New Roman"/>
          <w:u w:val="single"/>
          <w:lang w:val="en-GB"/>
        </w:rPr>
        <w:t xml:space="preserve">in the </w:t>
      </w:r>
      <w:r w:rsidRPr="00693333">
        <w:rPr>
          <w:rFonts w:ascii="Times New Roman" w:hAnsi="Times New Roman" w:cs="Times New Roman"/>
          <w:lang w:val="en-GB"/>
        </w:rPr>
        <w:tab/>
      </w:r>
      <w:r w:rsidR="00737CD5" w:rsidRPr="00693333">
        <w:rPr>
          <w:rFonts w:ascii="Times New Roman" w:hAnsi="Times New Roman" w:cs="Times New Roman"/>
          <w:u w:val="single"/>
          <w:lang w:val="en-GB"/>
        </w:rPr>
        <w:t>case of a plea in abatement evidence must be led,</w:t>
      </w:r>
      <w:r w:rsidR="00737CD5" w:rsidRPr="00693333">
        <w:rPr>
          <w:rFonts w:ascii="Times New Roman" w:hAnsi="Times New Roman" w:cs="Times New Roman"/>
          <w:lang w:val="en-GB"/>
        </w:rPr>
        <w:t xml:space="preserve"> whereas in the case of an exception the fact </w:t>
      </w:r>
      <w:r>
        <w:rPr>
          <w:rFonts w:ascii="Times New Roman" w:hAnsi="Times New Roman" w:cs="Times New Roman"/>
          <w:lang w:val="en-GB"/>
        </w:rPr>
        <w:tab/>
      </w:r>
      <w:r w:rsidR="00737CD5" w:rsidRPr="00693333">
        <w:rPr>
          <w:rFonts w:ascii="Times New Roman" w:hAnsi="Times New Roman" w:cs="Times New Roman"/>
          <w:lang w:val="en-GB"/>
        </w:rPr>
        <w:t xml:space="preserve">stated in the pleadings must be accepted.” </w:t>
      </w:r>
      <w:r w:rsidR="00B85006" w:rsidRPr="00693333">
        <w:rPr>
          <w:rFonts w:ascii="Times New Roman" w:hAnsi="Times New Roman" w:cs="Times New Roman"/>
          <w:lang w:val="en-GB"/>
        </w:rPr>
        <w:t xml:space="preserve">(my emphasis). </w:t>
      </w:r>
    </w:p>
    <w:p w:rsidR="00693333" w:rsidRDefault="00693333" w:rsidP="0069333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85006">
        <w:rPr>
          <w:rFonts w:ascii="Times New Roman" w:hAnsi="Times New Roman" w:cs="Times New Roman"/>
          <w:sz w:val="24"/>
          <w:szCs w:val="24"/>
          <w:lang w:val="en-GB"/>
        </w:rPr>
        <w:t xml:space="preserve">In the recent case of </w:t>
      </w:r>
      <w:r w:rsidR="00B85006" w:rsidRPr="00693333">
        <w:rPr>
          <w:rFonts w:ascii="Times New Roman" w:hAnsi="Times New Roman" w:cs="Times New Roman"/>
          <w:i/>
          <w:sz w:val="24"/>
          <w:szCs w:val="24"/>
          <w:lang w:val="en-GB"/>
        </w:rPr>
        <w:t>Brooker</w:t>
      </w:r>
      <w:r w:rsidR="00B85006">
        <w:rPr>
          <w:rFonts w:ascii="Times New Roman" w:hAnsi="Times New Roman" w:cs="Times New Roman"/>
          <w:sz w:val="24"/>
          <w:szCs w:val="24"/>
          <w:lang w:val="en-GB"/>
        </w:rPr>
        <w:t xml:space="preserve"> v </w:t>
      </w:r>
      <w:r w:rsidR="00B85006" w:rsidRPr="00693333">
        <w:rPr>
          <w:rFonts w:ascii="Times New Roman" w:hAnsi="Times New Roman" w:cs="Times New Roman"/>
          <w:i/>
          <w:sz w:val="24"/>
          <w:szCs w:val="24"/>
          <w:lang w:val="en-GB"/>
        </w:rPr>
        <w:t>Mudhanda &amp; Another</w:t>
      </w:r>
      <w:r w:rsidR="00B85006">
        <w:rPr>
          <w:rFonts w:ascii="Times New Roman" w:hAnsi="Times New Roman" w:cs="Times New Roman"/>
          <w:sz w:val="24"/>
          <w:szCs w:val="24"/>
          <w:lang w:val="en-GB"/>
        </w:rPr>
        <w:t>, SC 5/18</w:t>
      </w:r>
      <w:r w:rsidR="00F5317E">
        <w:rPr>
          <w:rFonts w:ascii="Times New Roman" w:hAnsi="Times New Roman" w:cs="Times New Roman"/>
          <w:sz w:val="24"/>
          <w:szCs w:val="24"/>
          <w:lang w:val="en-GB"/>
        </w:rPr>
        <w:t xml:space="preserve">, </w:t>
      </w:r>
      <w:r w:rsidR="00F5317E" w:rsidRPr="00693333">
        <w:rPr>
          <w:rFonts w:ascii="Times New Roman" w:hAnsi="Times New Roman" w:cs="Times New Roman"/>
          <w:smallCaps/>
          <w:sz w:val="24"/>
          <w:szCs w:val="24"/>
          <w:lang w:val="en-GB"/>
        </w:rPr>
        <w:t>Gowora JA</w:t>
      </w:r>
      <w:r w:rsidR="00F5317E">
        <w:rPr>
          <w:rFonts w:ascii="Times New Roman" w:hAnsi="Times New Roman" w:cs="Times New Roman"/>
          <w:sz w:val="24"/>
          <w:szCs w:val="24"/>
          <w:lang w:val="en-GB"/>
        </w:rPr>
        <w:t xml:space="preserve"> had this to say;</w:t>
      </w:r>
    </w:p>
    <w:p w:rsidR="00F5317E" w:rsidRPr="00693333" w:rsidRDefault="00693333" w:rsidP="00693333">
      <w:pPr>
        <w:spacing w:line="240" w:lineRule="auto"/>
        <w:jc w:val="both"/>
        <w:rPr>
          <w:rFonts w:ascii="Times New Roman" w:hAnsi="Times New Roman" w:cs="Times New Roman"/>
        </w:rPr>
      </w:pPr>
      <w:r>
        <w:rPr>
          <w:rFonts w:ascii="Times New Roman" w:hAnsi="Times New Roman" w:cs="Times New Roman"/>
          <w:sz w:val="24"/>
          <w:szCs w:val="24"/>
          <w:lang w:val="en-GB"/>
        </w:rPr>
        <w:tab/>
      </w:r>
      <w:r w:rsidR="00F5317E" w:rsidRPr="00693333">
        <w:rPr>
          <w:rFonts w:ascii="Times New Roman" w:hAnsi="Times New Roman" w:cs="Times New Roman"/>
          <w:lang w:val="en-GB"/>
        </w:rPr>
        <w:t xml:space="preserve"> “</w:t>
      </w:r>
      <w:r w:rsidR="00F5317E" w:rsidRPr="00693333">
        <w:rPr>
          <w:rFonts w:ascii="Times New Roman" w:hAnsi="Times New Roman" w:cs="Times New Roman"/>
          <w:lang w:val="en-US"/>
        </w:rPr>
        <w:t xml:space="preserve">It can therefore be accepted as settled that evidence is necessary when disposing of a matter </w:t>
      </w:r>
      <w:r>
        <w:rPr>
          <w:rFonts w:ascii="Times New Roman" w:hAnsi="Times New Roman" w:cs="Times New Roman"/>
          <w:lang w:val="en-US"/>
        </w:rPr>
        <w:tab/>
      </w:r>
      <w:r w:rsidR="00F5317E" w:rsidRPr="00693333">
        <w:rPr>
          <w:rFonts w:ascii="Times New Roman" w:hAnsi="Times New Roman" w:cs="Times New Roman"/>
          <w:lang w:val="en-US"/>
        </w:rPr>
        <w:t xml:space="preserve">in which a special plea of prescription is raised. The rationale behind this is that where a party </w:t>
      </w:r>
      <w:r>
        <w:rPr>
          <w:rFonts w:ascii="Times New Roman" w:hAnsi="Times New Roman" w:cs="Times New Roman"/>
          <w:lang w:val="en-US"/>
        </w:rPr>
        <w:tab/>
      </w:r>
      <w:r w:rsidR="00F5317E" w:rsidRPr="00693333">
        <w:rPr>
          <w:rFonts w:ascii="Times New Roman" w:hAnsi="Times New Roman" w:cs="Times New Roman"/>
          <w:lang w:val="en-US"/>
        </w:rPr>
        <w:t xml:space="preserve">raises a special plea as a defence, new facts arise and because of the introduction of fresh facts </w:t>
      </w:r>
      <w:r>
        <w:rPr>
          <w:rFonts w:ascii="Times New Roman" w:hAnsi="Times New Roman" w:cs="Times New Roman"/>
          <w:lang w:val="en-US"/>
        </w:rPr>
        <w:tab/>
      </w:r>
      <w:r w:rsidR="00F5317E" w:rsidRPr="00693333">
        <w:rPr>
          <w:rFonts w:ascii="Times New Roman" w:hAnsi="Times New Roman" w:cs="Times New Roman"/>
          <w:lang w:val="en-US"/>
        </w:rPr>
        <w:t xml:space="preserve">which did not appear in the declaration, there is need for a court to hear the evidence of the </w:t>
      </w:r>
      <w:r>
        <w:rPr>
          <w:rFonts w:ascii="Times New Roman" w:hAnsi="Times New Roman" w:cs="Times New Roman"/>
          <w:lang w:val="en-US"/>
        </w:rPr>
        <w:tab/>
      </w:r>
      <w:r w:rsidR="00F5317E" w:rsidRPr="00693333">
        <w:rPr>
          <w:rFonts w:ascii="Times New Roman" w:hAnsi="Times New Roman" w:cs="Times New Roman"/>
          <w:lang w:val="en-US"/>
        </w:rPr>
        <w:t>parties where facts are disputed befo</w:t>
      </w:r>
      <w:r w:rsidR="00F5317E" w:rsidRPr="00693333">
        <w:rPr>
          <w:rFonts w:ascii="Times New Roman" w:hAnsi="Times New Roman" w:cs="Times New Roman"/>
        </w:rPr>
        <w:t>re making a ruling on the plea.”</w:t>
      </w:r>
    </w:p>
    <w:p w:rsidR="00465B24" w:rsidRDefault="00693333" w:rsidP="006933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5B24">
        <w:rPr>
          <w:rFonts w:ascii="Times New Roman" w:hAnsi="Times New Roman" w:cs="Times New Roman"/>
          <w:sz w:val="24"/>
          <w:szCs w:val="24"/>
        </w:rPr>
        <w:t xml:space="preserve">Mr </w:t>
      </w:r>
      <w:r w:rsidR="00465B24" w:rsidRPr="00693333">
        <w:rPr>
          <w:rFonts w:ascii="Times New Roman" w:hAnsi="Times New Roman" w:cs="Times New Roman"/>
          <w:i/>
          <w:sz w:val="24"/>
          <w:szCs w:val="24"/>
        </w:rPr>
        <w:t>Ndlovu</w:t>
      </w:r>
      <w:r w:rsidR="00465B24">
        <w:rPr>
          <w:rFonts w:ascii="Times New Roman" w:hAnsi="Times New Roman" w:cs="Times New Roman"/>
          <w:sz w:val="24"/>
          <w:szCs w:val="24"/>
        </w:rPr>
        <w:t xml:space="preserve"> who represented the defendant does not dispute the position of the law as per authorities cited </w:t>
      </w:r>
      <w:r w:rsidR="00011A04">
        <w:rPr>
          <w:rFonts w:ascii="Times New Roman" w:hAnsi="Times New Roman" w:cs="Times New Roman"/>
          <w:sz w:val="24"/>
          <w:szCs w:val="24"/>
        </w:rPr>
        <w:t>by Mr</w:t>
      </w:r>
      <w:r w:rsidR="00465B24">
        <w:rPr>
          <w:rFonts w:ascii="Times New Roman" w:hAnsi="Times New Roman" w:cs="Times New Roman"/>
          <w:sz w:val="24"/>
          <w:szCs w:val="24"/>
        </w:rPr>
        <w:t xml:space="preserve"> </w:t>
      </w:r>
      <w:r w:rsidR="00465B24" w:rsidRPr="00693333">
        <w:rPr>
          <w:rFonts w:ascii="Times New Roman" w:hAnsi="Times New Roman" w:cs="Times New Roman"/>
          <w:i/>
          <w:sz w:val="24"/>
          <w:szCs w:val="24"/>
        </w:rPr>
        <w:t>Nkomo</w:t>
      </w:r>
      <w:r w:rsidR="00465B24">
        <w:rPr>
          <w:rFonts w:ascii="Times New Roman" w:hAnsi="Times New Roman" w:cs="Times New Roman"/>
          <w:sz w:val="24"/>
          <w:szCs w:val="24"/>
        </w:rPr>
        <w:t xml:space="preserve">. </w:t>
      </w:r>
      <w:r w:rsidR="00CE2177">
        <w:rPr>
          <w:rFonts w:ascii="Times New Roman" w:hAnsi="Times New Roman" w:cs="Times New Roman"/>
          <w:sz w:val="24"/>
          <w:szCs w:val="24"/>
        </w:rPr>
        <w:t xml:space="preserve">He however took the simple position that the need to adduce evidence should only arise where there are disputes of fact. In </w:t>
      </w:r>
      <w:r w:rsidR="00CE2177" w:rsidRPr="00693333">
        <w:rPr>
          <w:rFonts w:ascii="Times New Roman" w:hAnsi="Times New Roman" w:cs="Times New Roman"/>
          <w:i/>
          <w:sz w:val="24"/>
          <w:szCs w:val="24"/>
        </w:rPr>
        <w:t>casu</w:t>
      </w:r>
      <w:r w:rsidR="00CE2177">
        <w:rPr>
          <w:rFonts w:ascii="Times New Roman" w:hAnsi="Times New Roman" w:cs="Times New Roman"/>
          <w:sz w:val="24"/>
          <w:szCs w:val="24"/>
        </w:rPr>
        <w:t>, he said the parties were in agreement that there was a pending matter Case number HC 1271/19. He said this w</w:t>
      </w:r>
      <w:r w:rsidR="00E60811">
        <w:rPr>
          <w:rFonts w:ascii="Times New Roman" w:hAnsi="Times New Roman" w:cs="Times New Roman"/>
          <w:sz w:val="24"/>
          <w:szCs w:val="24"/>
        </w:rPr>
        <w:t xml:space="preserve">as a </w:t>
      </w:r>
      <w:r w:rsidR="00011A04">
        <w:rPr>
          <w:rFonts w:ascii="Times New Roman" w:hAnsi="Times New Roman" w:cs="Times New Roman"/>
          <w:sz w:val="24"/>
          <w:szCs w:val="24"/>
        </w:rPr>
        <w:t>case where</w:t>
      </w:r>
      <w:r w:rsidR="00E60811">
        <w:rPr>
          <w:rFonts w:ascii="Times New Roman" w:hAnsi="Times New Roman" w:cs="Times New Roman"/>
          <w:sz w:val="24"/>
          <w:szCs w:val="24"/>
        </w:rPr>
        <w:t xml:space="preserve"> the court can</w:t>
      </w:r>
      <w:r w:rsidR="00CE2177">
        <w:rPr>
          <w:rFonts w:ascii="Times New Roman" w:hAnsi="Times New Roman" w:cs="Times New Roman"/>
          <w:sz w:val="24"/>
          <w:szCs w:val="24"/>
        </w:rPr>
        <w:t xml:space="preserve"> determine the matter based on the papers filed of record. </w:t>
      </w:r>
    </w:p>
    <w:p w:rsidR="00CE2177" w:rsidRDefault="00693333" w:rsidP="006933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E2177">
        <w:rPr>
          <w:rFonts w:ascii="Times New Roman" w:hAnsi="Times New Roman" w:cs="Times New Roman"/>
          <w:sz w:val="24"/>
          <w:szCs w:val="24"/>
        </w:rPr>
        <w:t xml:space="preserve">A special plea introduces fresh facts which do not appear from pleadings hence the need to lead oral evidence. In my view that is if only the introduced fresh facts are in dispute. </w:t>
      </w:r>
      <w:r w:rsidR="00CE2177" w:rsidRPr="00693333">
        <w:rPr>
          <w:rFonts w:ascii="Times New Roman" w:hAnsi="Times New Roman" w:cs="Times New Roman"/>
          <w:i/>
          <w:sz w:val="24"/>
          <w:szCs w:val="24"/>
        </w:rPr>
        <w:t>Mr Nkomo’s</w:t>
      </w:r>
      <w:r w:rsidR="00CE2177">
        <w:rPr>
          <w:rFonts w:ascii="Times New Roman" w:hAnsi="Times New Roman" w:cs="Times New Roman"/>
          <w:sz w:val="24"/>
          <w:szCs w:val="24"/>
        </w:rPr>
        <w:t xml:space="preserve"> position is that the introduced fresh facts are in dispute and Mr </w:t>
      </w:r>
      <w:r w:rsidR="00CE2177" w:rsidRPr="00693333">
        <w:rPr>
          <w:rFonts w:ascii="Times New Roman" w:hAnsi="Times New Roman" w:cs="Times New Roman"/>
          <w:i/>
          <w:sz w:val="24"/>
          <w:szCs w:val="24"/>
        </w:rPr>
        <w:t>Ndlovu</w:t>
      </w:r>
      <w:r w:rsidR="00CE2177">
        <w:rPr>
          <w:rFonts w:ascii="Times New Roman" w:hAnsi="Times New Roman" w:cs="Times New Roman"/>
          <w:sz w:val="24"/>
          <w:szCs w:val="24"/>
        </w:rPr>
        <w:t xml:space="preserve"> says they are not. The resolution lies in the pleadings themselves. Is there congruency in the facts pleaded by the defendant and the replication by the plaintiff. </w:t>
      </w:r>
      <w:r w:rsidR="00F83A35">
        <w:rPr>
          <w:rFonts w:ascii="Times New Roman" w:hAnsi="Times New Roman" w:cs="Times New Roman"/>
          <w:sz w:val="24"/>
          <w:szCs w:val="24"/>
        </w:rPr>
        <w:t>Are the parties in agreement or no</w:t>
      </w:r>
      <w:r w:rsidR="00950F5D">
        <w:rPr>
          <w:rFonts w:ascii="Times New Roman" w:hAnsi="Times New Roman" w:cs="Times New Roman"/>
          <w:sz w:val="24"/>
          <w:szCs w:val="24"/>
        </w:rPr>
        <w:t xml:space="preserve">t. If they </w:t>
      </w:r>
      <w:r w:rsidR="00950F5D">
        <w:rPr>
          <w:rFonts w:ascii="Times New Roman" w:hAnsi="Times New Roman" w:cs="Times New Roman"/>
          <w:sz w:val="24"/>
          <w:szCs w:val="24"/>
        </w:rPr>
        <w:lastRenderedPageBreak/>
        <w:t xml:space="preserve">are not in agreement, </w:t>
      </w:r>
      <w:r w:rsidR="00F83A35">
        <w:rPr>
          <w:rFonts w:ascii="Times New Roman" w:hAnsi="Times New Roman" w:cs="Times New Roman"/>
          <w:sz w:val="24"/>
          <w:szCs w:val="24"/>
        </w:rPr>
        <w:t xml:space="preserve">is the disagreement </w:t>
      </w:r>
      <w:r w:rsidR="00950F5D">
        <w:rPr>
          <w:rFonts w:ascii="Times New Roman" w:hAnsi="Times New Roman" w:cs="Times New Roman"/>
          <w:sz w:val="24"/>
          <w:szCs w:val="24"/>
        </w:rPr>
        <w:t xml:space="preserve">so </w:t>
      </w:r>
      <w:r w:rsidR="00E60811">
        <w:rPr>
          <w:rFonts w:ascii="Times New Roman" w:hAnsi="Times New Roman" w:cs="Times New Roman"/>
          <w:sz w:val="24"/>
          <w:szCs w:val="24"/>
        </w:rPr>
        <w:t>material such as to affect</w:t>
      </w:r>
      <w:r w:rsidR="00F83A35">
        <w:rPr>
          <w:rFonts w:ascii="Times New Roman" w:hAnsi="Times New Roman" w:cs="Times New Roman"/>
          <w:sz w:val="24"/>
          <w:szCs w:val="24"/>
        </w:rPr>
        <w:t xml:space="preserve"> the proper exercise of the discretion by the court.</w:t>
      </w:r>
    </w:p>
    <w:p w:rsidR="00950F5D" w:rsidRDefault="00693333" w:rsidP="006933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0F5D">
        <w:rPr>
          <w:rFonts w:ascii="Times New Roman" w:hAnsi="Times New Roman" w:cs="Times New Roman"/>
          <w:sz w:val="24"/>
          <w:szCs w:val="24"/>
        </w:rPr>
        <w:t xml:space="preserve">Paragraphs 1 and 2 of the defendant’s plea is a narration of </w:t>
      </w:r>
      <w:r w:rsidR="00FB2C83">
        <w:rPr>
          <w:rFonts w:ascii="Times New Roman" w:hAnsi="Times New Roman" w:cs="Times New Roman"/>
          <w:sz w:val="24"/>
          <w:szCs w:val="24"/>
        </w:rPr>
        <w:t xml:space="preserve">some </w:t>
      </w:r>
      <w:r w:rsidR="00C97A43">
        <w:rPr>
          <w:rFonts w:ascii="Times New Roman" w:hAnsi="Times New Roman" w:cs="Times New Roman"/>
          <w:sz w:val="24"/>
          <w:szCs w:val="24"/>
        </w:rPr>
        <w:t xml:space="preserve">of </w:t>
      </w:r>
      <w:r w:rsidR="00950F5D">
        <w:rPr>
          <w:rFonts w:ascii="Times New Roman" w:hAnsi="Times New Roman" w:cs="Times New Roman"/>
          <w:sz w:val="24"/>
          <w:szCs w:val="24"/>
        </w:rPr>
        <w:t xml:space="preserve">the pleadings filed of record in case number HC 1271/19 to which plaintiff accedes to. </w:t>
      </w:r>
      <w:r w:rsidR="00277FE6">
        <w:rPr>
          <w:rFonts w:ascii="Times New Roman" w:hAnsi="Times New Roman" w:cs="Times New Roman"/>
          <w:sz w:val="24"/>
          <w:szCs w:val="24"/>
        </w:rPr>
        <w:t>The withdrawal of the plaintiff’s claim in HC 1271/19 is a matter of common cause. However plaintiff has raised issues surrounding such withdrawal and has claimed mala fides on the part of the defendant calculated to the present scenario. Plaintiff denies duplication of actions and has raised other triable issues which certainly cannot be resolved on paper.</w:t>
      </w:r>
      <w:r w:rsidR="00DB2D35">
        <w:rPr>
          <w:rFonts w:ascii="Times New Roman" w:hAnsi="Times New Roman" w:cs="Times New Roman"/>
          <w:sz w:val="24"/>
          <w:szCs w:val="24"/>
        </w:rPr>
        <w:t xml:space="preserve"> He challenges the prayer by the defendant that the action be dismissed with costs.</w:t>
      </w:r>
      <w:r w:rsidR="0047370B">
        <w:rPr>
          <w:rFonts w:ascii="Times New Roman" w:hAnsi="Times New Roman" w:cs="Times New Roman"/>
          <w:sz w:val="24"/>
          <w:szCs w:val="24"/>
        </w:rPr>
        <w:t xml:space="preserve"> This is a matter, in </w:t>
      </w:r>
      <w:r w:rsidR="00277FE6">
        <w:rPr>
          <w:rFonts w:ascii="Times New Roman" w:hAnsi="Times New Roman" w:cs="Times New Roman"/>
          <w:sz w:val="24"/>
          <w:szCs w:val="24"/>
        </w:rPr>
        <w:t>my view, which must not be treated as an exception to the general rule which requ</w:t>
      </w:r>
      <w:r w:rsidR="00AA6C9C">
        <w:rPr>
          <w:rFonts w:ascii="Times New Roman" w:hAnsi="Times New Roman" w:cs="Times New Roman"/>
          <w:sz w:val="24"/>
          <w:szCs w:val="24"/>
        </w:rPr>
        <w:t>ires the leading of evidence. If</w:t>
      </w:r>
      <w:r w:rsidR="00277FE6">
        <w:rPr>
          <w:rFonts w:ascii="Times New Roman" w:hAnsi="Times New Roman" w:cs="Times New Roman"/>
          <w:sz w:val="24"/>
          <w:szCs w:val="24"/>
        </w:rPr>
        <w:t xml:space="preserve"> defendant intended to curtail the proceedings by not leading e</w:t>
      </w:r>
      <w:r w:rsidR="00AA6C9C">
        <w:rPr>
          <w:rFonts w:ascii="Times New Roman" w:hAnsi="Times New Roman" w:cs="Times New Roman"/>
          <w:sz w:val="24"/>
          <w:szCs w:val="24"/>
        </w:rPr>
        <w:t>vidence then she c</w:t>
      </w:r>
      <w:r w:rsidR="00277FE6">
        <w:rPr>
          <w:rFonts w:ascii="Times New Roman" w:hAnsi="Times New Roman" w:cs="Times New Roman"/>
          <w:sz w:val="24"/>
          <w:szCs w:val="24"/>
        </w:rPr>
        <w:t xml:space="preserve">ould </w:t>
      </w:r>
      <w:r w:rsidR="00E60811">
        <w:rPr>
          <w:rFonts w:ascii="Times New Roman" w:hAnsi="Times New Roman" w:cs="Times New Roman"/>
          <w:sz w:val="24"/>
          <w:szCs w:val="24"/>
        </w:rPr>
        <w:t xml:space="preserve">at least </w:t>
      </w:r>
      <w:r w:rsidR="00AA6C9C">
        <w:rPr>
          <w:rFonts w:ascii="Times New Roman" w:hAnsi="Times New Roman" w:cs="Times New Roman"/>
          <w:sz w:val="24"/>
          <w:szCs w:val="24"/>
        </w:rPr>
        <w:t xml:space="preserve">have </w:t>
      </w:r>
      <w:r w:rsidR="00277FE6">
        <w:rPr>
          <w:rFonts w:ascii="Times New Roman" w:hAnsi="Times New Roman" w:cs="Times New Roman"/>
          <w:sz w:val="24"/>
          <w:szCs w:val="24"/>
        </w:rPr>
        <w:t xml:space="preserve">settled for a stated case with the plaintiff. </w:t>
      </w:r>
    </w:p>
    <w:p w:rsidR="00D50EE8" w:rsidRDefault="00693333" w:rsidP="006933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50EE8">
        <w:rPr>
          <w:rFonts w:ascii="Times New Roman" w:hAnsi="Times New Roman" w:cs="Times New Roman"/>
          <w:sz w:val="24"/>
          <w:szCs w:val="24"/>
        </w:rPr>
        <w:t>The plaintiff prays for the dismissal of the special plea with costs. Is that an appropriate remedy when the special plea was not heard on merits? Certainly not. The plaintiff has succeeded to show that the procedure adopted by the defendant in setting down the special plea for argument without the hearing of evidence is improper.</w:t>
      </w:r>
    </w:p>
    <w:p w:rsidR="00AA6C9C" w:rsidRDefault="00AA6C9C" w:rsidP="006933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Dispostion:</w:t>
      </w:r>
    </w:p>
    <w:p w:rsidR="00AA6C9C" w:rsidRDefault="00AA6C9C" w:rsidP="00693333">
      <w:pPr>
        <w:pStyle w:val="NoSpacing"/>
        <w:numPr>
          <w:ilvl w:val="0"/>
          <w:numId w:val="1"/>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w:t>
      </w:r>
      <w:r w:rsidR="00957F77">
        <w:rPr>
          <w:rFonts w:ascii="Times New Roman" w:hAnsi="Times New Roman" w:cs="Times New Roman"/>
          <w:sz w:val="24"/>
          <w:szCs w:val="24"/>
        </w:rPr>
        <w:t xml:space="preserve">point </w:t>
      </w:r>
      <w:r w:rsidR="00957F77" w:rsidRPr="00693333">
        <w:rPr>
          <w:rFonts w:ascii="Times New Roman" w:hAnsi="Times New Roman" w:cs="Times New Roman"/>
          <w:i/>
          <w:sz w:val="24"/>
          <w:szCs w:val="24"/>
        </w:rPr>
        <w:t>in limine</w:t>
      </w:r>
      <w:r w:rsidR="00957F77">
        <w:rPr>
          <w:rFonts w:ascii="Times New Roman" w:hAnsi="Times New Roman" w:cs="Times New Roman"/>
          <w:sz w:val="24"/>
          <w:szCs w:val="24"/>
        </w:rPr>
        <w:t xml:space="preserve"> raised by the plaintiff be and is hereby upheld</w:t>
      </w:r>
      <w:r>
        <w:rPr>
          <w:rFonts w:ascii="Times New Roman" w:hAnsi="Times New Roman" w:cs="Times New Roman"/>
          <w:sz w:val="24"/>
          <w:szCs w:val="24"/>
        </w:rPr>
        <w:t xml:space="preserve"> with costs.</w:t>
      </w:r>
    </w:p>
    <w:p w:rsidR="00957F77" w:rsidRDefault="001C65E0" w:rsidP="00693333">
      <w:pPr>
        <w:pStyle w:val="NoSpacing"/>
        <w:numPr>
          <w:ilvl w:val="0"/>
          <w:numId w:val="1"/>
        </w:numPr>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The parties shall l</w:t>
      </w:r>
      <w:r w:rsidR="0093587D">
        <w:rPr>
          <w:rFonts w:ascii="Times New Roman" w:hAnsi="Times New Roman" w:cs="Times New Roman"/>
          <w:sz w:val="24"/>
          <w:szCs w:val="24"/>
        </w:rPr>
        <w:t xml:space="preserve">ead evidence </w:t>
      </w:r>
      <w:r>
        <w:rPr>
          <w:rFonts w:ascii="Times New Roman" w:hAnsi="Times New Roman" w:cs="Times New Roman"/>
          <w:sz w:val="24"/>
          <w:szCs w:val="24"/>
        </w:rPr>
        <w:t xml:space="preserve">before </w:t>
      </w:r>
      <w:r w:rsidR="0093587D">
        <w:rPr>
          <w:rFonts w:ascii="Times New Roman" w:hAnsi="Times New Roman" w:cs="Times New Roman"/>
          <w:sz w:val="24"/>
          <w:szCs w:val="24"/>
        </w:rPr>
        <w:t>a ruling on the special plea.</w:t>
      </w:r>
    </w:p>
    <w:p w:rsidR="0018155A" w:rsidRDefault="0018155A" w:rsidP="00693333">
      <w:pPr>
        <w:pStyle w:val="NoSpacing"/>
        <w:spacing w:line="360" w:lineRule="auto"/>
        <w:jc w:val="both"/>
        <w:rPr>
          <w:rFonts w:ascii="Times New Roman" w:hAnsi="Times New Roman" w:cs="Times New Roman"/>
          <w:sz w:val="24"/>
          <w:szCs w:val="24"/>
        </w:rPr>
      </w:pPr>
    </w:p>
    <w:p w:rsidR="0018155A" w:rsidRDefault="0018155A" w:rsidP="00693333">
      <w:pPr>
        <w:pStyle w:val="NoSpacing"/>
        <w:spacing w:line="360" w:lineRule="auto"/>
        <w:jc w:val="both"/>
        <w:rPr>
          <w:rFonts w:ascii="Times New Roman" w:hAnsi="Times New Roman" w:cs="Times New Roman"/>
          <w:sz w:val="24"/>
          <w:szCs w:val="24"/>
        </w:rPr>
      </w:pPr>
    </w:p>
    <w:p w:rsidR="0018155A" w:rsidRDefault="0018155A" w:rsidP="00693333">
      <w:pPr>
        <w:pStyle w:val="NoSpacing"/>
        <w:spacing w:line="360" w:lineRule="auto"/>
        <w:jc w:val="both"/>
        <w:rPr>
          <w:rFonts w:ascii="Times New Roman" w:hAnsi="Times New Roman" w:cs="Times New Roman"/>
          <w:sz w:val="24"/>
          <w:szCs w:val="24"/>
        </w:rPr>
      </w:pPr>
    </w:p>
    <w:p w:rsidR="00693333" w:rsidRDefault="00693333" w:rsidP="00693333">
      <w:pPr>
        <w:pStyle w:val="NoSpacing"/>
        <w:spacing w:line="360" w:lineRule="auto"/>
        <w:jc w:val="both"/>
        <w:rPr>
          <w:rFonts w:ascii="Times New Roman" w:hAnsi="Times New Roman" w:cs="Times New Roman"/>
          <w:sz w:val="24"/>
          <w:szCs w:val="24"/>
        </w:rPr>
      </w:pPr>
    </w:p>
    <w:p w:rsidR="0018155A" w:rsidRDefault="0018155A" w:rsidP="00693333">
      <w:pPr>
        <w:pStyle w:val="NoSpacing"/>
        <w:jc w:val="both"/>
        <w:rPr>
          <w:rFonts w:ascii="Times New Roman" w:hAnsi="Times New Roman" w:cs="Times New Roman"/>
          <w:sz w:val="24"/>
          <w:szCs w:val="24"/>
        </w:rPr>
      </w:pPr>
      <w:r w:rsidRPr="00693333">
        <w:rPr>
          <w:rFonts w:ascii="Times New Roman" w:hAnsi="Times New Roman" w:cs="Times New Roman"/>
          <w:i/>
          <w:sz w:val="24"/>
          <w:szCs w:val="24"/>
        </w:rPr>
        <w:t>Mhishi Nkomo Legal Practice</w:t>
      </w:r>
      <w:r>
        <w:rPr>
          <w:rFonts w:ascii="Times New Roman" w:hAnsi="Times New Roman" w:cs="Times New Roman"/>
          <w:sz w:val="24"/>
          <w:szCs w:val="24"/>
        </w:rPr>
        <w:t>, plaintiff’s legal practitioners</w:t>
      </w:r>
    </w:p>
    <w:p w:rsidR="0018155A" w:rsidRPr="00F5317E" w:rsidRDefault="0018155A" w:rsidP="00693333">
      <w:pPr>
        <w:pStyle w:val="NoSpacing"/>
        <w:jc w:val="both"/>
        <w:rPr>
          <w:rFonts w:ascii="Times New Roman" w:hAnsi="Times New Roman" w:cs="Times New Roman"/>
          <w:sz w:val="24"/>
          <w:szCs w:val="24"/>
          <w:lang w:val="en-GB"/>
        </w:rPr>
      </w:pPr>
      <w:r w:rsidRPr="00693333">
        <w:rPr>
          <w:rFonts w:ascii="Times New Roman" w:hAnsi="Times New Roman" w:cs="Times New Roman"/>
          <w:i/>
          <w:sz w:val="24"/>
          <w:szCs w:val="24"/>
        </w:rPr>
        <w:t>Mtetwa &amp; Nyambirai</w:t>
      </w:r>
      <w:r>
        <w:rPr>
          <w:rFonts w:ascii="Times New Roman" w:hAnsi="Times New Roman" w:cs="Times New Roman"/>
          <w:sz w:val="24"/>
          <w:szCs w:val="24"/>
        </w:rPr>
        <w:t>, defendant’s legal practitioners</w:t>
      </w:r>
    </w:p>
    <w:p w:rsidR="00737CD5" w:rsidRPr="00041EC0" w:rsidRDefault="00737CD5" w:rsidP="00693333">
      <w:pPr>
        <w:pStyle w:val="NoSpacing"/>
        <w:jc w:val="both"/>
        <w:rPr>
          <w:rFonts w:ascii="Times New Roman" w:hAnsi="Times New Roman" w:cs="Times New Roman"/>
          <w:sz w:val="24"/>
          <w:szCs w:val="24"/>
          <w:lang w:val="en-GB"/>
        </w:rPr>
      </w:pPr>
    </w:p>
    <w:p w:rsidR="0077005F" w:rsidRDefault="0077005F" w:rsidP="00693333">
      <w:pPr>
        <w:spacing w:line="360" w:lineRule="auto"/>
        <w:jc w:val="both"/>
        <w:rPr>
          <w:rFonts w:ascii="Times New Roman" w:hAnsi="Times New Roman" w:cs="Times New Roman"/>
          <w:sz w:val="24"/>
          <w:szCs w:val="24"/>
        </w:rPr>
      </w:pPr>
    </w:p>
    <w:p w:rsidR="00B71ADA" w:rsidRPr="0077005F" w:rsidRDefault="00B71ADA" w:rsidP="00693333">
      <w:pPr>
        <w:spacing w:line="360" w:lineRule="auto"/>
        <w:jc w:val="both"/>
        <w:rPr>
          <w:rFonts w:ascii="Times New Roman" w:hAnsi="Times New Roman" w:cs="Times New Roman"/>
          <w:sz w:val="24"/>
          <w:szCs w:val="24"/>
        </w:rPr>
      </w:pPr>
    </w:p>
    <w:sectPr w:rsidR="00B71ADA" w:rsidRPr="007700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D1" w:rsidRDefault="00B719D1" w:rsidP="0018155A">
      <w:pPr>
        <w:spacing w:after="0" w:line="240" w:lineRule="auto"/>
      </w:pPr>
      <w:r>
        <w:separator/>
      </w:r>
    </w:p>
  </w:endnote>
  <w:endnote w:type="continuationSeparator" w:id="0">
    <w:p w:rsidR="00B719D1" w:rsidRDefault="00B719D1" w:rsidP="0018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D1" w:rsidRDefault="00B719D1" w:rsidP="0018155A">
      <w:pPr>
        <w:spacing w:after="0" w:line="240" w:lineRule="auto"/>
      </w:pPr>
      <w:r>
        <w:separator/>
      </w:r>
    </w:p>
  </w:footnote>
  <w:footnote w:type="continuationSeparator" w:id="0">
    <w:p w:rsidR="00B719D1" w:rsidRDefault="00B719D1" w:rsidP="0018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631300"/>
      <w:docPartObj>
        <w:docPartGallery w:val="Page Numbers (Top of Page)"/>
        <w:docPartUnique/>
      </w:docPartObj>
    </w:sdtPr>
    <w:sdtEndPr>
      <w:rPr>
        <w:noProof/>
      </w:rPr>
    </w:sdtEndPr>
    <w:sdtContent>
      <w:p w:rsidR="00693333" w:rsidRDefault="0018155A">
        <w:pPr>
          <w:pStyle w:val="Header"/>
          <w:jc w:val="right"/>
          <w:rPr>
            <w:noProof/>
          </w:rPr>
        </w:pPr>
        <w:r>
          <w:fldChar w:fldCharType="begin"/>
        </w:r>
        <w:r>
          <w:instrText xml:space="preserve"> PAGE   \* MERGEFORMAT </w:instrText>
        </w:r>
        <w:r>
          <w:fldChar w:fldCharType="separate"/>
        </w:r>
        <w:r w:rsidR="007670E7">
          <w:rPr>
            <w:noProof/>
          </w:rPr>
          <w:t>1</w:t>
        </w:r>
        <w:r>
          <w:rPr>
            <w:noProof/>
          </w:rPr>
          <w:fldChar w:fldCharType="end"/>
        </w:r>
      </w:p>
      <w:p w:rsidR="00693333" w:rsidRDefault="00693333">
        <w:pPr>
          <w:pStyle w:val="Header"/>
          <w:jc w:val="right"/>
          <w:rPr>
            <w:noProof/>
          </w:rPr>
        </w:pPr>
        <w:r>
          <w:rPr>
            <w:noProof/>
          </w:rPr>
          <w:t>HH</w:t>
        </w:r>
        <w:r w:rsidR="001D7417">
          <w:rPr>
            <w:noProof/>
          </w:rPr>
          <w:t xml:space="preserve"> 65-21</w:t>
        </w:r>
      </w:p>
      <w:p w:rsidR="00693333" w:rsidRDefault="00693333">
        <w:pPr>
          <w:pStyle w:val="Header"/>
          <w:jc w:val="right"/>
          <w:rPr>
            <w:noProof/>
          </w:rPr>
        </w:pPr>
        <w:r>
          <w:rPr>
            <w:noProof/>
          </w:rPr>
          <w:t>HC 950/20</w:t>
        </w:r>
      </w:p>
      <w:p w:rsidR="0018155A" w:rsidRDefault="00693333">
        <w:pPr>
          <w:pStyle w:val="Header"/>
          <w:jc w:val="right"/>
        </w:pPr>
        <w:r>
          <w:rPr>
            <w:noProof/>
          </w:rPr>
          <w:t>REF HC 1271/19</w:t>
        </w:r>
      </w:p>
    </w:sdtContent>
  </w:sdt>
  <w:p w:rsidR="0018155A" w:rsidRDefault="00181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5DF3"/>
    <w:multiLevelType w:val="hybridMultilevel"/>
    <w:tmpl w:val="63E815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5B"/>
    <w:rsid w:val="00011A04"/>
    <w:rsid w:val="00091761"/>
    <w:rsid w:val="0018155A"/>
    <w:rsid w:val="001C65E0"/>
    <w:rsid w:val="001D7417"/>
    <w:rsid w:val="001E1E31"/>
    <w:rsid w:val="00277FE6"/>
    <w:rsid w:val="00283E4E"/>
    <w:rsid w:val="00440B4A"/>
    <w:rsid w:val="00465B24"/>
    <w:rsid w:val="0047370B"/>
    <w:rsid w:val="004B4336"/>
    <w:rsid w:val="005463A2"/>
    <w:rsid w:val="00693333"/>
    <w:rsid w:val="00737CD5"/>
    <w:rsid w:val="007670E7"/>
    <w:rsid w:val="0077005F"/>
    <w:rsid w:val="00770E69"/>
    <w:rsid w:val="008D0685"/>
    <w:rsid w:val="008E6173"/>
    <w:rsid w:val="009208B2"/>
    <w:rsid w:val="0093587D"/>
    <w:rsid w:val="00950F5D"/>
    <w:rsid w:val="00957F77"/>
    <w:rsid w:val="009C2333"/>
    <w:rsid w:val="00A4254E"/>
    <w:rsid w:val="00AA6C9C"/>
    <w:rsid w:val="00B02C79"/>
    <w:rsid w:val="00B719D1"/>
    <w:rsid w:val="00B71ADA"/>
    <w:rsid w:val="00B85006"/>
    <w:rsid w:val="00C45340"/>
    <w:rsid w:val="00C60486"/>
    <w:rsid w:val="00C84D8B"/>
    <w:rsid w:val="00C9795B"/>
    <w:rsid w:val="00C97A43"/>
    <w:rsid w:val="00CE2177"/>
    <w:rsid w:val="00D430F8"/>
    <w:rsid w:val="00D50EE8"/>
    <w:rsid w:val="00DA5B51"/>
    <w:rsid w:val="00DB2D35"/>
    <w:rsid w:val="00E60811"/>
    <w:rsid w:val="00ED5D00"/>
    <w:rsid w:val="00F216B3"/>
    <w:rsid w:val="00F5317E"/>
    <w:rsid w:val="00F83A35"/>
    <w:rsid w:val="00FB2C83"/>
    <w:rsid w:val="00FE18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1CADBD-9202-4FD6-B7FB-CFA84AFA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95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ADA"/>
    <w:pPr>
      <w:spacing w:after="0" w:line="240" w:lineRule="auto"/>
    </w:pPr>
    <w:rPr>
      <w:lang w:val="en-US"/>
    </w:rPr>
  </w:style>
  <w:style w:type="paragraph" w:styleId="Header">
    <w:name w:val="header"/>
    <w:basedOn w:val="Normal"/>
    <w:link w:val="HeaderChar"/>
    <w:uiPriority w:val="99"/>
    <w:unhideWhenUsed/>
    <w:rsid w:val="0018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55A"/>
  </w:style>
  <w:style w:type="paragraph" w:styleId="Footer">
    <w:name w:val="footer"/>
    <w:basedOn w:val="Normal"/>
    <w:link w:val="FooterChar"/>
    <w:uiPriority w:val="99"/>
    <w:unhideWhenUsed/>
    <w:rsid w:val="0018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2021-02-17T12:39:00Z</cp:lastPrinted>
  <dcterms:created xsi:type="dcterms:W3CDTF">2021-02-19T12:44:00Z</dcterms:created>
  <dcterms:modified xsi:type="dcterms:W3CDTF">2021-02-19T12:44:00Z</dcterms:modified>
</cp:coreProperties>
</file>