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697" w:rsidRPr="00101174" w:rsidRDefault="004E4EF9" w:rsidP="004E4EF9">
      <w:pPr>
        <w:pStyle w:val="NoSpacing"/>
        <w:rPr>
          <w:rFonts w:cs="Times New Roman"/>
          <w:b/>
          <w:szCs w:val="24"/>
        </w:rPr>
      </w:pPr>
      <w:bookmarkStart w:id="0" w:name="_GoBack"/>
      <w:bookmarkEnd w:id="0"/>
      <w:r w:rsidRPr="00101174">
        <w:rPr>
          <w:rFonts w:cs="Times New Roman"/>
          <w:b/>
          <w:szCs w:val="24"/>
          <w:u w:val="single"/>
        </w:rPr>
        <w:t>REPORTABLE</w:t>
      </w:r>
      <w:r w:rsidR="00101174">
        <w:rPr>
          <w:rFonts w:cs="Times New Roman"/>
          <w:b/>
          <w:szCs w:val="24"/>
        </w:rPr>
        <w:tab/>
      </w:r>
      <w:r w:rsidRPr="00101174">
        <w:rPr>
          <w:rFonts w:cs="Times New Roman"/>
          <w:b/>
          <w:szCs w:val="24"/>
        </w:rPr>
        <w:t>(</w:t>
      </w:r>
      <w:r w:rsidR="00101174">
        <w:rPr>
          <w:rFonts w:cs="Times New Roman"/>
          <w:b/>
          <w:szCs w:val="24"/>
        </w:rPr>
        <w:t>105</w:t>
      </w:r>
      <w:r w:rsidR="00A14873" w:rsidRPr="00101174">
        <w:rPr>
          <w:rFonts w:cs="Times New Roman"/>
          <w:b/>
          <w:szCs w:val="24"/>
        </w:rPr>
        <w:t>)</w:t>
      </w:r>
    </w:p>
    <w:p w:rsidR="00F00E81" w:rsidRPr="00101174" w:rsidRDefault="00F00E81" w:rsidP="004E4EF9">
      <w:pPr>
        <w:pStyle w:val="NoSpacing"/>
        <w:rPr>
          <w:rFonts w:cs="Times New Roman"/>
          <w:b/>
          <w:szCs w:val="24"/>
        </w:rPr>
      </w:pPr>
    </w:p>
    <w:p w:rsidR="004E4EF9" w:rsidRPr="00101174" w:rsidRDefault="004E4EF9" w:rsidP="00133806">
      <w:pPr>
        <w:pStyle w:val="NoSpacing"/>
        <w:rPr>
          <w:rFonts w:cs="Times New Roman"/>
          <w:b/>
          <w:szCs w:val="24"/>
        </w:rPr>
      </w:pPr>
    </w:p>
    <w:p w:rsidR="00133806" w:rsidRPr="00101174" w:rsidRDefault="009526E5" w:rsidP="00133806">
      <w:pPr>
        <w:jc w:val="both"/>
        <w:rPr>
          <w:rFonts w:cs="Times New Roman"/>
          <w:b/>
          <w:i/>
          <w:szCs w:val="24"/>
        </w:rPr>
      </w:pPr>
      <w:r w:rsidRPr="00101174">
        <w:rPr>
          <w:rFonts w:cs="Times New Roman"/>
          <w:b/>
          <w:szCs w:val="24"/>
        </w:rPr>
        <w:t>Chamber Application</w:t>
      </w:r>
      <w:r w:rsidR="00133806" w:rsidRPr="00101174">
        <w:rPr>
          <w:rFonts w:cs="Times New Roman"/>
          <w:b/>
          <w:szCs w:val="24"/>
        </w:rPr>
        <w:t xml:space="preserve"> – </w:t>
      </w:r>
      <w:r w:rsidR="00133806" w:rsidRPr="00101174">
        <w:rPr>
          <w:rFonts w:cs="Times New Roman"/>
          <w:b/>
          <w:i/>
          <w:szCs w:val="24"/>
        </w:rPr>
        <w:t>Ex tempore</w:t>
      </w:r>
    </w:p>
    <w:p w:rsidR="004E4EF9" w:rsidRPr="00101174" w:rsidRDefault="004E4EF9" w:rsidP="00133806">
      <w:pPr>
        <w:pStyle w:val="NoSpacing"/>
        <w:rPr>
          <w:rFonts w:cs="Times New Roman"/>
          <w:b/>
          <w:szCs w:val="24"/>
        </w:rPr>
      </w:pPr>
    </w:p>
    <w:p w:rsidR="00B12957" w:rsidRPr="00101174" w:rsidRDefault="00A14873" w:rsidP="0032243A">
      <w:pPr>
        <w:pStyle w:val="NoSpacing"/>
        <w:jc w:val="center"/>
        <w:rPr>
          <w:rFonts w:cs="Times New Roman"/>
          <w:b/>
          <w:szCs w:val="24"/>
        </w:rPr>
      </w:pPr>
      <w:r w:rsidRPr="00101174">
        <w:rPr>
          <w:rFonts w:cs="Times New Roman"/>
          <w:b/>
          <w:szCs w:val="24"/>
        </w:rPr>
        <w:t>TAPERA     SENGWENI</w:t>
      </w:r>
    </w:p>
    <w:p w:rsidR="00A14873" w:rsidRPr="00101174" w:rsidRDefault="00A14873" w:rsidP="0032243A">
      <w:pPr>
        <w:pStyle w:val="NoSpacing"/>
        <w:jc w:val="center"/>
        <w:rPr>
          <w:rFonts w:cs="Times New Roman"/>
          <w:b/>
          <w:szCs w:val="24"/>
        </w:rPr>
      </w:pPr>
      <w:r w:rsidRPr="00101174">
        <w:rPr>
          <w:rFonts w:cs="Times New Roman"/>
          <w:b/>
          <w:szCs w:val="24"/>
        </w:rPr>
        <w:t>v</w:t>
      </w:r>
    </w:p>
    <w:p w:rsidR="00A14873" w:rsidRPr="00101174" w:rsidRDefault="00A14873" w:rsidP="0032243A">
      <w:pPr>
        <w:pStyle w:val="NoSpacing"/>
        <w:jc w:val="center"/>
        <w:rPr>
          <w:rFonts w:cs="Times New Roman"/>
          <w:b/>
          <w:szCs w:val="24"/>
        </w:rPr>
      </w:pPr>
      <w:r w:rsidRPr="00101174">
        <w:rPr>
          <w:rFonts w:cs="Times New Roman"/>
          <w:b/>
          <w:szCs w:val="24"/>
        </w:rPr>
        <w:t>THE     LAW     SOCIETY     OF     ZIMBABWE</w:t>
      </w:r>
    </w:p>
    <w:p w:rsidR="0032243A" w:rsidRPr="00101174" w:rsidRDefault="0032243A" w:rsidP="0032243A">
      <w:pPr>
        <w:pStyle w:val="NoSpacing"/>
        <w:jc w:val="center"/>
        <w:rPr>
          <w:rFonts w:cs="Times New Roman"/>
          <w:b/>
          <w:szCs w:val="24"/>
        </w:rPr>
      </w:pPr>
    </w:p>
    <w:p w:rsidR="0032243A" w:rsidRPr="00101174" w:rsidRDefault="0032243A" w:rsidP="0032243A">
      <w:pPr>
        <w:pStyle w:val="NoSpacing"/>
        <w:jc w:val="center"/>
        <w:rPr>
          <w:rFonts w:cs="Times New Roman"/>
          <w:b/>
          <w:szCs w:val="24"/>
        </w:rPr>
      </w:pPr>
    </w:p>
    <w:p w:rsidR="0032243A" w:rsidRPr="00101174" w:rsidRDefault="0032243A" w:rsidP="0032243A">
      <w:pPr>
        <w:pStyle w:val="NoSpacing"/>
        <w:jc w:val="center"/>
        <w:rPr>
          <w:rFonts w:cs="Times New Roman"/>
          <w:b/>
          <w:szCs w:val="24"/>
        </w:rPr>
      </w:pPr>
    </w:p>
    <w:p w:rsidR="00673BED" w:rsidRPr="00101174" w:rsidRDefault="00673BED" w:rsidP="00673BED">
      <w:pPr>
        <w:pStyle w:val="NoSpacing"/>
        <w:rPr>
          <w:rFonts w:cs="Times New Roman"/>
          <w:b/>
          <w:szCs w:val="24"/>
        </w:rPr>
      </w:pPr>
    </w:p>
    <w:p w:rsidR="00673BED" w:rsidRPr="00101174" w:rsidRDefault="0032243A" w:rsidP="0032243A">
      <w:pPr>
        <w:pStyle w:val="NoSpacing"/>
        <w:spacing w:before="0" w:beforeAutospacing="0" w:after="0" w:afterAutospacing="0"/>
        <w:rPr>
          <w:rFonts w:cs="Times New Roman"/>
          <w:b/>
          <w:szCs w:val="24"/>
        </w:rPr>
      </w:pPr>
      <w:r w:rsidRPr="00101174">
        <w:rPr>
          <w:rFonts w:cs="Times New Roman"/>
          <w:b/>
          <w:szCs w:val="24"/>
        </w:rPr>
        <w:t>SUPREME COURT OF ZIMBABWE</w:t>
      </w:r>
      <w:r w:rsidRPr="00101174">
        <w:rPr>
          <w:rFonts w:cs="Times New Roman"/>
          <w:b/>
          <w:szCs w:val="24"/>
        </w:rPr>
        <w:tab/>
      </w:r>
      <w:r w:rsidRPr="00101174">
        <w:rPr>
          <w:rFonts w:cs="Times New Roman"/>
          <w:b/>
          <w:szCs w:val="24"/>
        </w:rPr>
        <w:tab/>
      </w:r>
      <w:r w:rsidRPr="00101174">
        <w:rPr>
          <w:rFonts w:cs="Times New Roman"/>
          <w:b/>
          <w:szCs w:val="24"/>
        </w:rPr>
        <w:tab/>
      </w:r>
      <w:r w:rsidRPr="00101174">
        <w:rPr>
          <w:rFonts w:cs="Times New Roman"/>
          <w:b/>
          <w:szCs w:val="24"/>
        </w:rPr>
        <w:tab/>
      </w:r>
    </w:p>
    <w:p w:rsidR="006A6849" w:rsidRPr="00101174" w:rsidRDefault="0032243A" w:rsidP="0032243A">
      <w:pPr>
        <w:spacing w:before="0" w:beforeAutospacing="0" w:after="0" w:afterAutospacing="0" w:line="240" w:lineRule="auto"/>
        <w:jc w:val="both"/>
        <w:rPr>
          <w:rFonts w:cs="Times New Roman"/>
          <w:b/>
          <w:szCs w:val="24"/>
        </w:rPr>
      </w:pPr>
      <w:r w:rsidRPr="00101174">
        <w:rPr>
          <w:rFonts w:cs="Times New Roman"/>
          <w:b/>
          <w:szCs w:val="24"/>
        </w:rPr>
        <w:t>MATHONSI JA</w:t>
      </w:r>
    </w:p>
    <w:p w:rsidR="0032243A" w:rsidRPr="00101174" w:rsidRDefault="00254A34" w:rsidP="0032243A">
      <w:pPr>
        <w:spacing w:before="0" w:beforeAutospacing="0" w:after="0" w:afterAutospacing="0" w:line="240" w:lineRule="auto"/>
        <w:jc w:val="both"/>
        <w:rPr>
          <w:rFonts w:cs="Times New Roman"/>
          <w:b/>
          <w:szCs w:val="24"/>
        </w:rPr>
      </w:pPr>
      <w:r>
        <w:rPr>
          <w:rFonts w:cs="Times New Roman"/>
          <w:b/>
          <w:szCs w:val="24"/>
        </w:rPr>
        <w:t>HARARE:</w:t>
      </w:r>
      <w:r w:rsidR="0032243A" w:rsidRPr="00101174">
        <w:rPr>
          <w:rFonts w:cs="Times New Roman"/>
          <w:b/>
          <w:szCs w:val="24"/>
        </w:rPr>
        <w:t xml:space="preserve"> </w:t>
      </w:r>
      <w:r w:rsidR="00D34132" w:rsidRPr="00101174">
        <w:rPr>
          <w:rFonts w:cs="Times New Roman"/>
          <w:b/>
          <w:szCs w:val="24"/>
        </w:rPr>
        <w:t>JULY 30, 2020</w:t>
      </w:r>
    </w:p>
    <w:p w:rsidR="00133806" w:rsidRPr="00101174" w:rsidRDefault="00133806" w:rsidP="0032243A">
      <w:pPr>
        <w:spacing w:before="0" w:beforeAutospacing="0" w:after="0" w:afterAutospacing="0" w:line="240" w:lineRule="auto"/>
        <w:jc w:val="both"/>
        <w:rPr>
          <w:rFonts w:cs="Times New Roman"/>
          <w:b/>
          <w:szCs w:val="24"/>
        </w:rPr>
      </w:pPr>
    </w:p>
    <w:p w:rsidR="0032243A" w:rsidRPr="00101174" w:rsidRDefault="0032243A" w:rsidP="0032243A">
      <w:pPr>
        <w:spacing w:before="0" w:beforeAutospacing="0" w:after="0" w:afterAutospacing="0" w:line="240" w:lineRule="auto"/>
        <w:jc w:val="both"/>
        <w:rPr>
          <w:rFonts w:cs="Times New Roman"/>
          <w:b/>
          <w:szCs w:val="24"/>
        </w:rPr>
      </w:pPr>
    </w:p>
    <w:p w:rsidR="0032243A" w:rsidRPr="00101174" w:rsidRDefault="0032243A" w:rsidP="0032243A">
      <w:pPr>
        <w:spacing w:before="0" w:beforeAutospacing="0" w:after="0" w:afterAutospacing="0" w:line="240" w:lineRule="auto"/>
        <w:jc w:val="both"/>
        <w:rPr>
          <w:rFonts w:cs="Times New Roman"/>
          <w:b/>
          <w:szCs w:val="24"/>
        </w:rPr>
      </w:pPr>
      <w:r w:rsidRPr="00101174">
        <w:rPr>
          <w:rFonts w:cs="Times New Roman"/>
          <w:b/>
          <w:szCs w:val="24"/>
        </w:rPr>
        <w:tab/>
      </w:r>
    </w:p>
    <w:p w:rsidR="0032243A" w:rsidRPr="00101174" w:rsidRDefault="00D34132" w:rsidP="00133806">
      <w:pPr>
        <w:spacing w:before="0" w:beforeAutospacing="0" w:after="0" w:afterAutospacing="0" w:line="480" w:lineRule="auto"/>
        <w:jc w:val="both"/>
        <w:rPr>
          <w:rFonts w:cs="Times New Roman"/>
          <w:szCs w:val="24"/>
        </w:rPr>
      </w:pPr>
      <w:r w:rsidRPr="00101174">
        <w:rPr>
          <w:rFonts w:cs="Times New Roman"/>
          <w:szCs w:val="24"/>
        </w:rPr>
        <w:t>Applicant in Person</w:t>
      </w:r>
    </w:p>
    <w:p w:rsidR="0032243A" w:rsidRPr="00101174" w:rsidRDefault="00D34132" w:rsidP="00133806">
      <w:pPr>
        <w:spacing w:before="0" w:beforeAutospacing="0" w:after="0" w:afterAutospacing="0" w:line="480" w:lineRule="auto"/>
        <w:jc w:val="both"/>
        <w:rPr>
          <w:rFonts w:cs="Times New Roman"/>
          <w:szCs w:val="24"/>
        </w:rPr>
      </w:pPr>
      <w:r w:rsidRPr="00101174">
        <w:rPr>
          <w:rFonts w:cs="Times New Roman"/>
          <w:i/>
          <w:szCs w:val="24"/>
        </w:rPr>
        <w:t>C. Z. Chikara</w:t>
      </w:r>
      <w:r w:rsidR="00133806" w:rsidRPr="00101174">
        <w:rPr>
          <w:rFonts w:cs="Times New Roman"/>
          <w:i/>
          <w:szCs w:val="24"/>
        </w:rPr>
        <w:t>,</w:t>
      </w:r>
      <w:r w:rsidR="002369D3">
        <w:rPr>
          <w:rFonts w:cs="Times New Roman"/>
          <w:szCs w:val="24"/>
        </w:rPr>
        <w:t xml:space="preserve"> for the r</w:t>
      </w:r>
      <w:r w:rsidR="0032243A" w:rsidRPr="00101174">
        <w:rPr>
          <w:rFonts w:cs="Times New Roman"/>
          <w:szCs w:val="24"/>
        </w:rPr>
        <w:t>espondent</w:t>
      </w:r>
    </w:p>
    <w:p w:rsidR="0032243A" w:rsidRPr="00101174" w:rsidRDefault="0032243A" w:rsidP="00800933">
      <w:pPr>
        <w:jc w:val="both"/>
        <w:rPr>
          <w:rFonts w:cs="Times New Roman"/>
          <w:b/>
          <w:i/>
          <w:szCs w:val="24"/>
        </w:rPr>
      </w:pPr>
    </w:p>
    <w:p w:rsidR="006A6849" w:rsidRPr="00101174" w:rsidRDefault="00673BED" w:rsidP="00D34132">
      <w:pPr>
        <w:spacing w:before="0" w:beforeAutospacing="0" w:after="0" w:afterAutospacing="0" w:line="480" w:lineRule="auto"/>
        <w:ind w:firstLine="1440"/>
        <w:jc w:val="both"/>
        <w:rPr>
          <w:rFonts w:cs="Times New Roman"/>
          <w:szCs w:val="24"/>
        </w:rPr>
      </w:pPr>
      <w:r w:rsidRPr="00101174">
        <w:rPr>
          <w:rFonts w:cs="Times New Roman"/>
          <w:b/>
          <w:szCs w:val="24"/>
        </w:rPr>
        <w:t>MATHONSI JA:</w:t>
      </w:r>
      <w:r w:rsidRPr="00101174">
        <w:rPr>
          <w:rFonts w:cs="Times New Roman"/>
          <w:szCs w:val="24"/>
        </w:rPr>
        <w:tab/>
      </w:r>
      <w:r w:rsidR="00B12957" w:rsidRPr="00101174">
        <w:rPr>
          <w:rFonts w:cs="Times New Roman"/>
          <w:szCs w:val="24"/>
        </w:rPr>
        <w:t xml:space="preserve">This is an </w:t>
      </w:r>
      <w:r w:rsidR="00D34132" w:rsidRPr="00101174">
        <w:rPr>
          <w:rFonts w:cs="Times New Roman"/>
          <w:szCs w:val="24"/>
        </w:rPr>
        <w:t>application for condonation for the late filing of an appeal</w:t>
      </w:r>
      <w:r w:rsidR="00FB3E39" w:rsidRPr="00101174">
        <w:rPr>
          <w:rFonts w:cs="Times New Roman"/>
          <w:szCs w:val="24"/>
        </w:rPr>
        <w:t xml:space="preserve"> and for an extension of time within which to note an appeal. The application is made in </w:t>
      </w:r>
      <w:r w:rsidR="009500EB" w:rsidRPr="00101174">
        <w:rPr>
          <w:rFonts w:cs="Times New Roman"/>
          <w:szCs w:val="24"/>
        </w:rPr>
        <w:t>terms</w:t>
      </w:r>
      <w:r w:rsidR="00FB3E39" w:rsidRPr="00101174">
        <w:rPr>
          <w:rFonts w:cs="Times New Roman"/>
          <w:szCs w:val="24"/>
        </w:rPr>
        <w:t xml:space="preserve"> of r 43 (1) and (3) of the Supreme Court Rules, 2018.</w:t>
      </w:r>
    </w:p>
    <w:p w:rsidR="00FB3E39" w:rsidRPr="00101174" w:rsidRDefault="00FB3E39" w:rsidP="00FB3E39">
      <w:pPr>
        <w:spacing w:before="0" w:beforeAutospacing="0" w:after="0" w:afterAutospacing="0" w:line="480" w:lineRule="auto"/>
        <w:jc w:val="both"/>
        <w:rPr>
          <w:rFonts w:cs="Times New Roman"/>
          <w:szCs w:val="24"/>
        </w:rPr>
      </w:pPr>
    </w:p>
    <w:p w:rsidR="00FB3E39" w:rsidRPr="00101174" w:rsidRDefault="00F00E81" w:rsidP="00FB3E39">
      <w:pPr>
        <w:spacing w:before="0" w:beforeAutospacing="0" w:after="0" w:afterAutospacing="0" w:line="480" w:lineRule="auto"/>
        <w:jc w:val="both"/>
        <w:rPr>
          <w:rFonts w:cs="Times New Roman"/>
          <w:b/>
          <w:szCs w:val="24"/>
        </w:rPr>
      </w:pPr>
      <w:r w:rsidRPr="00101174">
        <w:rPr>
          <w:rFonts w:cs="Times New Roman"/>
          <w:b/>
          <w:szCs w:val="24"/>
        </w:rPr>
        <w:t>FACTUAL BACKGROUND</w:t>
      </w:r>
    </w:p>
    <w:p w:rsidR="000D1775" w:rsidRDefault="009526E5" w:rsidP="00930C0F">
      <w:pPr>
        <w:spacing w:before="0" w:beforeAutospacing="0" w:after="0" w:afterAutospacing="0" w:line="480" w:lineRule="auto"/>
        <w:ind w:firstLine="1440"/>
        <w:jc w:val="both"/>
        <w:rPr>
          <w:rFonts w:cs="Times New Roman"/>
          <w:szCs w:val="24"/>
        </w:rPr>
      </w:pPr>
      <w:r w:rsidRPr="00101174">
        <w:rPr>
          <w:rFonts w:cs="Times New Roman"/>
          <w:szCs w:val="24"/>
        </w:rPr>
        <w:t>Since the Legal P</w:t>
      </w:r>
      <w:r w:rsidR="00FB3E39" w:rsidRPr="00101174">
        <w:rPr>
          <w:rFonts w:cs="Times New Roman"/>
          <w:szCs w:val="24"/>
        </w:rPr>
        <w:t xml:space="preserve">ractitioners Disciplinary Tribunal (the tribunal) delivered judgment on 30 </w:t>
      </w:r>
      <w:r w:rsidR="00F457A4" w:rsidRPr="00101174">
        <w:rPr>
          <w:rFonts w:cs="Times New Roman"/>
          <w:szCs w:val="24"/>
        </w:rPr>
        <w:t>October</w:t>
      </w:r>
      <w:r w:rsidR="00FB3E39" w:rsidRPr="00101174">
        <w:rPr>
          <w:rFonts w:cs="Times New Roman"/>
          <w:szCs w:val="24"/>
        </w:rPr>
        <w:t xml:space="preserve"> 2019 in </w:t>
      </w:r>
      <w:r w:rsidR="00F457A4" w:rsidRPr="00101174">
        <w:rPr>
          <w:rFonts w:cs="Times New Roman"/>
          <w:szCs w:val="24"/>
        </w:rPr>
        <w:t>which</w:t>
      </w:r>
      <w:r w:rsidR="00FB3E39" w:rsidRPr="00101174">
        <w:rPr>
          <w:rFonts w:cs="Times New Roman"/>
          <w:szCs w:val="24"/>
        </w:rPr>
        <w:t xml:space="preserve"> it dismissed the applicant’s appl</w:t>
      </w:r>
      <w:r w:rsidR="00920174" w:rsidRPr="00101174">
        <w:rPr>
          <w:rFonts w:cs="Times New Roman"/>
          <w:szCs w:val="24"/>
        </w:rPr>
        <w:t xml:space="preserve">ication for rescission of judgment, the applicant has </w:t>
      </w:r>
      <w:r w:rsidR="007A5547" w:rsidRPr="00101174">
        <w:rPr>
          <w:rFonts w:cs="Times New Roman"/>
          <w:szCs w:val="24"/>
        </w:rPr>
        <w:t>tried</w:t>
      </w:r>
      <w:r w:rsidR="00920174" w:rsidRPr="00101174">
        <w:rPr>
          <w:rFonts w:cs="Times New Roman"/>
          <w:szCs w:val="24"/>
        </w:rPr>
        <w:t xml:space="preserve"> unsucce</w:t>
      </w:r>
      <w:r w:rsidR="007A5547" w:rsidRPr="00101174">
        <w:rPr>
          <w:rFonts w:cs="Times New Roman"/>
          <w:szCs w:val="24"/>
        </w:rPr>
        <w:t>ss</w:t>
      </w:r>
      <w:r w:rsidR="00920174" w:rsidRPr="00101174">
        <w:rPr>
          <w:rFonts w:cs="Times New Roman"/>
          <w:szCs w:val="24"/>
        </w:rPr>
        <w:t>fully</w:t>
      </w:r>
      <w:r w:rsidR="00F457A4" w:rsidRPr="00101174">
        <w:rPr>
          <w:rFonts w:cs="Times New Roman"/>
          <w:szCs w:val="24"/>
        </w:rPr>
        <w:t xml:space="preserve"> to appeal against that judgment.</w:t>
      </w:r>
    </w:p>
    <w:p w:rsidR="00930C0F" w:rsidRPr="00101174" w:rsidRDefault="00930C0F" w:rsidP="00930C0F">
      <w:pPr>
        <w:spacing w:before="0" w:beforeAutospacing="0" w:after="0" w:afterAutospacing="0" w:line="480" w:lineRule="auto"/>
        <w:ind w:firstLine="1440"/>
        <w:jc w:val="both"/>
        <w:rPr>
          <w:rFonts w:cs="Times New Roman"/>
          <w:szCs w:val="24"/>
        </w:rPr>
      </w:pPr>
    </w:p>
    <w:p w:rsidR="00FB3E39" w:rsidRPr="00101174" w:rsidRDefault="00F457A4" w:rsidP="009500EB">
      <w:pPr>
        <w:spacing w:before="0" w:beforeAutospacing="0" w:after="0" w:afterAutospacing="0" w:line="480" w:lineRule="auto"/>
        <w:ind w:firstLine="1440"/>
        <w:jc w:val="both"/>
        <w:rPr>
          <w:rFonts w:cs="Times New Roman"/>
          <w:szCs w:val="24"/>
        </w:rPr>
      </w:pPr>
      <w:r w:rsidRPr="00101174">
        <w:rPr>
          <w:rFonts w:cs="Times New Roman"/>
          <w:szCs w:val="24"/>
        </w:rPr>
        <w:t xml:space="preserve">On 18 November 2019 the applicant filed a notice of appeal with this </w:t>
      </w:r>
      <w:r w:rsidR="00997391" w:rsidRPr="00101174">
        <w:rPr>
          <w:rFonts w:cs="Times New Roman"/>
          <w:szCs w:val="24"/>
        </w:rPr>
        <w:t>C</w:t>
      </w:r>
      <w:r w:rsidRPr="00101174">
        <w:rPr>
          <w:rFonts w:cs="Times New Roman"/>
          <w:szCs w:val="24"/>
        </w:rPr>
        <w:t>ourt but omitted to serve it on the Registrar of the High Court as required by the peremptory provisions of r</w:t>
      </w:r>
      <w:r w:rsidR="002369D3">
        <w:rPr>
          <w:rFonts w:cs="Times New Roman"/>
          <w:szCs w:val="24"/>
        </w:rPr>
        <w:t> </w:t>
      </w:r>
      <w:r w:rsidRPr="00101174">
        <w:rPr>
          <w:rFonts w:cs="Times New Roman"/>
          <w:szCs w:val="24"/>
        </w:rPr>
        <w:t>37 (2) of this Court’s rules. The appeal was deemed abandoned with the requisite notice given to the applicant. Since then the applicant has filed two unsuccessful applications in SC</w:t>
      </w:r>
      <w:r w:rsidR="00997391" w:rsidRPr="00101174">
        <w:rPr>
          <w:rFonts w:cs="Times New Roman"/>
          <w:szCs w:val="24"/>
        </w:rPr>
        <w:t xml:space="preserve"> </w:t>
      </w:r>
      <w:r w:rsidRPr="00101174">
        <w:rPr>
          <w:rFonts w:cs="Times New Roman"/>
          <w:szCs w:val="24"/>
        </w:rPr>
        <w:t>11/20 and SC</w:t>
      </w:r>
      <w:r w:rsidR="002369D3">
        <w:rPr>
          <w:rFonts w:cs="Times New Roman"/>
          <w:szCs w:val="24"/>
        </w:rPr>
        <w:t> </w:t>
      </w:r>
      <w:r w:rsidRPr="00101174">
        <w:rPr>
          <w:rFonts w:cs="Times New Roman"/>
          <w:szCs w:val="24"/>
        </w:rPr>
        <w:t xml:space="preserve">86/20 trying to </w:t>
      </w:r>
      <w:r w:rsidR="00D5381F" w:rsidRPr="00101174">
        <w:rPr>
          <w:rFonts w:cs="Times New Roman"/>
          <w:szCs w:val="24"/>
        </w:rPr>
        <w:t>right the wrong. On both occasions the applicant had to withdraw the application owing to its defectiveness.</w:t>
      </w:r>
    </w:p>
    <w:p w:rsidR="00D5381F" w:rsidRPr="00101174" w:rsidRDefault="00D5381F" w:rsidP="009500EB">
      <w:pPr>
        <w:spacing w:before="0" w:beforeAutospacing="0" w:after="0" w:afterAutospacing="0" w:line="480" w:lineRule="auto"/>
        <w:ind w:firstLine="1440"/>
        <w:jc w:val="both"/>
        <w:rPr>
          <w:rFonts w:cs="Times New Roman"/>
          <w:szCs w:val="24"/>
        </w:rPr>
      </w:pPr>
    </w:p>
    <w:p w:rsidR="00D5381F" w:rsidRPr="00101174" w:rsidRDefault="00D5381F" w:rsidP="009500EB">
      <w:pPr>
        <w:spacing w:before="0" w:beforeAutospacing="0" w:after="0" w:afterAutospacing="0" w:line="480" w:lineRule="auto"/>
        <w:ind w:firstLine="1440"/>
        <w:jc w:val="both"/>
        <w:rPr>
          <w:rFonts w:cs="Times New Roman"/>
          <w:szCs w:val="24"/>
        </w:rPr>
      </w:pPr>
      <w:r w:rsidRPr="00101174">
        <w:rPr>
          <w:rFonts w:cs="Times New Roman"/>
          <w:szCs w:val="24"/>
        </w:rPr>
        <w:t xml:space="preserve">This </w:t>
      </w:r>
      <w:r w:rsidR="00A85241" w:rsidRPr="00101174">
        <w:rPr>
          <w:rFonts w:cs="Times New Roman"/>
          <w:szCs w:val="24"/>
        </w:rPr>
        <w:t>application,</w:t>
      </w:r>
      <w:r w:rsidRPr="00101174">
        <w:rPr>
          <w:rFonts w:cs="Times New Roman"/>
          <w:szCs w:val="24"/>
        </w:rPr>
        <w:t xml:space="preserve"> which is opposed by the respondent, is therefore the third attempt by the applicant to obtain leave</w:t>
      </w:r>
      <w:r w:rsidR="009526E5" w:rsidRPr="00101174">
        <w:rPr>
          <w:rFonts w:cs="Times New Roman"/>
          <w:szCs w:val="24"/>
        </w:rPr>
        <w:t xml:space="preserve"> to appeal out of time</w:t>
      </w:r>
      <w:r w:rsidRPr="00101174">
        <w:rPr>
          <w:rFonts w:cs="Times New Roman"/>
          <w:szCs w:val="24"/>
        </w:rPr>
        <w:t xml:space="preserve">. It also has its own frailties. By order granted on 18 </w:t>
      </w:r>
      <w:r w:rsidR="00A85241" w:rsidRPr="00101174">
        <w:rPr>
          <w:rFonts w:cs="Times New Roman"/>
          <w:szCs w:val="24"/>
        </w:rPr>
        <w:t>October</w:t>
      </w:r>
      <w:r w:rsidRPr="00101174">
        <w:rPr>
          <w:rFonts w:cs="Times New Roman"/>
          <w:szCs w:val="24"/>
        </w:rPr>
        <w:t xml:space="preserve"> 2013, the Tribunal deleted the applicant’s name from the register of legal practitioners for indiscretions arising from his </w:t>
      </w:r>
      <w:r w:rsidR="009C793F" w:rsidRPr="00101174">
        <w:rPr>
          <w:rFonts w:cs="Times New Roman"/>
          <w:szCs w:val="24"/>
        </w:rPr>
        <w:t>handling of trust funds. This was at the instance of the respondent. The applicant tried to contest that decision by applications filed at the High Court without success.</w:t>
      </w:r>
    </w:p>
    <w:p w:rsidR="009C793F" w:rsidRPr="00101174" w:rsidRDefault="009C793F" w:rsidP="009500EB">
      <w:pPr>
        <w:spacing w:before="0" w:beforeAutospacing="0" w:after="0" w:afterAutospacing="0" w:line="480" w:lineRule="auto"/>
        <w:ind w:firstLine="1440"/>
        <w:jc w:val="both"/>
        <w:rPr>
          <w:rFonts w:cs="Times New Roman"/>
          <w:szCs w:val="24"/>
        </w:rPr>
      </w:pPr>
    </w:p>
    <w:p w:rsidR="009C793F" w:rsidRPr="00101174" w:rsidRDefault="009C793F" w:rsidP="009500EB">
      <w:pPr>
        <w:spacing w:before="0" w:beforeAutospacing="0" w:after="0" w:afterAutospacing="0" w:line="480" w:lineRule="auto"/>
        <w:ind w:firstLine="1440"/>
        <w:jc w:val="both"/>
        <w:rPr>
          <w:rFonts w:cs="Times New Roman"/>
          <w:szCs w:val="24"/>
        </w:rPr>
      </w:pPr>
      <w:r w:rsidRPr="00101174">
        <w:rPr>
          <w:rFonts w:cs="Times New Roman"/>
          <w:szCs w:val="24"/>
        </w:rPr>
        <w:t xml:space="preserve">He then brought </w:t>
      </w:r>
      <w:r w:rsidR="00A85241" w:rsidRPr="00101174">
        <w:rPr>
          <w:rFonts w:cs="Times New Roman"/>
          <w:szCs w:val="24"/>
        </w:rPr>
        <w:t xml:space="preserve">an application before the Tribunal for rescission of its own judgment. In dismissing the application on the ground that, as a creature of statute, it lacked jurisdiction to </w:t>
      </w:r>
      <w:r w:rsidR="00AD5FFA" w:rsidRPr="00101174">
        <w:rPr>
          <w:rFonts w:cs="Times New Roman"/>
          <w:szCs w:val="24"/>
        </w:rPr>
        <w:t>rescind</w:t>
      </w:r>
      <w:r w:rsidR="00A85241" w:rsidRPr="00101174">
        <w:rPr>
          <w:rFonts w:cs="Times New Roman"/>
          <w:szCs w:val="24"/>
        </w:rPr>
        <w:t xml:space="preserve"> its own decisions, the Tribunal made the critical point at p 3 of the </w:t>
      </w:r>
      <w:r w:rsidR="00AD5FFA" w:rsidRPr="00101174">
        <w:rPr>
          <w:rFonts w:cs="Times New Roman"/>
          <w:szCs w:val="24"/>
        </w:rPr>
        <w:t>cyclostyled</w:t>
      </w:r>
      <w:r w:rsidR="00A85241" w:rsidRPr="00101174">
        <w:rPr>
          <w:rFonts w:cs="Times New Roman"/>
          <w:szCs w:val="24"/>
        </w:rPr>
        <w:t xml:space="preserve"> judgment:</w:t>
      </w:r>
    </w:p>
    <w:p w:rsidR="007A5547" w:rsidRDefault="00A85241" w:rsidP="007A5547">
      <w:pPr>
        <w:spacing w:before="0" w:beforeAutospacing="0" w:after="0" w:afterAutospacing="0" w:line="240" w:lineRule="auto"/>
        <w:ind w:left="720"/>
        <w:jc w:val="both"/>
        <w:rPr>
          <w:rFonts w:cs="Times New Roman"/>
          <w:szCs w:val="24"/>
        </w:rPr>
      </w:pPr>
      <w:r w:rsidRPr="00101174">
        <w:rPr>
          <w:rFonts w:cs="Times New Roman"/>
          <w:szCs w:val="24"/>
        </w:rPr>
        <w:t xml:space="preserve">“A distinction must be made between the two cases in that in the Sengweni case, Mr Sengweni was represented by counsel and therefore was deemed to be present (despite the now challenge that counsel did not have instructions to represent him). Concessions were made on his behalf and the order was granted with his ‘consent’. His counsel had </w:t>
      </w:r>
      <w:r w:rsidR="00AD5FFA" w:rsidRPr="00101174">
        <w:rPr>
          <w:rFonts w:cs="Times New Roman"/>
          <w:szCs w:val="24"/>
        </w:rPr>
        <w:t>indicated</w:t>
      </w:r>
      <w:r w:rsidRPr="00101174">
        <w:rPr>
          <w:rFonts w:cs="Times New Roman"/>
          <w:szCs w:val="24"/>
        </w:rPr>
        <w:t xml:space="preserve"> that he ha</w:t>
      </w:r>
      <w:r w:rsidR="008155D9" w:rsidRPr="00101174">
        <w:rPr>
          <w:rFonts w:cs="Times New Roman"/>
          <w:szCs w:val="24"/>
        </w:rPr>
        <w:t xml:space="preserve">d accepted liability and intended to pay the amount owing. </w:t>
      </w:r>
      <w:r w:rsidR="008155D9" w:rsidRPr="00101174">
        <w:rPr>
          <w:rFonts w:cs="Times New Roman"/>
          <w:szCs w:val="24"/>
          <w:u w:val="single"/>
        </w:rPr>
        <w:t>The decision of the Tribunal was therefore on the merits</w:t>
      </w:r>
      <w:r w:rsidR="008155D9" w:rsidRPr="00101174">
        <w:rPr>
          <w:rFonts w:cs="Times New Roman"/>
          <w:szCs w:val="24"/>
        </w:rPr>
        <w:t>.”</w:t>
      </w:r>
      <w:r w:rsidR="009526E5" w:rsidRPr="00101174">
        <w:rPr>
          <w:rFonts w:cs="Times New Roman"/>
          <w:szCs w:val="24"/>
        </w:rPr>
        <w:t xml:space="preserve">  (The underlining is for emphasis)</w:t>
      </w:r>
    </w:p>
    <w:p w:rsidR="00930C0F" w:rsidRDefault="00930C0F" w:rsidP="007A5547">
      <w:pPr>
        <w:spacing w:before="0" w:beforeAutospacing="0" w:after="0" w:afterAutospacing="0" w:line="240" w:lineRule="auto"/>
        <w:ind w:left="720"/>
        <w:jc w:val="both"/>
        <w:rPr>
          <w:rFonts w:cs="Times New Roman"/>
          <w:szCs w:val="24"/>
        </w:rPr>
      </w:pPr>
    </w:p>
    <w:p w:rsidR="00930C0F" w:rsidRDefault="00930C0F" w:rsidP="007A5547">
      <w:pPr>
        <w:spacing w:before="0" w:beforeAutospacing="0" w:after="0" w:afterAutospacing="0" w:line="240" w:lineRule="auto"/>
        <w:ind w:left="720"/>
        <w:jc w:val="both"/>
        <w:rPr>
          <w:rFonts w:cs="Times New Roman"/>
          <w:szCs w:val="24"/>
        </w:rPr>
      </w:pPr>
    </w:p>
    <w:p w:rsidR="00930C0F" w:rsidRPr="00101174" w:rsidRDefault="00930C0F" w:rsidP="007A5547">
      <w:pPr>
        <w:spacing w:before="0" w:beforeAutospacing="0" w:after="0" w:afterAutospacing="0" w:line="240" w:lineRule="auto"/>
        <w:ind w:left="720"/>
        <w:jc w:val="both"/>
        <w:rPr>
          <w:rFonts w:cs="Times New Roman"/>
          <w:szCs w:val="24"/>
        </w:rPr>
      </w:pPr>
    </w:p>
    <w:p w:rsidR="00C71693" w:rsidRPr="00101174" w:rsidRDefault="008155D9" w:rsidP="00136AA5">
      <w:pPr>
        <w:spacing w:before="0" w:beforeAutospacing="0" w:after="0" w:afterAutospacing="0" w:line="480" w:lineRule="auto"/>
        <w:ind w:firstLine="1440"/>
        <w:jc w:val="both"/>
        <w:rPr>
          <w:rFonts w:cs="Times New Roman"/>
          <w:szCs w:val="24"/>
        </w:rPr>
      </w:pPr>
      <w:r w:rsidRPr="00101174">
        <w:rPr>
          <w:rFonts w:cs="Times New Roman"/>
          <w:szCs w:val="24"/>
        </w:rPr>
        <w:lastRenderedPageBreak/>
        <w:t xml:space="preserve">Despite the clear and unambiguous pronouncement by the Tribunal that the applicant’s deregistration was based on the merits and that he was not in default, having been represented by counsel, the applicant has insisted in his proposed appeal and in this application that it was a default judgment. Without citing any authority for such proposition, the applicant has insisted that, as a default judgment, the judgment on deregistration is susceptible to rescission by the Tribunal. It is the Tribunal’s refusal to exercise such jurisdiction which the applicant would like to bring on appeal so that the Supreme Court can spend </w:t>
      </w:r>
      <w:r w:rsidR="00C71693" w:rsidRPr="00101174">
        <w:rPr>
          <w:rFonts w:cs="Times New Roman"/>
          <w:szCs w:val="24"/>
        </w:rPr>
        <w:t>time interrogating that assertion not backed by any legal authority.</w:t>
      </w:r>
    </w:p>
    <w:p w:rsidR="00136AA5" w:rsidRPr="00101174" w:rsidRDefault="00136AA5" w:rsidP="00136AA5">
      <w:pPr>
        <w:spacing w:before="0" w:beforeAutospacing="0" w:after="0" w:afterAutospacing="0" w:line="480" w:lineRule="auto"/>
        <w:ind w:firstLine="1440"/>
        <w:jc w:val="both"/>
        <w:rPr>
          <w:rFonts w:cs="Times New Roman"/>
          <w:szCs w:val="24"/>
        </w:rPr>
      </w:pPr>
    </w:p>
    <w:p w:rsidR="00C71693" w:rsidRPr="00101174" w:rsidRDefault="00C71693" w:rsidP="009500EB">
      <w:pPr>
        <w:spacing w:before="0" w:beforeAutospacing="0" w:after="0" w:afterAutospacing="0" w:line="480" w:lineRule="auto"/>
        <w:ind w:firstLine="1440"/>
        <w:jc w:val="both"/>
        <w:rPr>
          <w:rFonts w:cs="Times New Roman"/>
          <w:szCs w:val="24"/>
        </w:rPr>
      </w:pPr>
      <w:r w:rsidRPr="00101174">
        <w:rPr>
          <w:rFonts w:cs="Times New Roman"/>
          <w:szCs w:val="24"/>
        </w:rPr>
        <w:t>In terms of r 70 (2)</w:t>
      </w:r>
      <w:r w:rsidR="00136AA5" w:rsidRPr="00101174">
        <w:rPr>
          <w:rFonts w:cs="Times New Roman"/>
          <w:szCs w:val="24"/>
        </w:rPr>
        <w:t xml:space="preserve"> of this Court’s rules where an</w:t>
      </w:r>
      <w:r w:rsidRPr="00101174">
        <w:rPr>
          <w:rFonts w:cs="Times New Roman"/>
          <w:szCs w:val="24"/>
        </w:rPr>
        <w:t xml:space="preserve"> appeal is regarded as abandoned, the appellant may</w:t>
      </w:r>
      <w:r w:rsidR="009526E5" w:rsidRPr="00101174">
        <w:rPr>
          <w:rFonts w:cs="Times New Roman"/>
          <w:szCs w:val="24"/>
        </w:rPr>
        <w:t>,</w:t>
      </w:r>
      <w:r w:rsidRPr="00101174">
        <w:rPr>
          <w:rFonts w:cs="Times New Roman"/>
          <w:szCs w:val="24"/>
        </w:rPr>
        <w:t xml:space="preserve"> within 15 days of receiving notification by the registrar in terms of subr</w:t>
      </w:r>
      <w:r w:rsidR="002369D3">
        <w:rPr>
          <w:rFonts w:cs="Times New Roman"/>
          <w:szCs w:val="24"/>
        </w:rPr>
        <w:t>ule</w:t>
      </w:r>
      <w:r w:rsidRPr="00101174">
        <w:rPr>
          <w:rFonts w:cs="Times New Roman"/>
          <w:szCs w:val="24"/>
        </w:rPr>
        <w:t xml:space="preserve"> (1), apply for the reinstatement of the appeal on good </w:t>
      </w:r>
      <w:r w:rsidR="00C22E9D" w:rsidRPr="00101174">
        <w:rPr>
          <w:rFonts w:cs="Times New Roman"/>
          <w:szCs w:val="24"/>
        </w:rPr>
        <w:t>cause</w:t>
      </w:r>
      <w:r w:rsidRPr="00101174">
        <w:rPr>
          <w:rFonts w:cs="Times New Roman"/>
          <w:szCs w:val="24"/>
        </w:rPr>
        <w:t xml:space="preserve">. This application is not in terms of r 70(2), the applicant having exhausted his </w:t>
      </w:r>
      <w:r w:rsidR="009526E5" w:rsidRPr="00101174">
        <w:rPr>
          <w:rFonts w:cs="Times New Roman"/>
          <w:szCs w:val="24"/>
        </w:rPr>
        <w:t>‘</w:t>
      </w:r>
      <w:r w:rsidRPr="00101174">
        <w:rPr>
          <w:rFonts w:cs="Times New Roman"/>
          <w:szCs w:val="24"/>
        </w:rPr>
        <w:t>quota</w:t>
      </w:r>
      <w:r w:rsidR="009526E5" w:rsidRPr="00101174">
        <w:rPr>
          <w:rFonts w:cs="Times New Roman"/>
          <w:szCs w:val="24"/>
        </w:rPr>
        <w:t>’</w:t>
      </w:r>
      <w:r w:rsidRPr="00101174">
        <w:rPr>
          <w:rFonts w:cs="Times New Roman"/>
          <w:szCs w:val="24"/>
        </w:rPr>
        <w:t xml:space="preserve"> in that regard. He has opted to proceed in terms of r 43 (1) and (3) </w:t>
      </w:r>
      <w:r w:rsidR="009526E5" w:rsidRPr="00101174">
        <w:rPr>
          <w:rFonts w:cs="Times New Roman"/>
          <w:szCs w:val="24"/>
        </w:rPr>
        <w:t>for an</w:t>
      </w:r>
      <w:r w:rsidRPr="00101174">
        <w:rPr>
          <w:rFonts w:cs="Times New Roman"/>
          <w:szCs w:val="24"/>
        </w:rPr>
        <w:t xml:space="preserve"> extension of time</w:t>
      </w:r>
      <w:r w:rsidR="009526E5" w:rsidRPr="00101174">
        <w:rPr>
          <w:rFonts w:cs="Times New Roman"/>
          <w:szCs w:val="24"/>
        </w:rPr>
        <w:t xml:space="preserve"> within which to appeal</w:t>
      </w:r>
      <w:r w:rsidRPr="00101174">
        <w:rPr>
          <w:rFonts w:cs="Times New Roman"/>
          <w:szCs w:val="24"/>
        </w:rPr>
        <w:t>.</w:t>
      </w:r>
    </w:p>
    <w:p w:rsidR="00C71693" w:rsidRPr="00101174" w:rsidRDefault="00C71693" w:rsidP="009500EB">
      <w:pPr>
        <w:spacing w:before="0" w:beforeAutospacing="0" w:after="0" w:afterAutospacing="0" w:line="480" w:lineRule="auto"/>
        <w:ind w:firstLine="1440"/>
        <w:jc w:val="both"/>
        <w:rPr>
          <w:rFonts w:cs="Times New Roman"/>
          <w:szCs w:val="24"/>
        </w:rPr>
      </w:pPr>
    </w:p>
    <w:p w:rsidR="008155D9" w:rsidRPr="00101174" w:rsidRDefault="00C71693" w:rsidP="009500EB">
      <w:pPr>
        <w:spacing w:before="0" w:beforeAutospacing="0" w:after="0" w:afterAutospacing="0" w:line="480" w:lineRule="auto"/>
        <w:ind w:firstLine="1440"/>
        <w:jc w:val="both"/>
        <w:rPr>
          <w:rFonts w:cs="Times New Roman"/>
          <w:szCs w:val="24"/>
        </w:rPr>
      </w:pPr>
      <w:r w:rsidRPr="00101174">
        <w:rPr>
          <w:rFonts w:cs="Times New Roman"/>
          <w:szCs w:val="24"/>
        </w:rPr>
        <w:t>What the court has regards to in considering an application of this na</w:t>
      </w:r>
      <w:r w:rsidR="00136AA5" w:rsidRPr="00101174">
        <w:rPr>
          <w:rFonts w:cs="Times New Roman"/>
          <w:szCs w:val="24"/>
        </w:rPr>
        <w:t>ture was set out by MALABA JA (</w:t>
      </w:r>
      <w:r w:rsidRPr="00101174">
        <w:rPr>
          <w:rFonts w:cs="Times New Roman"/>
          <w:szCs w:val="24"/>
        </w:rPr>
        <w:t xml:space="preserve">as he then was) in </w:t>
      </w:r>
      <w:r w:rsidRPr="00101174">
        <w:rPr>
          <w:rFonts w:cs="Times New Roman"/>
          <w:i/>
          <w:szCs w:val="24"/>
        </w:rPr>
        <w:t>Maheya v Independent Africa Church</w:t>
      </w:r>
      <w:r w:rsidR="00C22E9D" w:rsidRPr="00101174">
        <w:rPr>
          <w:rFonts w:cs="Times New Roman"/>
          <w:szCs w:val="24"/>
        </w:rPr>
        <w:t xml:space="preserve"> 2007 (2) ZLR 319 (S) at 323 B-C</w:t>
      </w:r>
      <w:r w:rsidR="00136AA5" w:rsidRPr="00101174">
        <w:rPr>
          <w:rFonts w:cs="Times New Roman"/>
          <w:szCs w:val="24"/>
        </w:rPr>
        <w:t>. He said:</w:t>
      </w:r>
    </w:p>
    <w:p w:rsidR="00C22E9D" w:rsidRPr="00101174" w:rsidRDefault="00136AA5" w:rsidP="007A5547">
      <w:pPr>
        <w:spacing w:before="0" w:beforeAutospacing="0" w:after="0" w:afterAutospacing="0" w:line="240" w:lineRule="auto"/>
        <w:ind w:left="720"/>
        <w:jc w:val="both"/>
        <w:rPr>
          <w:rFonts w:cs="Times New Roman"/>
          <w:szCs w:val="24"/>
        </w:rPr>
      </w:pPr>
      <w:r w:rsidRPr="00101174">
        <w:rPr>
          <w:rFonts w:cs="Times New Roman"/>
          <w:szCs w:val="24"/>
        </w:rPr>
        <w:t>“</w:t>
      </w:r>
      <w:r w:rsidR="00C22E9D" w:rsidRPr="00101174">
        <w:rPr>
          <w:rFonts w:cs="Times New Roman"/>
          <w:szCs w:val="24"/>
        </w:rPr>
        <w:t xml:space="preserve">In considering applications for condonation of non-compliance with its rules, the court has a discretion which it has to exercise judicially in the sense that it has to consider all the facts and apply established principles bearing in mind that it has to do justice. Some of the relevant factors that may be considered and weighed one </w:t>
      </w:r>
      <w:r w:rsidR="00CF1CA1" w:rsidRPr="00101174">
        <w:rPr>
          <w:rFonts w:cs="Times New Roman"/>
          <w:szCs w:val="24"/>
        </w:rPr>
        <w:t>against</w:t>
      </w:r>
      <w:r w:rsidR="00C22E9D" w:rsidRPr="00101174">
        <w:rPr>
          <w:rFonts w:cs="Times New Roman"/>
          <w:szCs w:val="24"/>
        </w:rPr>
        <w:t xml:space="preserve"> the other are: the degree of non-compliance; the explanation therefore; the prospects of success on appeal</w:t>
      </w:r>
      <w:r w:rsidR="009526E5" w:rsidRPr="00101174">
        <w:rPr>
          <w:rFonts w:cs="Times New Roman"/>
          <w:szCs w:val="24"/>
        </w:rPr>
        <w:t>;</w:t>
      </w:r>
      <w:r w:rsidR="00C22E9D" w:rsidRPr="00101174">
        <w:rPr>
          <w:rFonts w:cs="Times New Roman"/>
          <w:szCs w:val="24"/>
        </w:rPr>
        <w:t xml:space="preserve"> the importance of the case; the </w:t>
      </w:r>
      <w:r w:rsidR="00CF1CA1" w:rsidRPr="00101174">
        <w:rPr>
          <w:rFonts w:cs="Times New Roman"/>
          <w:szCs w:val="24"/>
        </w:rPr>
        <w:t>respondent’s</w:t>
      </w:r>
      <w:r w:rsidR="00C22E9D" w:rsidRPr="00101174">
        <w:rPr>
          <w:rFonts w:cs="Times New Roman"/>
          <w:szCs w:val="24"/>
        </w:rPr>
        <w:t xml:space="preserve"> interests</w:t>
      </w:r>
      <w:r w:rsidR="00CF1CA1" w:rsidRPr="00101174">
        <w:rPr>
          <w:rFonts w:cs="Times New Roman"/>
          <w:szCs w:val="24"/>
        </w:rPr>
        <w:t xml:space="preserve"> in the finality</w:t>
      </w:r>
      <w:r w:rsidR="006B7011" w:rsidRPr="00101174">
        <w:rPr>
          <w:rFonts w:cs="Times New Roman"/>
          <w:szCs w:val="24"/>
        </w:rPr>
        <w:t xml:space="preserve"> of the judgment; the convenience to the court and the avoidance of unnecessary delays in the administration of justice.”</w:t>
      </w:r>
    </w:p>
    <w:p w:rsidR="007A5547" w:rsidRPr="00101174" w:rsidRDefault="007A5547" w:rsidP="007A5547">
      <w:pPr>
        <w:spacing w:before="0" w:beforeAutospacing="0" w:after="0" w:afterAutospacing="0" w:line="240" w:lineRule="auto"/>
        <w:ind w:left="720"/>
        <w:jc w:val="both"/>
        <w:rPr>
          <w:rFonts w:cs="Times New Roman"/>
          <w:szCs w:val="24"/>
        </w:rPr>
      </w:pPr>
    </w:p>
    <w:p w:rsidR="006B7011" w:rsidRPr="00101174" w:rsidRDefault="006B7011" w:rsidP="009500EB">
      <w:pPr>
        <w:spacing w:before="0" w:beforeAutospacing="0" w:after="0" w:afterAutospacing="0" w:line="480" w:lineRule="auto"/>
        <w:ind w:firstLine="1440"/>
        <w:jc w:val="both"/>
        <w:rPr>
          <w:rFonts w:cs="Times New Roman"/>
          <w:szCs w:val="24"/>
        </w:rPr>
      </w:pPr>
    </w:p>
    <w:p w:rsidR="006B7011" w:rsidRPr="00101174" w:rsidRDefault="006B7011" w:rsidP="009500EB">
      <w:pPr>
        <w:spacing w:before="0" w:beforeAutospacing="0" w:after="0" w:afterAutospacing="0" w:line="480" w:lineRule="auto"/>
        <w:ind w:firstLine="1440"/>
        <w:jc w:val="both"/>
        <w:rPr>
          <w:rFonts w:cs="Times New Roman"/>
          <w:szCs w:val="24"/>
        </w:rPr>
      </w:pPr>
      <w:r w:rsidRPr="00101174">
        <w:rPr>
          <w:rFonts w:cs="Times New Roman"/>
          <w:szCs w:val="24"/>
        </w:rPr>
        <w:lastRenderedPageBreak/>
        <w:t>What has come out from recent case law as the main factors for consideration in deciding whether to grant the indulgence of condonation for the late filing of an appeal are essentially</w:t>
      </w:r>
      <w:r w:rsidR="009526E5" w:rsidRPr="00101174">
        <w:rPr>
          <w:rFonts w:cs="Times New Roman"/>
          <w:szCs w:val="24"/>
        </w:rPr>
        <w:t xml:space="preserve"> the following:</w:t>
      </w:r>
    </w:p>
    <w:p w:rsidR="007A5547" w:rsidRPr="00101174" w:rsidRDefault="0029749A" w:rsidP="00974778">
      <w:pPr>
        <w:spacing w:before="0" w:beforeAutospacing="0" w:after="0" w:afterAutospacing="0" w:line="240" w:lineRule="auto"/>
        <w:ind w:firstLine="720"/>
        <w:jc w:val="both"/>
        <w:rPr>
          <w:rFonts w:cs="Times New Roman"/>
          <w:szCs w:val="24"/>
        </w:rPr>
      </w:pPr>
      <w:r w:rsidRPr="00101174">
        <w:rPr>
          <w:rFonts w:cs="Times New Roman"/>
          <w:szCs w:val="24"/>
        </w:rPr>
        <w:t xml:space="preserve">a. </w:t>
      </w:r>
      <w:r w:rsidR="00974778" w:rsidRPr="00101174">
        <w:rPr>
          <w:rFonts w:cs="Times New Roman"/>
          <w:szCs w:val="24"/>
        </w:rPr>
        <w:t xml:space="preserve"> </w:t>
      </w:r>
      <w:r w:rsidRPr="00101174">
        <w:rPr>
          <w:rFonts w:cs="Times New Roman"/>
          <w:szCs w:val="24"/>
        </w:rPr>
        <w:t xml:space="preserve">The extent of </w:t>
      </w:r>
      <w:r w:rsidR="009526E5" w:rsidRPr="00101174">
        <w:rPr>
          <w:rFonts w:cs="Times New Roman"/>
          <w:szCs w:val="24"/>
        </w:rPr>
        <w:t xml:space="preserve">the </w:t>
      </w:r>
      <w:r w:rsidRPr="00101174">
        <w:rPr>
          <w:rFonts w:cs="Times New Roman"/>
          <w:szCs w:val="24"/>
        </w:rPr>
        <w:t>delay;</w:t>
      </w:r>
    </w:p>
    <w:p w:rsidR="0029749A" w:rsidRPr="00101174" w:rsidRDefault="00974778" w:rsidP="00974778">
      <w:pPr>
        <w:tabs>
          <w:tab w:val="left" w:pos="990"/>
        </w:tabs>
        <w:spacing w:before="0" w:beforeAutospacing="0" w:after="0" w:afterAutospacing="0" w:line="240" w:lineRule="auto"/>
        <w:ind w:left="1170" w:hanging="450"/>
        <w:jc w:val="both"/>
        <w:rPr>
          <w:rFonts w:cs="Times New Roman"/>
          <w:szCs w:val="24"/>
        </w:rPr>
      </w:pPr>
      <w:r w:rsidRPr="00101174">
        <w:rPr>
          <w:rFonts w:cs="Times New Roman"/>
          <w:szCs w:val="24"/>
        </w:rPr>
        <w:t xml:space="preserve">b. </w:t>
      </w:r>
      <w:r w:rsidR="0029749A" w:rsidRPr="00101174">
        <w:rPr>
          <w:rFonts w:cs="Times New Roman"/>
          <w:szCs w:val="24"/>
        </w:rPr>
        <w:t xml:space="preserve">The reasonableness of the explanation </w:t>
      </w:r>
      <w:r w:rsidR="007A5547" w:rsidRPr="00101174">
        <w:rPr>
          <w:rFonts w:cs="Times New Roman"/>
          <w:szCs w:val="24"/>
        </w:rPr>
        <w:t>proffered</w:t>
      </w:r>
      <w:r w:rsidR="0029749A" w:rsidRPr="00101174">
        <w:rPr>
          <w:rFonts w:cs="Times New Roman"/>
          <w:szCs w:val="24"/>
        </w:rPr>
        <w:t xml:space="preserve"> for the delay; and</w:t>
      </w:r>
    </w:p>
    <w:p w:rsidR="0029749A" w:rsidRPr="00101174" w:rsidRDefault="0029749A" w:rsidP="007A5547">
      <w:pPr>
        <w:spacing w:before="0" w:beforeAutospacing="0" w:after="0" w:afterAutospacing="0" w:line="240" w:lineRule="auto"/>
        <w:ind w:firstLine="720"/>
        <w:jc w:val="both"/>
        <w:rPr>
          <w:rFonts w:cs="Times New Roman"/>
          <w:szCs w:val="24"/>
        </w:rPr>
      </w:pPr>
      <w:r w:rsidRPr="00101174">
        <w:rPr>
          <w:rFonts w:cs="Times New Roman"/>
          <w:szCs w:val="24"/>
        </w:rPr>
        <w:t>c. The prospects of success on appeal.</w:t>
      </w:r>
    </w:p>
    <w:p w:rsidR="007A5547" w:rsidRPr="00101174" w:rsidRDefault="007A5547" w:rsidP="007A5547">
      <w:pPr>
        <w:spacing w:before="0" w:beforeAutospacing="0" w:after="0" w:afterAutospacing="0" w:line="240" w:lineRule="auto"/>
        <w:ind w:firstLine="720"/>
        <w:jc w:val="both"/>
        <w:rPr>
          <w:rFonts w:cs="Times New Roman"/>
          <w:szCs w:val="24"/>
        </w:rPr>
      </w:pPr>
    </w:p>
    <w:p w:rsidR="0029749A" w:rsidRPr="00101174" w:rsidRDefault="0029749A" w:rsidP="009500EB">
      <w:pPr>
        <w:spacing w:before="0" w:beforeAutospacing="0" w:after="0" w:afterAutospacing="0" w:line="480" w:lineRule="auto"/>
        <w:ind w:firstLine="1440"/>
        <w:jc w:val="both"/>
        <w:rPr>
          <w:rFonts w:cs="Times New Roman"/>
          <w:szCs w:val="24"/>
        </w:rPr>
      </w:pPr>
    </w:p>
    <w:p w:rsidR="0029749A" w:rsidRPr="00101174" w:rsidRDefault="0029749A" w:rsidP="009500EB">
      <w:pPr>
        <w:spacing w:before="0" w:beforeAutospacing="0" w:after="0" w:afterAutospacing="0" w:line="480" w:lineRule="auto"/>
        <w:ind w:firstLine="1440"/>
        <w:jc w:val="both"/>
        <w:rPr>
          <w:rFonts w:cs="Times New Roman"/>
          <w:szCs w:val="24"/>
        </w:rPr>
      </w:pPr>
      <w:r w:rsidRPr="00101174">
        <w:rPr>
          <w:rFonts w:cs="Times New Roman"/>
          <w:szCs w:val="24"/>
        </w:rPr>
        <w:t xml:space="preserve">See also </w:t>
      </w:r>
      <w:r w:rsidRPr="00101174">
        <w:rPr>
          <w:rFonts w:cs="Times New Roman"/>
          <w:i/>
          <w:szCs w:val="24"/>
        </w:rPr>
        <w:t>Khumalo v Mandeya &amp; Anor</w:t>
      </w:r>
      <w:r w:rsidRPr="00101174">
        <w:rPr>
          <w:rFonts w:cs="Times New Roman"/>
          <w:szCs w:val="24"/>
        </w:rPr>
        <w:t xml:space="preserve"> 2008 (2) ZLR 203 (S); </w:t>
      </w:r>
      <w:r w:rsidRPr="00101174">
        <w:rPr>
          <w:rFonts w:cs="Times New Roman"/>
          <w:i/>
          <w:szCs w:val="24"/>
        </w:rPr>
        <w:t>FBC Bank Ltd v Chiwanza</w:t>
      </w:r>
      <w:r w:rsidRPr="00101174">
        <w:rPr>
          <w:rFonts w:cs="Times New Roman"/>
          <w:szCs w:val="24"/>
        </w:rPr>
        <w:t xml:space="preserve"> SC 31/17. The applicant’s explanation for the delay is that he filed a proper</w:t>
      </w:r>
      <w:r w:rsidR="00580513" w:rsidRPr="00101174">
        <w:rPr>
          <w:rFonts w:cs="Times New Roman"/>
          <w:szCs w:val="24"/>
        </w:rPr>
        <w:t xml:space="preserve"> appeal timeously although it was “fatally defective”. That is all the applicant rendered as an explanation. It is certainly not enough given that the judgment sought to be impugned was delivered as far back as 30 </w:t>
      </w:r>
      <w:r w:rsidR="007A5547" w:rsidRPr="00101174">
        <w:rPr>
          <w:rFonts w:cs="Times New Roman"/>
          <w:szCs w:val="24"/>
        </w:rPr>
        <w:t>October</w:t>
      </w:r>
      <w:r w:rsidR="00580513" w:rsidRPr="00101174">
        <w:rPr>
          <w:rFonts w:cs="Times New Roman"/>
          <w:szCs w:val="24"/>
        </w:rPr>
        <w:t xml:space="preserve"> 2019. This application was filed 5 months later. More needs to be said about that period of 5 months.</w:t>
      </w:r>
    </w:p>
    <w:p w:rsidR="00580513" w:rsidRPr="00101174" w:rsidRDefault="00580513" w:rsidP="009500EB">
      <w:pPr>
        <w:spacing w:before="0" w:beforeAutospacing="0" w:after="0" w:afterAutospacing="0" w:line="480" w:lineRule="auto"/>
        <w:ind w:firstLine="1440"/>
        <w:jc w:val="both"/>
        <w:rPr>
          <w:rFonts w:cs="Times New Roman"/>
          <w:szCs w:val="24"/>
        </w:rPr>
      </w:pPr>
    </w:p>
    <w:p w:rsidR="00580513" w:rsidRPr="00101174" w:rsidRDefault="00580513" w:rsidP="009500EB">
      <w:pPr>
        <w:spacing w:before="0" w:beforeAutospacing="0" w:after="0" w:afterAutospacing="0" w:line="480" w:lineRule="auto"/>
        <w:ind w:firstLine="1440"/>
        <w:jc w:val="both"/>
        <w:rPr>
          <w:rFonts w:cs="Times New Roman"/>
          <w:szCs w:val="24"/>
        </w:rPr>
      </w:pPr>
      <w:r w:rsidRPr="00101174">
        <w:rPr>
          <w:rFonts w:cs="Times New Roman"/>
          <w:szCs w:val="24"/>
        </w:rPr>
        <w:t xml:space="preserve">As stated by GWAUNZA JA (as she then was) in </w:t>
      </w:r>
      <w:r w:rsidRPr="00101174">
        <w:rPr>
          <w:rFonts w:cs="Times New Roman"/>
          <w:i/>
          <w:szCs w:val="24"/>
        </w:rPr>
        <w:t>Delta v Murandu</w:t>
      </w:r>
      <w:r w:rsidRPr="00101174">
        <w:rPr>
          <w:rFonts w:cs="Times New Roman"/>
          <w:szCs w:val="24"/>
        </w:rPr>
        <w:t xml:space="preserve"> SC 38/15</w:t>
      </w:r>
      <w:r w:rsidR="009526E5" w:rsidRPr="00101174">
        <w:rPr>
          <w:rFonts w:cs="Times New Roman"/>
          <w:szCs w:val="24"/>
        </w:rPr>
        <w:t>,</w:t>
      </w:r>
      <w:r w:rsidRPr="00101174">
        <w:rPr>
          <w:rFonts w:cs="Times New Roman"/>
          <w:szCs w:val="24"/>
        </w:rPr>
        <w:t xml:space="preserve"> an applicant approaching the court for relief is not expected to make bold, unsubstantiated averments and leave it to the court to decide what to make of them. Th</w:t>
      </w:r>
      <w:r w:rsidR="009526E5" w:rsidRPr="00101174">
        <w:rPr>
          <w:rFonts w:cs="Times New Roman"/>
          <w:szCs w:val="24"/>
        </w:rPr>
        <w:t>e case is that of the applicant</w:t>
      </w:r>
      <w:r w:rsidRPr="00101174">
        <w:rPr>
          <w:rFonts w:cs="Times New Roman"/>
          <w:szCs w:val="24"/>
        </w:rPr>
        <w:t xml:space="preserve"> and not the court, although it is clear from the circumstances that the applicant’s troubles </w:t>
      </w:r>
      <w:r w:rsidR="00FD0560" w:rsidRPr="00101174">
        <w:rPr>
          <w:rFonts w:cs="Times New Roman"/>
          <w:szCs w:val="24"/>
        </w:rPr>
        <w:t>emanate from</w:t>
      </w:r>
      <w:r w:rsidRPr="00101174">
        <w:rPr>
          <w:rFonts w:cs="Times New Roman"/>
          <w:szCs w:val="24"/>
        </w:rPr>
        <w:t xml:space="preserve"> his legal practitioner’s lamentable lack of diligence.</w:t>
      </w:r>
      <w:r w:rsidR="009526E5" w:rsidRPr="00101174">
        <w:rPr>
          <w:rFonts w:cs="Times New Roman"/>
          <w:szCs w:val="24"/>
        </w:rPr>
        <w:t xml:space="preserve">  In fact even at the hearing of this application the applicant had to elect to prosecute the application in person because his legal practitioner arrived in court very late.</w:t>
      </w:r>
    </w:p>
    <w:p w:rsidR="007A5547" w:rsidRPr="00101174" w:rsidRDefault="007A5547" w:rsidP="009500EB">
      <w:pPr>
        <w:spacing w:before="0" w:beforeAutospacing="0" w:after="0" w:afterAutospacing="0" w:line="480" w:lineRule="auto"/>
        <w:ind w:firstLine="1440"/>
        <w:jc w:val="both"/>
        <w:rPr>
          <w:rFonts w:cs="Times New Roman"/>
          <w:szCs w:val="24"/>
        </w:rPr>
      </w:pPr>
    </w:p>
    <w:p w:rsidR="00580513" w:rsidRPr="00101174" w:rsidRDefault="00580513" w:rsidP="009500EB">
      <w:pPr>
        <w:spacing w:before="0" w:beforeAutospacing="0" w:after="0" w:afterAutospacing="0" w:line="480" w:lineRule="auto"/>
        <w:ind w:firstLine="1440"/>
        <w:jc w:val="both"/>
        <w:rPr>
          <w:rFonts w:cs="Times New Roman"/>
          <w:szCs w:val="24"/>
        </w:rPr>
      </w:pPr>
      <w:r w:rsidRPr="00101174">
        <w:rPr>
          <w:rFonts w:cs="Times New Roman"/>
          <w:szCs w:val="24"/>
        </w:rPr>
        <w:lastRenderedPageBreak/>
        <w:t xml:space="preserve">It is trite that where the legal practitioner is blamed for the failure to comply with the rules an affidavit must be obtained from that legal practitioner explaining the </w:t>
      </w:r>
      <w:r w:rsidR="00B80CAD" w:rsidRPr="00101174">
        <w:rPr>
          <w:rFonts w:cs="Times New Roman"/>
          <w:szCs w:val="24"/>
        </w:rPr>
        <w:t>circumstances of his or her failure to act in accordance with the dictates of the rules. No affidavit was pro</w:t>
      </w:r>
      <w:r w:rsidR="009526E5" w:rsidRPr="00101174">
        <w:rPr>
          <w:rFonts w:cs="Times New Roman"/>
          <w:szCs w:val="24"/>
        </w:rPr>
        <w:t>vided by the legal practitioner</w:t>
      </w:r>
      <w:r w:rsidR="00B80CAD" w:rsidRPr="00101174">
        <w:rPr>
          <w:rFonts w:cs="Times New Roman"/>
          <w:szCs w:val="24"/>
        </w:rPr>
        <w:t xml:space="preserve"> in question, who has not even been mentioned by name.</w:t>
      </w:r>
    </w:p>
    <w:p w:rsidR="00B80CAD" w:rsidRPr="00101174" w:rsidRDefault="00B80CAD" w:rsidP="009500EB">
      <w:pPr>
        <w:spacing w:before="0" w:beforeAutospacing="0" w:after="0" w:afterAutospacing="0" w:line="480" w:lineRule="auto"/>
        <w:ind w:firstLine="1440"/>
        <w:jc w:val="both"/>
        <w:rPr>
          <w:rFonts w:cs="Times New Roman"/>
          <w:szCs w:val="24"/>
        </w:rPr>
      </w:pPr>
    </w:p>
    <w:p w:rsidR="00B80CAD" w:rsidRPr="00101174" w:rsidRDefault="00B80CAD" w:rsidP="009500EB">
      <w:pPr>
        <w:spacing w:before="0" w:beforeAutospacing="0" w:after="0" w:afterAutospacing="0" w:line="480" w:lineRule="auto"/>
        <w:ind w:firstLine="1440"/>
        <w:jc w:val="both"/>
        <w:rPr>
          <w:rFonts w:cs="Times New Roman"/>
          <w:szCs w:val="24"/>
        </w:rPr>
      </w:pPr>
      <w:r w:rsidRPr="00101174">
        <w:rPr>
          <w:rFonts w:cs="Times New Roman"/>
          <w:szCs w:val="24"/>
        </w:rPr>
        <w:t xml:space="preserve">What it means is that no explanation has been given for the applicant’s failure to serve the initial notice of appeal on the </w:t>
      </w:r>
      <w:r w:rsidR="009526E5" w:rsidRPr="00101174">
        <w:rPr>
          <w:rFonts w:cs="Times New Roman"/>
          <w:szCs w:val="24"/>
        </w:rPr>
        <w:t>registrar of the High Court. I</w:t>
      </w:r>
      <w:r w:rsidR="009F7551" w:rsidRPr="00101174">
        <w:rPr>
          <w:rFonts w:cs="Times New Roman"/>
          <w:szCs w:val="24"/>
        </w:rPr>
        <w:t xml:space="preserve">t is that failure which is in fact the root cause of the applicant’s non-compliance with the rules. In any event, a legal practitioner’s ineptitude is not a reasonable ground for granting condonation. As stated in </w:t>
      </w:r>
      <w:r w:rsidR="009F7551" w:rsidRPr="00101174">
        <w:rPr>
          <w:rFonts w:cs="Times New Roman"/>
          <w:i/>
          <w:szCs w:val="24"/>
        </w:rPr>
        <w:t>Apostolic Faith Mission in Zimbabwe &amp; Ors v Murefu</w:t>
      </w:r>
      <w:r w:rsidR="009526E5" w:rsidRPr="00101174">
        <w:rPr>
          <w:rFonts w:cs="Times New Roman"/>
          <w:szCs w:val="24"/>
        </w:rPr>
        <w:t xml:space="preserve"> SC 28/03:</w:t>
      </w:r>
    </w:p>
    <w:p w:rsidR="007A5547" w:rsidRPr="00101174" w:rsidRDefault="009F7551" w:rsidP="007A5547">
      <w:pPr>
        <w:spacing w:before="0" w:beforeAutospacing="0" w:after="0" w:afterAutospacing="0" w:line="240" w:lineRule="auto"/>
        <w:ind w:left="720"/>
        <w:jc w:val="both"/>
        <w:rPr>
          <w:rFonts w:cs="Times New Roman"/>
          <w:szCs w:val="24"/>
        </w:rPr>
      </w:pPr>
      <w:r w:rsidRPr="00101174">
        <w:rPr>
          <w:rFonts w:cs="Times New Roman"/>
          <w:szCs w:val="24"/>
        </w:rPr>
        <w:t>“There is a limit beyond which a client cannot escape the consequences of the conduct of his legal practitioner and it seems to me that this limit has been exceeded in this case.”</w:t>
      </w:r>
    </w:p>
    <w:p w:rsidR="007A5547" w:rsidRPr="00101174" w:rsidRDefault="007A5547" w:rsidP="007A5547">
      <w:pPr>
        <w:spacing w:before="0" w:beforeAutospacing="0" w:after="0" w:afterAutospacing="0" w:line="240" w:lineRule="auto"/>
        <w:ind w:left="720"/>
        <w:jc w:val="both"/>
        <w:rPr>
          <w:rFonts w:cs="Times New Roman"/>
          <w:szCs w:val="24"/>
        </w:rPr>
      </w:pPr>
    </w:p>
    <w:p w:rsidR="007A5547" w:rsidRPr="00101174" w:rsidRDefault="007A5547" w:rsidP="007A5547">
      <w:pPr>
        <w:spacing w:before="0" w:beforeAutospacing="0" w:after="0" w:afterAutospacing="0" w:line="240" w:lineRule="auto"/>
        <w:ind w:left="720"/>
        <w:jc w:val="both"/>
        <w:rPr>
          <w:rFonts w:cs="Times New Roman"/>
          <w:szCs w:val="24"/>
        </w:rPr>
      </w:pPr>
    </w:p>
    <w:p w:rsidR="007A5547" w:rsidRPr="00101174" w:rsidRDefault="007A5547" w:rsidP="007A5547">
      <w:pPr>
        <w:spacing w:before="0" w:beforeAutospacing="0" w:after="0" w:afterAutospacing="0" w:line="240" w:lineRule="auto"/>
        <w:ind w:left="720"/>
        <w:jc w:val="both"/>
        <w:rPr>
          <w:rFonts w:cs="Times New Roman"/>
          <w:szCs w:val="24"/>
        </w:rPr>
      </w:pPr>
    </w:p>
    <w:p w:rsidR="009F7551" w:rsidRPr="00101174" w:rsidRDefault="009F7551" w:rsidP="009500EB">
      <w:pPr>
        <w:spacing w:before="0" w:beforeAutospacing="0" w:after="0" w:afterAutospacing="0" w:line="480" w:lineRule="auto"/>
        <w:ind w:firstLine="1440"/>
        <w:jc w:val="both"/>
        <w:rPr>
          <w:rFonts w:cs="Times New Roman"/>
          <w:szCs w:val="24"/>
        </w:rPr>
      </w:pPr>
      <w:r w:rsidRPr="00101174">
        <w:rPr>
          <w:rFonts w:cs="Times New Roman"/>
          <w:szCs w:val="24"/>
        </w:rPr>
        <w:t>If ever there was any hope for the applicant, it completely disappears upon consideration of the prospects of success of the proposed appeal.</w:t>
      </w:r>
      <w:r w:rsidR="00193097" w:rsidRPr="00101174">
        <w:rPr>
          <w:rFonts w:cs="Times New Roman"/>
          <w:szCs w:val="24"/>
        </w:rPr>
        <w:t xml:space="preserve"> The applicant has insisted</w:t>
      </w:r>
      <w:r w:rsidR="00F8223E" w:rsidRPr="00101174">
        <w:rPr>
          <w:rFonts w:cs="Times New Roman"/>
          <w:szCs w:val="24"/>
        </w:rPr>
        <w:t xml:space="preserve"> on creating facts of his own not considered by the Tribunal. Having done that he would want to appeal to this Court on non-existent facts. The Tribunal’s judgment makes it clear that the judgment sough</w:t>
      </w:r>
      <w:r w:rsidR="00974778" w:rsidRPr="00101174">
        <w:rPr>
          <w:rFonts w:cs="Times New Roman"/>
          <w:szCs w:val="24"/>
        </w:rPr>
        <w:t>t</w:t>
      </w:r>
      <w:r w:rsidR="00F8223E" w:rsidRPr="00101174">
        <w:rPr>
          <w:rFonts w:cs="Times New Roman"/>
          <w:szCs w:val="24"/>
        </w:rPr>
        <w:t xml:space="preserve"> to be rescinded was not a default judgment. </w:t>
      </w:r>
      <w:r w:rsidR="007A5547" w:rsidRPr="00101174">
        <w:rPr>
          <w:rFonts w:cs="Times New Roman"/>
          <w:szCs w:val="24"/>
        </w:rPr>
        <w:t xml:space="preserve">Mr </w:t>
      </w:r>
      <w:r w:rsidR="00F8223E" w:rsidRPr="00101174">
        <w:rPr>
          <w:rFonts w:cs="Times New Roman"/>
          <w:i/>
          <w:szCs w:val="24"/>
        </w:rPr>
        <w:t>Uriri</w:t>
      </w:r>
      <w:r w:rsidR="00F8223E" w:rsidRPr="00101174">
        <w:rPr>
          <w:rFonts w:cs="Times New Roman"/>
          <w:szCs w:val="24"/>
        </w:rPr>
        <w:t xml:space="preserve"> represented the applicant and consented to his deregistration.</w:t>
      </w:r>
    </w:p>
    <w:p w:rsidR="00F8223E" w:rsidRPr="00101174" w:rsidRDefault="00F8223E" w:rsidP="009500EB">
      <w:pPr>
        <w:spacing w:before="0" w:beforeAutospacing="0" w:after="0" w:afterAutospacing="0" w:line="480" w:lineRule="auto"/>
        <w:ind w:firstLine="1440"/>
        <w:jc w:val="both"/>
        <w:rPr>
          <w:rFonts w:cs="Times New Roman"/>
          <w:szCs w:val="24"/>
        </w:rPr>
      </w:pPr>
    </w:p>
    <w:p w:rsidR="00F8223E" w:rsidRPr="00101174" w:rsidRDefault="00F8223E" w:rsidP="009500EB">
      <w:pPr>
        <w:spacing w:before="0" w:beforeAutospacing="0" w:after="0" w:afterAutospacing="0" w:line="480" w:lineRule="auto"/>
        <w:ind w:firstLine="1440"/>
        <w:jc w:val="both"/>
        <w:rPr>
          <w:rFonts w:cs="Times New Roman"/>
          <w:szCs w:val="24"/>
        </w:rPr>
      </w:pPr>
      <w:r w:rsidRPr="00101174">
        <w:rPr>
          <w:rFonts w:cs="Times New Roman"/>
          <w:szCs w:val="24"/>
        </w:rPr>
        <w:t xml:space="preserve">The Tribunal could not be invited to revisit its own judgment and rescind it. It was </w:t>
      </w:r>
      <w:r w:rsidRPr="00101174">
        <w:rPr>
          <w:rFonts w:cs="Times New Roman"/>
          <w:i/>
          <w:szCs w:val="24"/>
        </w:rPr>
        <w:t>functus officio</w:t>
      </w:r>
      <w:r w:rsidRPr="00101174">
        <w:rPr>
          <w:rFonts w:cs="Times New Roman"/>
          <w:szCs w:val="24"/>
        </w:rPr>
        <w:t xml:space="preserve">. At no point did the </w:t>
      </w:r>
      <w:r w:rsidR="007A5547" w:rsidRPr="00101174">
        <w:rPr>
          <w:rFonts w:cs="Times New Roman"/>
          <w:szCs w:val="24"/>
        </w:rPr>
        <w:t>Tribunal</w:t>
      </w:r>
      <w:r w:rsidRPr="00101174">
        <w:rPr>
          <w:rFonts w:cs="Times New Roman"/>
          <w:szCs w:val="24"/>
        </w:rPr>
        <w:t xml:space="preserve"> advert to a rescission of a default judgment. It maintained that it was being asked to rescind its own decision which it could not do for want of jurisdiction. In </w:t>
      </w:r>
      <w:r w:rsidRPr="00101174">
        <w:rPr>
          <w:rFonts w:cs="Times New Roman"/>
          <w:szCs w:val="24"/>
        </w:rPr>
        <w:lastRenderedPageBreak/>
        <w:t xml:space="preserve">any event, as correctly observed by the respondent, the Tribunal could not grant default judgment. It is required to conduct an </w:t>
      </w:r>
      <w:r w:rsidR="00870DA0" w:rsidRPr="00101174">
        <w:rPr>
          <w:rFonts w:cs="Times New Roman"/>
          <w:szCs w:val="24"/>
        </w:rPr>
        <w:t>inquiry</w:t>
      </w:r>
      <w:r w:rsidRPr="00101174">
        <w:rPr>
          <w:rFonts w:cs="Times New Roman"/>
          <w:szCs w:val="24"/>
        </w:rPr>
        <w:t xml:space="preserve"> and every result of such inquiry is a decision on the merits. As such, it can be appealed against.</w:t>
      </w:r>
    </w:p>
    <w:p w:rsidR="00F8223E" w:rsidRPr="00101174" w:rsidRDefault="00F8223E" w:rsidP="009500EB">
      <w:pPr>
        <w:spacing w:before="0" w:beforeAutospacing="0" w:after="0" w:afterAutospacing="0" w:line="480" w:lineRule="auto"/>
        <w:ind w:firstLine="1440"/>
        <w:jc w:val="both"/>
        <w:rPr>
          <w:rFonts w:cs="Times New Roman"/>
          <w:szCs w:val="24"/>
        </w:rPr>
      </w:pPr>
    </w:p>
    <w:p w:rsidR="008E586C" w:rsidRPr="00101174" w:rsidRDefault="00F8223E" w:rsidP="009500EB">
      <w:pPr>
        <w:spacing w:before="0" w:beforeAutospacing="0" w:after="0" w:afterAutospacing="0" w:line="480" w:lineRule="auto"/>
        <w:ind w:firstLine="1440"/>
        <w:jc w:val="both"/>
        <w:rPr>
          <w:rFonts w:cs="Times New Roman"/>
          <w:szCs w:val="24"/>
        </w:rPr>
      </w:pPr>
      <w:r w:rsidRPr="00101174">
        <w:rPr>
          <w:rFonts w:cs="Times New Roman"/>
          <w:szCs w:val="24"/>
        </w:rPr>
        <w:t xml:space="preserve">It is not clear why the applicant has </w:t>
      </w:r>
      <w:r w:rsidR="008E586C" w:rsidRPr="00101174">
        <w:rPr>
          <w:rFonts w:cs="Times New Roman"/>
          <w:szCs w:val="24"/>
        </w:rPr>
        <w:t xml:space="preserve">continued on a tangent. His explanation that there is no other way through which he can overturn the </w:t>
      </w:r>
      <w:r w:rsidR="009526E5" w:rsidRPr="00101174">
        <w:rPr>
          <w:rFonts w:cs="Times New Roman"/>
          <w:szCs w:val="24"/>
        </w:rPr>
        <w:t>decision</w:t>
      </w:r>
      <w:r w:rsidR="008E586C" w:rsidRPr="00101174">
        <w:rPr>
          <w:rFonts w:cs="Times New Roman"/>
          <w:szCs w:val="24"/>
        </w:rPr>
        <w:t xml:space="preserve"> to de-register him except through a rescission of judgment is informed more by lack of proper legal advice than anything else.</w:t>
      </w:r>
    </w:p>
    <w:p w:rsidR="00870DA0" w:rsidRPr="00101174" w:rsidRDefault="00870DA0" w:rsidP="009500EB">
      <w:pPr>
        <w:spacing w:before="0" w:beforeAutospacing="0" w:after="0" w:afterAutospacing="0" w:line="480" w:lineRule="auto"/>
        <w:ind w:firstLine="1440"/>
        <w:jc w:val="both"/>
        <w:rPr>
          <w:rFonts w:cs="Times New Roman"/>
          <w:szCs w:val="24"/>
        </w:rPr>
      </w:pPr>
    </w:p>
    <w:p w:rsidR="00870DA0" w:rsidRPr="00101174" w:rsidRDefault="00870DA0" w:rsidP="009500EB">
      <w:pPr>
        <w:spacing w:before="0" w:beforeAutospacing="0" w:after="0" w:afterAutospacing="0" w:line="480" w:lineRule="auto"/>
        <w:ind w:firstLine="1440"/>
        <w:jc w:val="both"/>
        <w:rPr>
          <w:rFonts w:cs="Times New Roman"/>
          <w:szCs w:val="24"/>
        </w:rPr>
      </w:pPr>
      <w:r w:rsidRPr="00101174">
        <w:rPr>
          <w:rFonts w:cs="Times New Roman"/>
          <w:szCs w:val="24"/>
        </w:rPr>
        <w:t xml:space="preserve">Finally, I have to deal with the submissions made by Mr </w:t>
      </w:r>
      <w:r w:rsidRPr="00101174">
        <w:rPr>
          <w:rFonts w:cs="Times New Roman"/>
          <w:i/>
          <w:szCs w:val="24"/>
        </w:rPr>
        <w:t>Sengweni</w:t>
      </w:r>
      <w:r w:rsidRPr="00101174">
        <w:rPr>
          <w:rFonts w:cs="Times New Roman"/>
          <w:szCs w:val="24"/>
        </w:rPr>
        <w:t xml:space="preserve"> that both the secretary of the respondent and Mr </w:t>
      </w:r>
      <w:r w:rsidRPr="00101174">
        <w:rPr>
          <w:rFonts w:cs="Times New Roman"/>
          <w:i/>
          <w:szCs w:val="24"/>
        </w:rPr>
        <w:t>Chikara</w:t>
      </w:r>
      <w:r w:rsidRPr="00101174">
        <w:rPr>
          <w:rFonts w:cs="Times New Roman"/>
          <w:szCs w:val="24"/>
        </w:rPr>
        <w:t xml:space="preserve"> who appeared for the respondent</w:t>
      </w:r>
      <w:r w:rsidR="00074DDA" w:rsidRPr="00101174">
        <w:rPr>
          <w:rFonts w:cs="Times New Roman"/>
          <w:szCs w:val="24"/>
        </w:rPr>
        <w:t xml:space="preserve"> had no authority to represent it. He submitted that in terms of a provision of the </w:t>
      </w:r>
      <w:r w:rsidR="007A5547" w:rsidRPr="00101174">
        <w:rPr>
          <w:rFonts w:cs="Times New Roman"/>
          <w:szCs w:val="24"/>
        </w:rPr>
        <w:t xml:space="preserve">Law Society </w:t>
      </w:r>
      <w:r w:rsidR="00074DDA" w:rsidRPr="00101174">
        <w:rPr>
          <w:rFonts w:cs="Times New Roman"/>
          <w:szCs w:val="24"/>
        </w:rPr>
        <w:t xml:space="preserve">of </w:t>
      </w:r>
      <w:r w:rsidR="007A5547" w:rsidRPr="00101174">
        <w:rPr>
          <w:rFonts w:cs="Times New Roman"/>
          <w:szCs w:val="24"/>
        </w:rPr>
        <w:t>Zimbabwe</w:t>
      </w:r>
      <w:r w:rsidR="009526E5" w:rsidRPr="00101174">
        <w:rPr>
          <w:rFonts w:cs="Times New Roman"/>
          <w:szCs w:val="24"/>
        </w:rPr>
        <w:t xml:space="preserve"> by laws S.</w:t>
      </w:r>
      <w:r w:rsidR="00074DDA" w:rsidRPr="00101174">
        <w:rPr>
          <w:rFonts w:cs="Times New Roman"/>
          <w:szCs w:val="24"/>
        </w:rPr>
        <w:t>I</w:t>
      </w:r>
      <w:r w:rsidR="009526E5" w:rsidRPr="00101174">
        <w:rPr>
          <w:rFonts w:cs="Times New Roman"/>
          <w:szCs w:val="24"/>
        </w:rPr>
        <w:t>.</w:t>
      </w:r>
      <w:r w:rsidR="002369D3">
        <w:rPr>
          <w:rFonts w:cs="Times New Roman"/>
          <w:szCs w:val="24"/>
        </w:rPr>
        <w:t> </w:t>
      </w:r>
      <w:r w:rsidR="00074DDA" w:rsidRPr="00101174">
        <w:rPr>
          <w:rFonts w:cs="Times New Roman"/>
          <w:szCs w:val="24"/>
        </w:rPr>
        <w:t xml:space="preserve">314/82 only the </w:t>
      </w:r>
      <w:r w:rsidR="00753D75" w:rsidRPr="00101174">
        <w:rPr>
          <w:rFonts w:cs="Times New Roman"/>
          <w:szCs w:val="24"/>
        </w:rPr>
        <w:t>council</w:t>
      </w:r>
      <w:r w:rsidR="00074DDA" w:rsidRPr="00101174">
        <w:rPr>
          <w:rFonts w:cs="Times New Roman"/>
          <w:szCs w:val="24"/>
        </w:rPr>
        <w:t xml:space="preserve"> </w:t>
      </w:r>
      <w:r w:rsidR="007A5547" w:rsidRPr="00101174">
        <w:rPr>
          <w:rFonts w:cs="Times New Roman"/>
          <w:szCs w:val="24"/>
        </w:rPr>
        <w:t>elected</w:t>
      </w:r>
      <w:r w:rsidR="00074DDA" w:rsidRPr="00101174">
        <w:rPr>
          <w:rFonts w:cs="Times New Roman"/>
          <w:szCs w:val="24"/>
        </w:rPr>
        <w:t xml:space="preserve"> by members can represent the respondent. </w:t>
      </w:r>
      <w:r w:rsidR="007A5547" w:rsidRPr="00101174">
        <w:rPr>
          <w:rFonts w:cs="Times New Roman"/>
          <w:szCs w:val="24"/>
        </w:rPr>
        <w:t>Should the</w:t>
      </w:r>
      <w:r w:rsidR="00074DDA" w:rsidRPr="00101174">
        <w:rPr>
          <w:rFonts w:cs="Times New Roman"/>
          <w:szCs w:val="24"/>
        </w:rPr>
        <w:t xml:space="preserve"> council desire to instruct counsel, it must do</w:t>
      </w:r>
      <w:r w:rsidR="002369D3">
        <w:rPr>
          <w:rFonts w:cs="Times New Roman"/>
          <w:szCs w:val="24"/>
        </w:rPr>
        <w:t xml:space="preserve"> so through a power of attorney.</w:t>
      </w:r>
      <w:r w:rsidR="00074DDA" w:rsidRPr="00101174">
        <w:rPr>
          <w:rFonts w:cs="Times New Roman"/>
          <w:szCs w:val="24"/>
        </w:rPr>
        <w:t xml:space="preserve"> I do not </w:t>
      </w:r>
      <w:r w:rsidR="007A5547" w:rsidRPr="00101174">
        <w:rPr>
          <w:rFonts w:cs="Times New Roman"/>
          <w:szCs w:val="24"/>
        </w:rPr>
        <w:t>agree</w:t>
      </w:r>
      <w:r w:rsidR="00074DDA" w:rsidRPr="00101174">
        <w:rPr>
          <w:rFonts w:cs="Times New Roman"/>
          <w:szCs w:val="24"/>
        </w:rPr>
        <w:t>.</w:t>
      </w:r>
    </w:p>
    <w:p w:rsidR="00074DDA" w:rsidRPr="00101174" w:rsidRDefault="00074DDA" w:rsidP="009500EB">
      <w:pPr>
        <w:spacing w:before="0" w:beforeAutospacing="0" w:after="0" w:afterAutospacing="0" w:line="480" w:lineRule="auto"/>
        <w:ind w:firstLine="1440"/>
        <w:jc w:val="both"/>
        <w:rPr>
          <w:rFonts w:cs="Times New Roman"/>
          <w:szCs w:val="24"/>
        </w:rPr>
      </w:pPr>
    </w:p>
    <w:p w:rsidR="00074DDA" w:rsidRPr="00101174" w:rsidRDefault="00074DDA" w:rsidP="009500EB">
      <w:pPr>
        <w:spacing w:before="0" w:beforeAutospacing="0" w:after="0" w:afterAutospacing="0" w:line="480" w:lineRule="auto"/>
        <w:ind w:firstLine="1440"/>
        <w:jc w:val="both"/>
        <w:rPr>
          <w:rFonts w:cs="Times New Roman"/>
          <w:szCs w:val="24"/>
        </w:rPr>
      </w:pPr>
      <w:r w:rsidRPr="00101174">
        <w:rPr>
          <w:rFonts w:cs="Times New Roman"/>
          <w:szCs w:val="24"/>
        </w:rPr>
        <w:t xml:space="preserve">In terms of s 73 </w:t>
      </w:r>
      <w:r w:rsidR="009526E5" w:rsidRPr="00101174">
        <w:rPr>
          <w:rFonts w:cs="Times New Roman"/>
          <w:szCs w:val="24"/>
        </w:rPr>
        <w:t xml:space="preserve">of </w:t>
      </w:r>
      <w:r w:rsidRPr="00101174">
        <w:rPr>
          <w:rFonts w:cs="Times New Roman"/>
          <w:szCs w:val="24"/>
        </w:rPr>
        <w:t xml:space="preserve">SI 314/82: </w:t>
      </w:r>
    </w:p>
    <w:p w:rsidR="007A5547" w:rsidRPr="00101174" w:rsidRDefault="00074DDA" w:rsidP="007A5547">
      <w:pPr>
        <w:spacing w:before="0" w:beforeAutospacing="0" w:after="0" w:afterAutospacing="0" w:line="240" w:lineRule="auto"/>
        <w:ind w:left="720"/>
        <w:jc w:val="both"/>
        <w:rPr>
          <w:rFonts w:cs="Times New Roman"/>
          <w:szCs w:val="24"/>
        </w:rPr>
      </w:pPr>
      <w:r w:rsidRPr="00101174">
        <w:rPr>
          <w:rFonts w:cs="Times New Roman"/>
          <w:szCs w:val="24"/>
        </w:rPr>
        <w:t>“Whenever the council has decided to appear in any legal</w:t>
      </w:r>
      <w:r w:rsidR="005F49A9" w:rsidRPr="00101174">
        <w:rPr>
          <w:rFonts w:cs="Times New Roman"/>
          <w:szCs w:val="24"/>
        </w:rPr>
        <w:t xml:space="preserve"> proc</w:t>
      </w:r>
      <w:r w:rsidR="007A5547" w:rsidRPr="00101174">
        <w:rPr>
          <w:rFonts w:cs="Times New Roman"/>
          <w:szCs w:val="24"/>
        </w:rPr>
        <w:t>eedings, it may, by resolution,</w:t>
      </w:r>
      <w:r w:rsidR="005F49A9" w:rsidRPr="00101174">
        <w:rPr>
          <w:rFonts w:cs="Times New Roman"/>
          <w:szCs w:val="24"/>
        </w:rPr>
        <w:t xml:space="preserve"> delegate to the president, vice president or other councilor or councilors, the authority, </w:t>
      </w:r>
      <w:r w:rsidR="005F49A9" w:rsidRPr="00101174">
        <w:rPr>
          <w:rFonts w:cs="Times New Roman"/>
          <w:szCs w:val="24"/>
          <w:u w:val="single"/>
        </w:rPr>
        <w:t>with power of substitution</w:t>
      </w:r>
      <w:r w:rsidR="005F49A9" w:rsidRPr="00101174">
        <w:rPr>
          <w:rFonts w:cs="Times New Roman"/>
          <w:szCs w:val="24"/>
        </w:rPr>
        <w:t xml:space="preserve">, to employ legal practitioners and do any act or sign any document on </w:t>
      </w:r>
      <w:r w:rsidR="007A5547" w:rsidRPr="00101174">
        <w:rPr>
          <w:rFonts w:cs="Times New Roman"/>
          <w:szCs w:val="24"/>
        </w:rPr>
        <w:t>behalf of</w:t>
      </w:r>
      <w:r w:rsidR="005F49A9" w:rsidRPr="00101174">
        <w:rPr>
          <w:rFonts w:cs="Times New Roman"/>
          <w:szCs w:val="24"/>
        </w:rPr>
        <w:t xml:space="preserve"> the society in the course of such proceedings.”</w:t>
      </w:r>
      <w:r w:rsidR="009526E5" w:rsidRPr="00101174">
        <w:rPr>
          <w:rFonts w:cs="Times New Roman"/>
          <w:szCs w:val="24"/>
        </w:rPr>
        <w:t xml:space="preserve"> (The underlining is for emphasis)</w:t>
      </w:r>
    </w:p>
    <w:p w:rsidR="007A5547" w:rsidRPr="00101174" w:rsidRDefault="007A5547" w:rsidP="007A5547">
      <w:pPr>
        <w:spacing w:before="0" w:beforeAutospacing="0" w:after="0" w:afterAutospacing="0" w:line="240" w:lineRule="auto"/>
        <w:ind w:left="720"/>
        <w:jc w:val="both"/>
        <w:rPr>
          <w:rFonts w:cs="Times New Roman"/>
          <w:szCs w:val="24"/>
        </w:rPr>
      </w:pPr>
    </w:p>
    <w:p w:rsidR="007A5547" w:rsidRPr="00101174" w:rsidRDefault="007A5547" w:rsidP="007A5547">
      <w:pPr>
        <w:spacing w:before="0" w:beforeAutospacing="0" w:after="0" w:afterAutospacing="0" w:line="240" w:lineRule="auto"/>
        <w:ind w:left="720"/>
        <w:jc w:val="both"/>
        <w:rPr>
          <w:rFonts w:cs="Times New Roman"/>
          <w:szCs w:val="24"/>
        </w:rPr>
      </w:pPr>
    </w:p>
    <w:p w:rsidR="007A5547" w:rsidRPr="00101174" w:rsidRDefault="007A5547" w:rsidP="007A5547">
      <w:pPr>
        <w:spacing w:before="0" w:beforeAutospacing="0" w:after="0" w:afterAutospacing="0" w:line="240" w:lineRule="auto"/>
        <w:ind w:left="720"/>
        <w:jc w:val="both"/>
        <w:rPr>
          <w:rFonts w:cs="Times New Roman"/>
          <w:szCs w:val="24"/>
        </w:rPr>
      </w:pPr>
    </w:p>
    <w:p w:rsidR="005F49A9" w:rsidRPr="00101174" w:rsidRDefault="00F00E81" w:rsidP="009500EB">
      <w:pPr>
        <w:spacing w:before="0" w:beforeAutospacing="0" w:after="0" w:afterAutospacing="0" w:line="480" w:lineRule="auto"/>
        <w:ind w:firstLine="1440"/>
        <w:jc w:val="both"/>
        <w:rPr>
          <w:rFonts w:cs="Times New Roman"/>
          <w:szCs w:val="24"/>
        </w:rPr>
      </w:pPr>
      <w:r w:rsidRPr="00101174">
        <w:rPr>
          <w:rFonts w:cs="Times New Roman"/>
          <w:szCs w:val="24"/>
        </w:rPr>
        <w:t>Clearly</w:t>
      </w:r>
      <w:r w:rsidR="005F49A9" w:rsidRPr="00101174">
        <w:rPr>
          <w:rFonts w:cs="Times New Roman"/>
          <w:szCs w:val="24"/>
        </w:rPr>
        <w:t xml:space="preserve"> therefore, the </w:t>
      </w:r>
      <w:r w:rsidRPr="00101174">
        <w:rPr>
          <w:rFonts w:cs="Times New Roman"/>
          <w:szCs w:val="24"/>
        </w:rPr>
        <w:t>council</w:t>
      </w:r>
      <w:r w:rsidR="005F49A9" w:rsidRPr="00101174">
        <w:rPr>
          <w:rFonts w:cs="Times New Roman"/>
          <w:szCs w:val="24"/>
        </w:rPr>
        <w:t xml:space="preserve"> may delegate and also </w:t>
      </w:r>
      <w:r w:rsidRPr="00101174">
        <w:rPr>
          <w:rFonts w:cs="Times New Roman"/>
          <w:szCs w:val="24"/>
        </w:rPr>
        <w:t>substitute</w:t>
      </w:r>
      <w:r w:rsidR="005F49A9" w:rsidRPr="00101174">
        <w:rPr>
          <w:rFonts w:cs="Times New Roman"/>
          <w:szCs w:val="24"/>
        </w:rPr>
        <w:t xml:space="preserve"> outside of the delegated persons provided by the By-Laws</w:t>
      </w:r>
      <w:r w:rsidRPr="00101174">
        <w:rPr>
          <w:rFonts w:cs="Times New Roman"/>
          <w:szCs w:val="24"/>
        </w:rPr>
        <w:t xml:space="preserve">. The respondent has provided proof of substitution of its secretary to represent it in the proceedings against the applicant. The matter should end there. </w:t>
      </w:r>
    </w:p>
    <w:p w:rsidR="00F00E81" w:rsidRPr="00101174" w:rsidRDefault="00F00E81" w:rsidP="009500EB">
      <w:pPr>
        <w:spacing w:before="0" w:beforeAutospacing="0" w:after="0" w:afterAutospacing="0" w:line="480" w:lineRule="auto"/>
        <w:ind w:firstLine="1440"/>
        <w:jc w:val="both"/>
        <w:rPr>
          <w:rFonts w:cs="Times New Roman"/>
          <w:szCs w:val="24"/>
        </w:rPr>
      </w:pPr>
    </w:p>
    <w:p w:rsidR="00F00E81" w:rsidRPr="00101174" w:rsidRDefault="00F00E81" w:rsidP="009500EB">
      <w:pPr>
        <w:spacing w:before="0" w:beforeAutospacing="0" w:after="0" w:afterAutospacing="0" w:line="480" w:lineRule="auto"/>
        <w:ind w:firstLine="1440"/>
        <w:jc w:val="both"/>
        <w:rPr>
          <w:rFonts w:cs="Times New Roman"/>
          <w:szCs w:val="24"/>
        </w:rPr>
      </w:pPr>
      <w:r w:rsidRPr="00101174">
        <w:rPr>
          <w:rFonts w:cs="Times New Roman"/>
          <w:szCs w:val="24"/>
        </w:rPr>
        <w:lastRenderedPageBreak/>
        <w:t xml:space="preserve">Although the respondent had prayed for costs on the admonitory scale in its opposing affidavit, Mr </w:t>
      </w:r>
      <w:r w:rsidRPr="00101174">
        <w:rPr>
          <w:rFonts w:cs="Times New Roman"/>
          <w:i/>
          <w:szCs w:val="24"/>
        </w:rPr>
        <w:t>Chikara</w:t>
      </w:r>
      <w:r w:rsidRPr="00101174">
        <w:rPr>
          <w:rFonts w:cs="Times New Roman"/>
          <w:szCs w:val="24"/>
        </w:rPr>
        <w:t xml:space="preserve"> did not persist with that prayer in his submissions. I will therefore not grant such costs.</w:t>
      </w:r>
    </w:p>
    <w:p w:rsidR="00F00E81" w:rsidRPr="00101174" w:rsidRDefault="00F00E81" w:rsidP="009500EB">
      <w:pPr>
        <w:spacing w:before="0" w:beforeAutospacing="0" w:after="0" w:afterAutospacing="0" w:line="480" w:lineRule="auto"/>
        <w:ind w:firstLine="1440"/>
        <w:jc w:val="both"/>
        <w:rPr>
          <w:rFonts w:cs="Times New Roman"/>
          <w:szCs w:val="24"/>
        </w:rPr>
      </w:pPr>
    </w:p>
    <w:p w:rsidR="00F00E81" w:rsidRPr="00101174" w:rsidRDefault="00F00E81" w:rsidP="009500EB">
      <w:pPr>
        <w:spacing w:before="0" w:beforeAutospacing="0" w:after="0" w:afterAutospacing="0" w:line="480" w:lineRule="auto"/>
        <w:ind w:firstLine="1440"/>
        <w:jc w:val="both"/>
        <w:rPr>
          <w:rFonts w:cs="Times New Roman"/>
          <w:szCs w:val="24"/>
        </w:rPr>
      </w:pPr>
      <w:r w:rsidRPr="00101174">
        <w:rPr>
          <w:rFonts w:cs="Times New Roman"/>
          <w:szCs w:val="24"/>
        </w:rPr>
        <w:t>In the result, the application is hereby dismissed with costs.</w:t>
      </w:r>
    </w:p>
    <w:p w:rsidR="009526E5" w:rsidRPr="00101174" w:rsidRDefault="009526E5" w:rsidP="00133806">
      <w:pPr>
        <w:pStyle w:val="NoSpacing"/>
        <w:spacing w:line="480" w:lineRule="auto"/>
        <w:jc w:val="both"/>
        <w:rPr>
          <w:rFonts w:cs="Times New Roman"/>
          <w:i/>
          <w:szCs w:val="24"/>
        </w:rPr>
      </w:pPr>
    </w:p>
    <w:p w:rsidR="006A6849" w:rsidRPr="00101174" w:rsidRDefault="00F00E81" w:rsidP="00133806">
      <w:pPr>
        <w:pStyle w:val="NoSpacing"/>
        <w:spacing w:line="480" w:lineRule="auto"/>
        <w:jc w:val="both"/>
        <w:rPr>
          <w:rFonts w:cs="Times New Roman"/>
          <w:szCs w:val="24"/>
        </w:rPr>
      </w:pPr>
      <w:r w:rsidRPr="00101174">
        <w:rPr>
          <w:rFonts w:cs="Times New Roman"/>
          <w:i/>
          <w:szCs w:val="24"/>
        </w:rPr>
        <w:t>Mwonzora &amp; Associates</w:t>
      </w:r>
      <w:r w:rsidR="006A6849" w:rsidRPr="00101174">
        <w:rPr>
          <w:rFonts w:cs="Times New Roman"/>
          <w:i/>
          <w:szCs w:val="24"/>
        </w:rPr>
        <w:t>,</w:t>
      </w:r>
      <w:r w:rsidR="006A6849" w:rsidRPr="00101174">
        <w:rPr>
          <w:rFonts w:cs="Times New Roman"/>
          <w:szCs w:val="24"/>
        </w:rPr>
        <w:t xml:space="preserve"> </w:t>
      </w:r>
      <w:r w:rsidR="00133806" w:rsidRPr="00101174">
        <w:rPr>
          <w:rFonts w:cs="Times New Roman"/>
          <w:szCs w:val="24"/>
        </w:rPr>
        <w:t>app</w:t>
      </w:r>
      <w:r w:rsidRPr="00101174">
        <w:rPr>
          <w:rFonts w:cs="Times New Roman"/>
          <w:szCs w:val="24"/>
        </w:rPr>
        <w:t>licant</w:t>
      </w:r>
      <w:r w:rsidR="00133806" w:rsidRPr="00101174">
        <w:rPr>
          <w:rFonts w:cs="Times New Roman"/>
          <w:szCs w:val="24"/>
        </w:rPr>
        <w:t>’s legal practitioners</w:t>
      </w:r>
    </w:p>
    <w:p w:rsidR="006A6849" w:rsidRPr="00101174" w:rsidRDefault="006A6849" w:rsidP="00133806">
      <w:pPr>
        <w:pStyle w:val="NoSpacing"/>
        <w:spacing w:line="480" w:lineRule="auto"/>
        <w:jc w:val="both"/>
        <w:rPr>
          <w:rFonts w:cs="Times New Roman"/>
          <w:szCs w:val="24"/>
        </w:rPr>
      </w:pPr>
    </w:p>
    <w:sectPr w:rsidR="006A6849" w:rsidRPr="00101174" w:rsidSect="00773668">
      <w:headerReference w:type="default" r:id="rId7"/>
      <w:footerReference w:type="default" r:id="rI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033" w:rsidRDefault="00ED3033" w:rsidP="00800933">
      <w:pPr>
        <w:spacing w:before="0" w:after="0" w:line="240" w:lineRule="auto"/>
      </w:pPr>
      <w:r>
        <w:separator/>
      </w:r>
    </w:p>
  </w:endnote>
  <w:endnote w:type="continuationSeparator" w:id="0">
    <w:p w:rsidR="00ED3033" w:rsidRDefault="00ED3033" w:rsidP="008009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933" w:rsidRDefault="000B5EF2" w:rsidP="000B5EF2">
    <w:pPr>
      <w:pStyle w:val="Footer"/>
      <w:tabs>
        <w:tab w:val="left" w:pos="1890"/>
      </w:tabs>
    </w:pPr>
    <w:r>
      <w:tab/>
    </w:r>
  </w:p>
  <w:p w:rsidR="00800933" w:rsidRDefault="008009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033" w:rsidRDefault="00ED3033" w:rsidP="00800933">
      <w:pPr>
        <w:spacing w:before="0" w:after="0" w:line="240" w:lineRule="auto"/>
      </w:pPr>
      <w:r>
        <w:separator/>
      </w:r>
    </w:p>
  </w:footnote>
  <w:footnote w:type="continuationSeparator" w:id="0">
    <w:p w:rsidR="00ED3033" w:rsidRDefault="00ED3033" w:rsidP="008009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223409822"/>
      <w:docPartObj>
        <w:docPartGallery w:val="Page Numbers (Top of Page)"/>
        <w:docPartUnique/>
      </w:docPartObj>
    </w:sdtPr>
    <w:sdtEndPr/>
    <w:sdtContent>
      <w:p w:rsidR="00C04697" w:rsidRPr="00C04697" w:rsidRDefault="00C04697" w:rsidP="00C04697">
        <w:pPr>
          <w:keepLines/>
          <w:spacing w:before="0" w:beforeAutospacing="0" w:after="0" w:afterAutospacing="0" w:line="240" w:lineRule="auto"/>
          <w:contextualSpacing/>
          <w:rPr>
            <w:b/>
          </w:rPr>
        </w:pPr>
        <w:r w:rsidRPr="00C04697">
          <w:rPr>
            <w:b/>
          </w:rPr>
          <w:tab/>
        </w:r>
        <w:r w:rsidRPr="00C04697">
          <w:rPr>
            <w:b/>
          </w:rPr>
          <w:tab/>
        </w:r>
        <w:r w:rsidRPr="00C04697">
          <w:rPr>
            <w:b/>
          </w:rPr>
          <w:tab/>
        </w:r>
        <w:r w:rsidRPr="00C04697">
          <w:rPr>
            <w:b/>
          </w:rPr>
          <w:tab/>
        </w:r>
        <w:r w:rsidRPr="00C04697">
          <w:rPr>
            <w:b/>
          </w:rPr>
          <w:tab/>
        </w:r>
        <w:r w:rsidRPr="00C04697">
          <w:rPr>
            <w:b/>
          </w:rPr>
          <w:tab/>
        </w:r>
        <w:r w:rsidRPr="00C04697">
          <w:rPr>
            <w:b/>
          </w:rPr>
          <w:tab/>
        </w:r>
        <w:r w:rsidRPr="00C04697">
          <w:rPr>
            <w:b/>
          </w:rPr>
          <w:tab/>
        </w:r>
        <w:r w:rsidRPr="00C04697">
          <w:rPr>
            <w:b/>
          </w:rPr>
          <w:tab/>
        </w:r>
      </w:p>
      <w:p w:rsidR="00C04697" w:rsidRDefault="00C04697" w:rsidP="00C04697">
        <w:pPr>
          <w:pStyle w:val="Header"/>
          <w:tabs>
            <w:tab w:val="left" w:pos="300"/>
            <w:tab w:val="right" w:pos="10224"/>
          </w:tabs>
          <w:spacing w:beforeAutospacing="0" w:afterAutospacing="0"/>
          <w:ind w:right="-864"/>
          <w:rPr>
            <w:noProof/>
          </w:rPr>
        </w:pPr>
        <w:r>
          <w:rPr>
            <w:noProof/>
          </w:rPr>
          <w:tab/>
        </w:r>
        <w:r>
          <w:rPr>
            <w:noProof/>
          </w:rPr>
          <w:tab/>
        </w:r>
        <w:r>
          <w:rPr>
            <w:noProof/>
          </w:rPr>
          <w:tab/>
        </w:r>
        <w:r w:rsidRPr="00C04697">
          <w:rPr>
            <w:b/>
            <w:noProof/>
          </w:rPr>
          <w:t xml:space="preserve">Judgment No. SC </w:t>
        </w:r>
        <w:r w:rsidR="00101174">
          <w:rPr>
            <w:b/>
            <w:noProof/>
          </w:rPr>
          <w:t>113/</w:t>
        </w:r>
        <w:r w:rsidR="009526E5">
          <w:rPr>
            <w:b/>
            <w:noProof/>
          </w:rPr>
          <w:t>20</w:t>
        </w:r>
        <w:r w:rsidR="000562D0">
          <w:rPr>
            <w:noProof/>
          </w:rPr>
          <mc:AlternateContent>
            <mc:Choice Requires="wpg">
              <w:drawing>
                <wp:inline distT="0" distB="0" distL="0" distR="0" wp14:anchorId="6216FF0E" wp14:editId="27439A93">
                  <wp:extent cx="638175" cy="237490"/>
                  <wp:effectExtent l="0" t="0" r="28575" b="10160"/>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 cy="237490"/>
                            <a:chOff x="614" y="660"/>
                            <a:chExt cx="864" cy="374"/>
                          </a:xfrm>
                        </wpg:grpSpPr>
                        <wps:wsp>
                          <wps:cNvPr id="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697" w:rsidRDefault="00C04697">
                                <w:r>
                                  <w:fldChar w:fldCharType="begin"/>
                                </w:r>
                                <w:r>
                                  <w:instrText xml:space="preserve"> PAGE    \* MERGEFORMAT </w:instrText>
                                </w:r>
                                <w:r>
                                  <w:fldChar w:fldCharType="separate"/>
                                </w:r>
                                <w:r w:rsidR="001875A3" w:rsidRPr="001875A3">
                                  <w:rPr>
                                    <w:b/>
                                    <w:bCs/>
                                    <w:noProof/>
                                    <w:color w:val="FFFFFF" w:themeColor="background1"/>
                                  </w:rPr>
                                  <w:t>1</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6216FF0E" id="Group 41" o:spid="_x0000_s1026" style="width:50.25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C04697" w:rsidRDefault="00C04697">
                          <w:r>
                            <w:fldChar w:fldCharType="begin"/>
                          </w:r>
                          <w:r>
                            <w:instrText xml:space="preserve"> PAGE    \* MERGEFORMAT </w:instrText>
                          </w:r>
                          <w:r>
                            <w:fldChar w:fldCharType="separate"/>
                          </w:r>
                          <w:r w:rsidR="001875A3" w:rsidRPr="001875A3">
                            <w:rPr>
                              <w:b/>
                              <w:bCs/>
                              <w:noProof/>
                              <w:color w:val="FFFFFF" w:themeColor="background1"/>
                            </w:rPr>
                            <w:t>1</w:t>
                          </w:r>
                          <w:r>
                            <w:rPr>
                              <w:b/>
                              <w:bCs/>
                              <w:noProof/>
                              <w:color w:val="FFFFFF" w:themeColor="background1"/>
                            </w:rPr>
                            <w:fldChar w:fldCharType="end"/>
                          </w:r>
                        </w:p>
                      </w:txbxContent>
                    </v:textbox>
                  </v:shape>
                  <w10:anchorlock/>
                </v:group>
              </w:pict>
            </mc:Fallback>
          </mc:AlternateContent>
        </w:r>
      </w:p>
      <w:p w:rsidR="0032243A" w:rsidRPr="00C04697" w:rsidRDefault="00C04697" w:rsidP="00C04697">
        <w:pPr>
          <w:pStyle w:val="Header"/>
          <w:tabs>
            <w:tab w:val="left" w:pos="300"/>
            <w:tab w:val="right" w:pos="10224"/>
          </w:tabs>
          <w:spacing w:beforeAutospacing="0" w:afterAutospacing="0"/>
          <w:ind w:right="-864"/>
        </w:pPr>
        <w:r>
          <w:rPr>
            <w:noProof/>
          </w:rPr>
          <w:tab/>
        </w:r>
        <w:r>
          <w:rPr>
            <w:noProof/>
          </w:rPr>
          <w:tab/>
          <w:t xml:space="preserve">                                                                                </w:t>
        </w:r>
        <w:r w:rsidR="009526E5">
          <w:rPr>
            <w:b/>
          </w:rPr>
          <w:t>Chamber Application</w:t>
        </w:r>
        <w:r w:rsidR="00A14873">
          <w:rPr>
            <w:b/>
          </w:rPr>
          <w:t xml:space="preserve"> No. SC 149</w:t>
        </w:r>
        <w:r w:rsidR="004E4EF9">
          <w:rPr>
            <w:b/>
          </w:rPr>
          <w:t>/</w:t>
        </w:r>
        <w:r w:rsidR="00A14873">
          <w:rPr>
            <w:b/>
          </w:rPr>
          <w:t>20</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5643"/>
    <w:multiLevelType w:val="hybridMultilevel"/>
    <w:tmpl w:val="B4640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3711F"/>
    <w:multiLevelType w:val="hybridMultilevel"/>
    <w:tmpl w:val="759AF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7616BD"/>
    <w:multiLevelType w:val="hybridMultilevel"/>
    <w:tmpl w:val="80F26A56"/>
    <w:lvl w:ilvl="0" w:tplc="3AC05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57"/>
    <w:rsid w:val="000562D0"/>
    <w:rsid w:val="00074DDA"/>
    <w:rsid w:val="000B5EF2"/>
    <w:rsid w:val="000D1775"/>
    <w:rsid w:val="000E78D0"/>
    <w:rsid w:val="00101174"/>
    <w:rsid w:val="00121C8C"/>
    <w:rsid w:val="00133806"/>
    <w:rsid w:val="00136AA5"/>
    <w:rsid w:val="001875A3"/>
    <w:rsid w:val="00193097"/>
    <w:rsid w:val="001933B5"/>
    <w:rsid w:val="00197389"/>
    <w:rsid w:val="001D126B"/>
    <w:rsid w:val="002369D3"/>
    <w:rsid w:val="00246624"/>
    <w:rsid w:val="00254A34"/>
    <w:rsid w:val="0029749A"/>
    <w:rsid w:val="002C7F8A"/>
    <w:rsid w:val="003101C9"/>
    <w:rsid w:val="00316899"/>
    <w:rsid w:val="0032243A"/>
    <w:rsid w:val="003A3365"/>
    <w:rsid w:val="003A37D0"/>
    <w:rsid w:val="003B01AB"/>
    <w:rsid w:val="003E4DF2"/>
    <w:rsid w:val="003E5BAA"/>
    <w:rsid w:val="00404A05"/>
    <w:rsid w:val="0040503D"/>
    <w:rsid w:val="00456FE5"/>
    <w:rsid w:val="00477B02"/>
    <w:rsid w:val="004B7A28"/>
    <w:rsid w:val="004C099B"/>
    <w:rsid w:val="004E48A3"/>
    <w:rsid w:val="004E4EF9"/>
    <w:rsid w:val="0052269B"/>
    <w:rsid w:val="00523908"/>
    <w:rsid w:val="00523D24"/>
    <w:rsid w:val="0052523B"/>
    <w:rsid w:val="00525BEF"/>
    <w:rsid w:val="005334C0"/>
    <w:rsid w:val="0054317D"/>
    <w:rsid w:val="00580513"/>
    <w:rsid w:val="0059111B"/>
    <w:rsid w:val="0059402E"/>
    <w:rsid w:val="005C6940"/>
    <w:rsid w:val="005F49A9"/>
    <w:rsid w:val="0060753C"/>
    <w:rsid w:val="006126E5"/>
    <w:rsid w:val="006128EB"/>
    <w:rsid w:val="00673BED"/>
    <w:rsid w:val="006776C1"/>
    <w:rsid w:val="0068662E"/>
    <w:rsid w:val="006A03C9"/>
    <w:rsid w:val="006A6849"/>
    <w:rsid w:val="006B7011"/>
    <w:rsid w:val="006F016B"/>
    <w:rsid w:val="00701C30"/>
    <w:rsid w:val="0074228F"/>
    <w:rsid w:val="00753D75"/>
    <w:rsid w:val="00773668"/>
    <w:rsid w:val="00795F11"/>
    <w:rsid w:val="007A0C29"/>
    <w:rsid w:val="007A5547"/>
    <w:rsid w:val="007B2167"/>
    <w:rsid w:val="007B3580"/>
    <w:rsid w:val="007B49A6"/>
    <w:rsid w:val="007B58FF"/>
    <w:rsid w:val="007D0B26"/>
    <w:rsid w:val="007D2790"/>
    <w:rsid w:val="00800933"/>
    <w:rsid w:val="008155D9"/>
    <w:rsid w:val="00870DA0"/>
    <w:rsid w:val="008A6AD5"/>
    <w:rsid w:val="008A7672"/>
    <w:rsid w:val="008B400B"/>
    <w:rsid w:val="008C3209"/>
    <w:rsid w:val="008C7751"/>
    <w:rsid w:val="008E586C"/>
    <w:rsid w:val="00920174"/>
    <w:rsid w:val="0093024A"/>
    <w:rsid w:val="00930C0F"/>
    <w:rsid w:val="00935C6B"/>
    <w:rsid w:val="009500EB"/>
    <w:rsid w:val="009526E5"/>
    <w:rsid w:val="00974778"/>
    <w:rsid w:val="00997391"/>
    <w:rsid w:val="009C793F"/>
    <w:rsid w:val="009E5C1A"/>
    <w:rsid w:val="009F7551"/>
    <w:rsid w:val="00A14873"/>
    <w:rsid w:val="00A428F9"/>
    <w:rsid w:val="00A50BC8"/>
    <w:rsid w:val="00A552C1"/>
    <w:rsid w:val="00A64614"/>
    <w:rsid w:val="00A85241"/>
    <w:rsid w:val="00AD5FFA"/>
    <w:rsid w:val="00B12957"/>
    <w:rsid w:val="00B17E9B"/>
    <w:rsid w:val="00B724F5"/>
    <w:rsid w:val="00B80CAD"/>
    <w:rsid w:val="00B977AE"/>
    <w:rsid w:val="00C04697"/>
    <w:rsid w:val="00C22E9D"/>
    <w:rsid w:val="00C61900"/>
    <w:rsid w:val="00C71693"/>
    <w:rsid w:val="00C91F77"/>
    <w:rsid w:val="00CD5454"/>
    <w:rsid w:val="00CF1CA1"/>
    <w:rsid w:val="00D20B4C"/>
    <w:rsid w:val="00D34132"/>
    <w:rsid w:val="00D5381F"/>
    <w:rsid w:val="00E005FE"/>
    <w:rsid w:val="00E10C27"/>
    <w:rsid w:val="00E367D0"/>
    <w:rsid w:val="00E86B47"/>
    <w:rsid w:val="00ED3033"/>
    <w:rsid w:val="00F00E81"/>
    <w:rsid w:val="00F40FBF"/>
    <w:rsid w:val="00F42A4F"/>
    <w:rsid w:val="00F457A4"/>
    <w:rsid w:val="00F50A08"/>
    <w:rsid w:val="00F8223E"/>
    <w:rsid w:val="00F87B6A"/>
    <w:rsid w:val="00F87D8A"/>
    <w:rsid w:val="00F95046"/>
    <w:rsid w:val="00FA2B90"/>
    <w:rsid w:val="00FB3E39"/>
    <w:rsid w:val="00FD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94852DF-258C-40B7-AD5A-6D0791C3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B977AE"/>
    <w:pPr>
      <w:ind w:left="720"/>
      <w:contextualSpacing/>
    </w:pPr>
  </w:style>
  <w:style w:type="paragraph" w:styleId="Header">
    <w:name w:val="header"/>
    <w:basedOn w:val="Normal"/>
    <w:link w:val="HeaderChar"/>
    <w:uiPriority w:val="99"/>
    <w:unhideWhenUsed/>
    <w:rsid w:val="0080093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00933"/>
    <w:rPr>
      <w:rFonts w:ascii="Times New Roman" w:hAnsi="Times New Roman"/>
      <w:sz w:val="24"/>
    </w:rPr>
  </w:style>
  <w:style w:type="paragraph" w:styleId="Footer">
    <w:name w:val="footer"/>
    <w:basedOn w:val="Normal"/>
    <w:link w:val="FooterChar"/>
    <w:uiPriority w:val="99"/>
    <w:unhideWhenUsed/>
    <w:rsid w:val="0080093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00933"/>
    <w:rPr>
      <w:rFonts w:ascii="Times New Roman" w:hAnsi="Times New Roman"/>
      <w:sz w:val="24"/>
    </w:rPr>
  </w:style>
  <w:style w:type="paragraph" w:styleId="BalloonText">
    <w:name w:val="Balloon Text"/>
    <w:basedOn w:val="Normal"/>
    <w:link w:val="BalloonTextChar"/>
    <w:uiPriority w:val="99"/>
    <w:semiHidden/>
    <w:unhideWhenUsed/>
    <w:rsid w:val="0060753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JSC</cp:lastModifiedBy>
  <cp:revision>2</cp:revision>
  <cp:lastPrinted>2020-09-17T08:56:00Z</cp:lastPrinted>
  <dcterms:created xsi:type="dcterms:W3CDTF">2021-03-04T09:25:00Z</dcterms:created>
  <dcterms:modified xsi:type="dcterms:W3CDTF">2021-03-04T09:25:00Z</dcterms:modified>
</cp:coreProperties>
</file>