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693EF" w14:textId="7304B45A" w:rsidR="00CD442F" w:rsidRPr="000C7B54" w:rsidRDefault="00924CCE">
      <w:pPr>
        <w:rPr>
          <w:rFonts w:ascii="Times New Roman" w:hAnsi="Times New Roman" w:cs="Times New Roman"/>
          <w:b/>
          <w:sz w:val="24"/>
          <w:szCs w:val="24"/>
          <w:u w:val="single"/>
        </w:rPr>
      </w:pPr>
      <w:r w:rsidRPr="00924CCE">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924CCE">
        <w:rPr>
          <w:rFonts w:ascii="Times New Roman" w:hAnsi="Times New Roman" w:cs="Times New Roman"/>
          <w:b/>
          <w:sz w:val="24"/>
          <w:szCs w:val="24"/>
          <w:u w:val="single"/>
        </w:rPr>
        <w:t>(</w:t>
      </w:r>
      <w:r w:rsidR="000C7B54">
        <w:rPr>
          <w:rFonts w:ascii="Times New Roman" w:hAnsi="Times New Roman" w:cs="Times New Roman"/>
          <w:b/>
          <w:sz w:val="24"/>
          <w:szCs w:val="24"/>
          <w:u w:val="single"/>
        </w:rPr>
        <w:t>66</w:t>
      </w:r>
      <w:r w:rsidRPr="00924CCE">
        <w:rPr>
          <w:rFonts w:ascii="Times New Roman" w:hAnsi="Times New Roman" w:cs="Times New Roman"/>
          <w:b/>
          <w:sz w:val="24"/>
          <w:szCs w:val="24"/>
          <w:u w:val="single"/>
        </w:rPr>
        <w:t>)</w:t>
      </w:r>
    </w:p>
    <w:p w14:paraId="4BC9661D" w14:textId="0ACEEEE6" w:rsidR="00E161D4" w:rsidRDefault="00E161D4" w:rsidP="000C7B5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D5DD5E7" w14:textId="63E67E37" w:rsidR="00E161D4" w:rsidRPr="00924CCE" w:rsidRDefault="00E161D4" w:rsidP="0072371F">
      <w:pPr>
        <w:spacing w:after="0" w:line="240" w:lineRule="auto"/>
        <w:jc w:val="center"/>
        <w:rPr>
          <w:rFonts w:ascii="Times New Roman" w:hAnsi="Times New Roman" w:cs="Times New Roman"/>
          <w:b/>
          <w:sz w:val="24"/>
          <w:szCs w:val="24"/>
        </w:rPr>
      </w:pPr>
      <w:r w:rsidRPr="00924CCE">
        <w:rPr>
          <w:rFonts w:ascii="Times New Roman" w:hAnsi="Times New Roman" w:cs="Times New Roman"/>
          <w:b/>
          <w:sz w:val="24"/>
          <w:szCs w:val="24"/>
        </w:rPr>
        <w:t xml:space="preserve">TANYARADZWA </w:t>
      </w:r>
      <w:r w:rsidR="0072371F">
        <w:rPr>
          <w:rFonts w:ascii="Times New Roman" w:hAnsi="Times New Roman" w:cs="Times New Roman"/>
          <w:b/>
          <w:sz w:val="24"/>
          <w:szCs w:val="24"/>
        </w:rPr>
        <w:t xml:space="preserve">    </w:t>
      </w:r>
      <w:r w:rsidRPr="00924CCE">
        <w:rPr>
          <w:rFonts w:ascii="Times New Roman" w:hAnsi="Times New Roman" w:cs="Times New Roman"/>
          <w:b/>
          <w:sz w:val="24"/>
          <w:szCs w:val="24"/>
        </w:rPr>
        <w:t xml:space="preserve">FREDDY </w:t>
      </w:r>
      <w:r w:rsidR="0072371F">
        <w:rPr>
          <w:rFonts w:ascii="Times New Roman" w:hAnsi="Times New Roman" w:cs="Times New Roman"/>
          <w:b/>
          <w:sz w:val="24"/>
          <w:szCs w:val="24"/>
        </w:rPr>
        <w:t xml:space="preserve">    </w:t>
      </w:r>
      <w:r w:rsidRPr="00924CCE">
        <w:rPr>
          <w:rFonts w:ascii="Times New Roman" w:hAnsi="Times New Roman" w:cs="Times New Roman"/>
          <w:b/>
          <w:sz w:val="24"/>
          <w:szCs w:val="24"/>
        </w:rPr>
        <w:t>GOVATI</w:t>
      </w:r>
    </w:p>
    <w:p w14:paraId="33474B0F" w14:textId="1FF50D2A" w:rsidR="00E161D4" w:rsidRPr="00924CCE" w:rsidRDefault="00924CCE" w:rsidP="0072371F">
      <w:pPr>
        <w:spacing w:after="0" w:line="240" w:lineRule="auto"/>
        <w:jc w:val="center"/>
        <w:rPr>
          <w:rFonts w:ascii="Times New Roman" w:hAnsi="Times New Roman" w:cs="Times New Roman"/>
          <w:b/>
          <w:sz w:val="24"/>
          <w:szCs w:val="24"/>
        </w:rPr>
      </w:pPr>
      <w:proofErr w:type="gramStart"/>
      <w:r w:rsidRPr="00924CCE">
        <w:rPr>
          <w:rFonts w:ascii="Times New Roman" w:hAnsi="Times New Roman" w:cs="Times New Roman"/>
          <w:b/>
          <w:sz w:val="24"/>
          <w:szCs w:val="24"/>
        </w:rPr>
        <w:t>v</w:t>
      </w:r>
      <w:proofErr w:type="gramEnd"/>
    </w:p>
    <w:p w14:paraId="6D26C205" w14:textId="71A2F999" w:rsidR="00E161D4" w:rsidRDefault="00E161D4" w:rsidP="0072371F">
      <w:pPr>
        <w:spacing w:after="0" w:line="240" w:lineRule="auto"/>
        <w:jc w:val="center"/>
        <w:rPr>
          <w:rFonts w:ascii="Times New Roman" w:hAnsi="Times New Roman" w:cs="Times New Roman"/>
          <w:b/>
          <w:sz w:val="24"/>
          <w:szCs w:val="24"/>
        </w:rPr>
      </w:pPr>
      <w:r w:rsidRPr="00924CCE">
        <w:rPr>
          <w:rFonts w:ascii="Times New Roman" w:hAnsi="Times New Roman" w:cs="Times New Roman"/>
          <w:b/>
          <w:sz w:val="24"/>
          <w:szCs w:val="24"/>
        </w:rPr>
        <w:t xml:space="preserve">RAINBOW </w:t>
      </w:r>
      <w:r w:rsidR="0072371F">
        <w:rPr>
          <w:rFonts w:ascii="Times New Roman" w:hAnsi="Times New Roman" w:cs="Times New Roman"/>
          <w:b/>
          <w:sz w:val="24"/>
          <w:szCs w:val="24"/>
        </w:rPr>
        <w:t xml:space="preserve">    TOURISM     </w:t>
      </w:r>
      <w:r w:rsidRPr="00924CCE">
        <w:rPr>
          <w:rFonts w:ascii="Times New Roman" w:hAnsi="Times New Roman" w:cs="Times New Roman"/>
          <w:b/>
          <w:sz w:val="24"/>
          <w:szCs w:val="24"/>
        </w:rPr>
        <w:t xml:space="preserve">GROUP </w:t>
      </w:r>
      <w:r w:rsidR="0072371F">
        <w:rPr>
          <w:rFonts w:ascii="Times New Roman" w:hAnsi="Times New Roman" w:cs="Times New Roman"/>
          <w:b/>
          <w:sz w:val="24"/>
          <w:szCs w:val="24"/>
        </w:rPr>
        <w:t xml:space="preserve">    </w:t>
      </w:r>
      <w:r w:rsidRPr="00924CCE">
        <w:rPr>
          <w:rFonts w:ascii="Times New Roman" w:hAnsi="Times New Roman" w:cs="Times New Roman"/>
          <w:b/>
          <w:sz w:val="24"/>
          <w:szCs w:val="24"/>
        </w:rPr>
        <w:t>LIMITED</w:t>
      </w:r>
    </w:p>
    <w:p w14:paraId="1C84FEDE" w14:textId="77777777" w:rsidR="0072371F" w:rsidRDefault="0072371F" w:rsidP="0072371F">
      <w:pPr>
        <w:spacing w:after="0" w:line="240" w:lineRule="auto"/>
        <w:jc w:val="center"/>
        <w:rPr>
          <w:rFonts w:ascii="Times New Roman" w:hAnsi="Times New Roman" w:cs="Times New Roman"/>
          <w:b/>
          <w:sz w:val="24"/>
          <w:szCs w:val="24"/>
        </w:rPr>
      </w:pPr>
    </w:p>
    <w:p w14:paraId="0873E0B9" w14:textId="77777777" w:rsidR="00E161D4" w:rsidRPr="00924CCE" w:rsidRDefault="00E161D4">
      <w:pPr>
        <w:rPr>
          <w:rFonts w:ascii="Times New Roman" w:hAnsi="Times New Roman" w:cs="Times New Roman"/>
          <w:b/>
          <w:sz w:val="24"/>
          <w:szCs w:val="24"/>
        </w:rPr>
      </w:pPr>
    </w:p>
    <w:p w14:paraId="2C2C9F64" w14:textId="77777777" w:rsidR="00E161D4" w:rsidRPr="00924CCE" w:rsidRDefault="00E161D4" w:rsidP="00924CCE">
      <w:pPr>
        <w:spacing w:after="0"/>
        <w:rPr>
          <w:rFonts w:ascii="Times New Roman" w:hAnsi="Times New Roman" w:cs="Times New Roman"/>
          <w:b/>
          <w:sz w:val="24"/>
          <w:szCs w:val="24"/>
        </w:rPr>
      </w:pPr>
      <w:r w:rsidRPr="00924CCE">
        <w:rPr>
          <w:rFonts w:ascii="Times New Roman" w:hAnsi="Times New Roman" w:cs="Times New Roman"/>
          <w:b/>
          <w:sz w:val="24"/>
          <w:szCs w:val="24"/>
        </w:rPr>
        <w:t>SUPREME COURT OF ZIMBABWE</w:t>
      </w:r>
    </w:p>
    <w:p w14:paraId="1619635E" w14:textId="36BB95C1" w:rsidR="00E161D4" w:rsidRPr="00924CCE" w:rsidRDefault="00E161D4" w:rsidP="00924CCE">
      <w:pPr>
        <w:spacing w:after="0"/>
        <w:rPr>
          <w:rFonts w:ascii="Times New Roman" w:hAnsi="Times New Roman" w:cs="Times New Roman"/>
          <w:b/>
          <w:sz w:val="24"/>
          <w:szCs w:val="24"/>
        </w:rPr>
      </w:pPr>
      <w:r w:rsidRPr="00924CCE">
        <w:rPr>
          <w:rFonts w:ascii="Times New Roman" w:hAnsi="Times New Roman" w:cs="Times New Roman"/>
          <w:b/>
          <w:sz w:val="24"/>
          <w:szCs w:val="24"/>
        </w:rPr>
        <w:t xml:space="preserve">BHUNU JA, KUDYA JA </w:t>
      </w:r>
      <w:r w:rsidR="00924CCE">
        <w:rPr>
          <w:rFonts w:ascii="Times New Roman" w:hAnsi="Times New Roman" w:cs="Times New Roman"/>
          <w:b/>
          <w:sz w:val="24"/>
          <w:szCs w:val="24"/>
        </w:rPr>
        <w:t>&amp;</w:t>
      </w:r>
      <w:r w:rsidRPr="00924CCE">
        <w:rPr>
          <w:rFonts w:ascii="Times New Roman" w:hAnsi="Times New Roman" w:cs="Times New Roman"/>
          <w:b/>
          <w:sz w:val="24"/>
          <w:szCs w:val="24"/>
        </w:rPr>
        <w:t xml:space="preserve"> MUSAKWA JA</w:t>
      </w:r>
    </w:p>
    <w:p w14:paraId="1033E44D" w14:textId="1FA8A9E7" w:rsidR="00E161D4" w:rsidRDefault="000C7B54" w:rsidP="00924CCE">
      <w:pPr>
        <w:spacing w:after="0"/>
        <w:rPr>
          <w:rFonts w:ascii="Times New Roman" w:hAnsi="Times New Roman" w:cs="Times New Roman"/>
          <w:b/>
          <w:sz w:val="24"/>
          <w:szCs w:val="24"/>
        </w:rPr>
      </w:pPr>
      <w:r>
        <w:rPr>
          <w:rFonts w:ascii="Times New Roman" w:hAnsi="Times New Roman" w:cs="Times New Roman"/>
          <w:b/>
          <w:sz w:val="24"/>
          <w:szCs w:val="24"/>
        </w:rPr>
        <w:t>HARARE:</w:t>
      </w:r>
      <w:r w:rsidR="00E161D4" w:rsidRPr="00924CCE">
        <w:rPr>
          <w:rFonts w:ascii="Times New Roman" w:hAnsi="Times New Roman" w:cs="Times New Roman"/>
          <w:b/>
          <w:sz w:val="24"/>
          <w:szCs w:val="24"/>
        </w:rPr>
        <w:t xml:space="preserve"> 25 NOVEMBER 2024 </w:t>
      </w:r>
      <w:r w:rsidR="00924CCE">
        <w:rPr>
          <w:rFonts w:ascii="Times New Roman" w:hAnsi="Times New Roman" w:cs="Times New Roman"/>
          <w:b/>
          <w:sz w:val="24"/>
          <w:szCs w:val="24"/>
        </w:rPr>
        <w:t>&amp;</w:t>
      </w:r>
      <w:r w:rsidR="004C5B91">
        <w:rPr>
          <w:rFonts w:ascii="Times New Roman" w:hAnsi="Times New Roman" w:cs="Times New Roman"/>
          <w:b/>
          <w:sz w:val="24"/>
          <w:szCs w:val="24"/>
        </w:rPr>
        <w:t xml:space="preserve"> 29 </w:t>
      </w:r>
      <w:r w:rsidR="00E161D4" w:rsidRPr="00924CCE">
        <w:rPr>
          <w:rFonts w:ascii="Times New Roman" w:hAnsi="Times New Roman" w:cs="Times New Roman"/>
          <w:b/>
          <w:sz w:val="24"/>
          <w:szCs w:val="24"/>
        </w:rPr>
        <w:t>JULY 2025</w:t>
      </w:r>
    </w:p>
    <w:p w14:paraId="519F78E3" w14:textId="77777777" w:rsidR="009D2504" w:rsidRPr="00924CCE" w:rsidRDefault="009D2504" w:rsidP="00924CCE">
      <w:pPr>
        <w:spacing w:after="0"/>
        <w:rPr>
          <w:rFonts w:ascii="Times New Roman" w:hAnsi="Times New Roman" w:cs="Times New Roman"/>
          <w:b/>
          <w:sz w:val="24"/>
          <w:szCs w:val="24"/>
        </w:rPr>
      </w:pPr>
    </w:p>
    <w:p w14:paraId="67C1ECF1" w14:textId="77777777" w:rsidR="00E161D4" w:rsidRDefault="00E161D4">
      <w:pPr>
        <w:rPr>
          <w:rFonts w:ascii="Times New Roman" w:hAnsi="Times New Roman" w:cs="Times New Roman"/>
          <w:sz w:val="24"/>
          <w:szCs w:val="24"/>
        </w:rPr>
      </w:pPr>
    </w:p>
    <w:p w14:paraId="463E380D" w14:textId="00644C45" w:rsidR="00E161D4" w:rsidRDefault="00E161D4" w:rsidP="00924CCE">
      <w:pPr>
        <w:spacing w:after="0" w:line="480" w:lineRule="auto"/>
        <w:jc w:val="both"/>
        <w:rPr>
          <w:rFonts w:ascii="Times New Roman" w:hAnsi="Times New Roman" w:cs="Times New Roman"/>
          <w:sz w:val="24"/>
          <w:szCs w:val="24"/>
        </w:rPr>
      </w:pPr>
      <w:r w:rsidRPr="006B4BEF">
        <w:rPr>
          <w:rFonts w:ascii="Times New Roman" w:hAnsi="Times New Roman" w:cs="Times New Roman"/>
          <w:i/>
          <w:iCs/>
          <w:sz w:val="24"/>
          <w:szCs w:val="24"/>
        </w:rPr>
        <w:t>B</w:t>
      </w:r>
      <w:r w:rsidR="00924CCE">
        <w:rPr>
          <w:rFonts w:ascii="Times New Roman" w:hAnsi="Times New Roman" w:cs="Times New Roman"/>
          <w:i/>
          <w:iCs/>
          <w:sz w:val="24"/>
          <w:szCs w:val="24"/>
        </w:rPr>
        <w:t>.</w:t>
      </w:r>
      <w:r w:rsidRPr="006B4BEF">
        <w:rPr>
          <w:rFonts w:ascii="Times New Roman" w:hAnsi="Times New Roman" w:cs="Times New Roman"/>
          <w:i/>
          <w:iCs/>
          <w:sz w:val="24"/>
          <w:szCs w:val="24"/>
        </w:rPr>
        <w:t xml:space="preserve"> Magogo</w:t>
      </w:r>
      <w:r w:rsidR="00924CCE">
        <w:rPr>
          <w:rFonts w:ascii="Times New Roman" w:hAnsi="Times New Roman" w:cs="Times New Roman"/>
          <w:iCs/>
          <w:sz w:val="24"/>
          <w:szCs w:val="24"/>
        </w:rPr>
        <w:t>,</w:t>
      </w:r>
      <w:r>
        <w:rPr>
          <w:rFonts w:ascii="Times New Roman" w:hAnsi="Times New Roman" w:cs="Times New Roman"/>
          <w:sz w:val="24"/>
          <w:szCs w:val="24"/>
        </w:rPr>
        <w:t xml:space="preserve"> for the appellant</w:t>
      </w:r>
    </w:p>
    <w:p w14:paraId="2F564F3A" w14:textId="22CEA26C" w:rsidR="00E161D4" w:rsidRDefault="00E161D4" w:rsidP="00924CCE">
      <w:pPr>
        <w:spacing w:after="0" w:line="480" w:lineRule="auto"/>
        <w:jc w:val="both"/>
        <w:rPr>
          <w:rFonts w:ascii="Times New Roman" w:hAnsi="Times New Roman" w:cs="Times New Roman"/>
          <w:sz w:val="24"/>
          <w:szCs w:val="24"/>
        </w:rPr>
      </w:pPr>
      <w:r w:rsidRPr="006B4BEF">
        <w:rPr>
          <w:rFonts w:ascii="Times New Roman" w:hAnsi="Times New Roman" w:cs="Times New Roman"/>
          <w:i/>
          <w:iCs/>
          <w:sz w:val="24"/>
          <w:szCs w:val="24"/>
        </w:rPr>
        <w:t>S</w:t>
      </w:r>
      <w:r w:rsidR="00924CCE">
        <w:rPr>
          <w:rFonts w:ascii="Times New Roman" w:hAnsi="Times New Roman" w:cs="Times New Roman"/>
          <w:i/>
          <w:iCs/>
          <w:sz w:val="24"/>
          <w:szCs w:val="24"/>
        </w:rPr>
        <w:t>.</w:t>
      </w:r>
      <w:r w:rsidRPr="006B4BEF">
        <w:rPr>
          <w:rFonts w:ascii="Times New Roman" w:hAnsi="Times New Roman" w:cs="Times New Roman"/>
          <w:i/>
          <w:iCs/>
          <w:sz w:val="24"/>
          <w:szCs w:val="24"/>
        </w:rPr>
        <w:t xml:space="preserve"> Banda</w:t>
      </w:r>
      <w:r w:rsidR="00924CCE" w:rsidRPr="00924CCE">
        <w:rPr>
          <w:rFonts w:ascii="Times New Roman" w:hAnsi="Times New Roman" w:cs="Times New Roman"/>
          <w:iCs/>
          <w:sz w:val="24"/>
          <w:szCs w:val="24"/>
        </w:rPr>
        <w:t>,</w:t>
      </w:r>
      <w:r w:rsidRPr="00924CCE">
        <w:rPr>
          <w:rFonts w:ascii="Times New Roman" w:hAnsi="Times New Roman" w:cs="Times New Roman"/>
          <w:sz w:val="24"/>
          <w:szCs w:val="24"/>
        </w:rPr>
        <w:t xml:space="preserve"> </w:t>
      </w:r>
      <w:r>
        <w:rPr>
          <w:rFonts w:ascii="Times New Roman" w:hAnsi="Times New Roman" w:cs="Times New Roman"/>
          <w:sz w:val="24"/>
          <w:szCs w:val="24"/>
        </w:rPr>
        <w:t>for the respondent</w:t>
      </w:r>
    </w:p>
    <w:p w14:paraId="775113ED" w14:textId="77777777" w:rsidR="00E161D4" w:rsidRDefault="00E161D4" w:rsidP="00D627E3">
      <w:pPr>
        <w:jc w:val="both"/>
        <w:rPr>
          <w:rFonts w:ascii="Times New Roman" w:hAnsi="Times New Roman" w:cs="Times New Roman"/>
          <w:sz w:val="24"/>
          <w:szCs w:val="24"/>
        </w:rPr>
      </w:pPr>
    </w:p>
    <w:p w14:paraId="4FFE22F3" w14:textId="77777777" w:rsidR="00E161D4" w:rsidRPr="009D2504" w:rsidRDefault="00E161D4" w:rsidP="00D627E3">
      <w:pPr>
        <w:jc w:val="both"/>
        <w:rPr>
          <w:rFonts w:ascii="Times New Roman" w:hAnsi="Times New Roman" w:cs="Times New Roman"/>
          <w:b/>
          <w:sz w:val="24"/>
          <w:szCs w:val="24"/>
        </w:rPr>
      </w:pPr>
      <w:r w:rsidRPr="009D2504">
        <w:rPr>
          <w:rFonts w:ascii="Times New Roman" w:hAnsi="Times New Roman" w:cs="Times New Roman"/>
          <w:b/>
          <w:sz w:val="24"/>
          <w:szCs w:val="24"/>
        </w:rPr>
        <w:t>KUDYA JA:</w:t>
      </w:r>
    </w:p>
    <w:p w14:paraId="6D9372DF" w14:textId="7E3A7B8D" w:rsidR="001B79D0" w:rsidRDefault="001B79D0" w:rsidP="008022C7">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[1]</w:t>
      </w:r>
      <w:r w:rsidR="00DF3812">
        <w:rPr>
          <w:rFonts w:ascii="Times New Roman" w:hAnsi="Times New Roman" w:cs="Times New Roman"/>
          <w:sz w:val="24"/>
          <w:szCs w:val="24"/>
        </w:rPr>
        <w:tab/>
      </w:r>
      <w:r w:rsidR="00A265D6">
        <w:rPr>
          <w:rFonts w:ascii="Times New Roman" w:hAnsi="Times New Roman" w:cs="Times New Roman"/>
          <w:sz w:val="24"/>
          <w:szCs w:val="24"/>
        </w:rPr>
        <w:t xml:space="preserve">The appellant appeals against the whole judgment of the Labour Court (the court </w:t>
      </w:r>
      <w:r w:rsidR="00A265D6" w:rsidRPr="00A265D6">
        <w:rPr>
          <w:rFonts w:ascii="Times New Roman" w:hAnsi="Times New Roman" w:cs="Times New Roman"/>
          <w:i/>
          <w:iCs/>
          <w:sz w:val="24"/>
          <w:szCs w:val="24"/>
        </w:rPr>
        <w:t>a quo</w:t>
      </w:r>
      <w:r w:rsidR="00A265D6">
        <w:rPr>
          <w:rFonts w:ascii="Times New Roman" w:hAnsi="Times New Roman" w:cs="Times New Roman"/>
          <w:sz w:val="24"/>
          <w:szCs w:val="24"/>
        </w:rPr>
        <w:t xml:space="preserve">), </w:t>
      </w:r>
      <w:proofErr w:type="gramStart"/>
      <w:r w:rsidR="00A265D6">
        <w:rPr>
          <w:rFonts w:ascii="Times New Roman" w:hAnsi="Times New Roman" w:cs="Times New Roman"/>
          <w:sz w:val="24"/>
          <w:szCs w:val="24"/>
        </w:rPr>
        <w:t>which</w:t>
      </w:r>
      <w:proofErr w:type="gramEnd"/>
      <w:r w:rsidR="00A265D6">
        <w:rPr>
          <w:rFonts w:ascii="Times New Roman" w:hAnsi="Times New Roman" w:cs="Times New Roman"/>
          <w:sz w:val="24"/>
          <w:szCs w:val="24"/>
        </w:rPr>
        <w:t xml:space="preserve"> was h</w:t>
      </w:r>
      <w:r w:rsidR="00825167">
        <w:rPr>
          <w:rFonts w:ascii="Times New Roman" w:hAnsi="Times New Roman" w:cs="Times New Roman"/>
          <w:sz w:val="24"/>
          <w:szCs w:val="24"/>
        </w:rPr>
        <w:t xml:space="preserve">anded down on 27 February 2024.  </w:t>
      </w:r>
      <w:r w:rsidR="00A265D6">
        <w:rPr>
          <w:rFonts w:ascii="Times New Roman" w:hAnsi="Times New Roman" w:cs="Times New Roman"/>
          <w:sz w:val="24"/>
          <w:szCs w:val="24"/>
        </w:rPr>
        <w:t xml:space="preserve">The court </w:t>
      </w:r>
      <w:r w:rsidR="00A265D6" w:rsidRPr="00A265D6">
        <w:rPr>
          <w:rFonts w:ascii="Times New Roman" w:hAnsi="Times New Roman" w:cs="Times New Roman"/>
          <w:i/>
          <w:iCs/>
          <w:sz w:val="24"/>
          <w:szCs w:val="24"/>
        </w:rPr>
        <w:t>a quo</w:t>
      </w:r>
      <w:r w:rsidR="00A265D6">
        <w:rPr>
          <w:rFonts w:ascii="Times New Roman" w:hAnsi="Times New Roman" w:cs="Times New Roman"/>
          <w:sz w:val="24"/>
          <w:szCs w:val="24"/>
        </w:rPr>
        <w:t xml:space="preserve"> dismissed his appeal against conviction and penalty, which</w:t>
      </w:r>
      <w:r w:rsidR="001008F9">
        <w:rPr>
          <w:rFonts w:ascii="Times New Roman" w:hAnsi="Times New Roman" w:cs="Times New Roman"/>
          <w:sz w:val="24"/>
          <w:szCs w:val="24"/>
        </w:rPr>
        <w:t xml:space="preserve"> was</w:t>
      </w:r>
      <w:r w:rsidR="00A265D6">
        <w:rPr>
          <w:rFonts w:ascii="Times New Roman" w:hAnsi="Times New Roman" w:cs="Times New Roman"/>
          <w:sz w:val="24"/>
          <w:szCs w:val="24"/>
        </w:rPr>
        <w:t xml:space="preserve"> imposed by a disciplinary hearing officer </w:t>
      </w:r>
      <w:r w:rsidR="00031D37">
        <w:rPr>
          <w:rFonts w:ascii="Times New Roman" w:hAnsi="Times New Roman" w:cs="Times New Roman"/>
          <w:sz w:val="24"/>
          <w:szCs w:val="24"/>
        </w:rPr>
        <w:t xml:space="preserve">[DHO] </w:t>
      </w:r>
      <w:r w:rsidR="004C1476">
        <w:rPr>
          <w:rFonts w:ascii="Times New Roman" w:hAnsi="Times New Roman" w:cs="Times New Roman"/>
          <w:sz w:val="24"/>
          <w:szCs w:val="24"/>
        </w:rPr>
        <w:t xml:space="preserve">on 7 September 2023. </w:t>
      </w:r>
      <w:r w:rsidR="00825167">
        <w:rPr>
          <w:rFonts w:ascii="Times New Roman" w:hAnsi="Times New Roman" w:cs="Times New Roman"/>
          <w:sz w:val="24"/>
          <w:szCs w:val="24"/>
        </w:rPr>
        <w:t xml:space="preserve"> </w:t>
      </w:r>
      <w:r w:rsidR="004C1476">
        <w:rPr>
          <w:rFonts w:ascii="Times New Roman" w:hAnsi="Times New Roman" w:cs="Times New Roman"/>
          <w:sz w:val="24"/>
          <w:szCs w:val="24"/>
        </w:rPr>
        <w:t>The conviction and penalty were confirmed by</w:t>
      </w:r>
      <w:r w:rsidR="001008F9">
        <w:rPr>
          <w:rFonts w:ascii="Times New Roman" w:hAnsi="Times New Roman" w:cs="Times New Roman"/>
          <w:sz w:val="24"/>
          <w:szCs w:val="24"/>
        </w:rPr>
        <w:t xml:space="preserve"> an Appeal</w:t>
      </w:r>
      <w:r w:rsidR="00A71624">
        <w:rPr>
          <w:rFonts w:ascii="Times New Roman" w:hAnsi="Times New Roman" w:cs="Times New Roman"/>
          <w:sz w:val="24"/>
          <w:szCs w:val="24"/>
        </w:rPr>
        <w:t xml:space="preserve"> </w:t>
      </w:r>
      <w:r w:rsidR="001008F9">
        <w:rPr>
          <w:rFonts w:ascii="Times New Roman" w:hAnsi="Times New Roman" w:cs="Times New Roman"/>
          <w:sz w:val="24"/>
          <w:szCs w:val="24"/>
        </w:rPr>
        <w:t xml:space="preserve">Hearing </w:t>
      </w:r>
      <w:r w:rsidR="004C1476">
        <w:rPr>
          <w:rFonts w:ascii="Times New Roman" w:hAnsi="Times New Roman" w:cs="Times New Roman"/>
          <w:sz w:val="24"/>
          <w:szCs w:val="24"/>
        </w:rPr>
        <w:t>Officer on 25 October 2023</w:t>
      </w:r>
      <w:r w:rsidR="001008F9">
        <w:rPr>
          <w:rFonts w:ascii="Times New Roman" w:hAnsi="Times New Roman" w:cs="Times New Roman"/>
          <w:sz w:val="24"/>
          <w:szCs w:val="24"/>
        </w:rPr>
        <w:t xml:space="preserve"> and then by an Appeal Officer on 6 November 2023</w:t>
      </w:r>
      <w:r w:rsidR="004C1476">
        <w:rPr>
          <w:rFonts w:ascii="Times New Roman" w:hAnsi="Times New Roman" w:cs="Times New Roman"/>
          <w:sz w:val="24"/>
          <w:szCs w:val="24"/>
        </w:rPr>
        <w:t>.</w:t>
      </w:r>
      <w:r w:rsidR="00A265D6">
        <w:rPr>
          <w:rFonts w:ascii="Times New Roman" w:hAnsi="Times New Roman" w:cs="Times New Roman"/>
          <w:sz w:val="24"/>
          <w:szCs w:val="24"/>
        </w:rPr>
        <w:t xml:space="preserve"> </w:t>
      </w:r>
    </w:p>
    <w:p w14:paraId="1D3CF125" w14:textId="77777777" w:rsidR="00C9243B" w:rsidRDefault="00C9243B" w:rsidP="00C9243B">
      <w:pPr>
        <w:spacing w:after="0" w:line="240" w:lineRule="auto"/>
        <w:ind w:left="450" w:hanging="450"/>
        <w:jc w:val="both"/>
        <w:rPr>
          <w:rFonts w:ascii="Times New Roman" w:hAnsi="Times New Roman" w:cs="Times New Roman"/>
          <w:sz w:val="24"/>
          <w:szCs w:val="24"/>
        </w:rPr>
      </w:pPr>
    </w:p>
    <w:p w14:paraId="1E889CB7" w14:textId="07AAE5F9" w:rsidR="001B79D0" w:rsidRPr="008078BB" w:rsidRDefault="001B79D0" w:rsidP="00D627E3">
      <w:pPr>
        <w:jc w:val="both"/>
        <w:rPr>
          <w:rFonts w:ascii="Times New Roman" w:hAnsi="Times New Roman" w:cs="Times New Roman"/>
          <w:b/>
          <w:bCs/>
          <w:sz w:val="24"/>
          <w:szCs w:val="24"/>
          <w:u w:val="single"/>
        </w:rPr>
      </w:pPr>
      <w:r w:rsidRPr="008078BB">
        <w:rPr>
          <w:rFonts w:ascii="Times New Roman" w:hAnsi="Times New Roman" w:cs="Times New Roman"/>
          <w:b/>
          <w:bCs/>
          <w:sz w:val="24"/>
          <w:szCs w:val="24"/>
          <w:u w:val="single"/>
        </w:rPr>
        <w:t>THE BACKGROUND FACTS</w:t>
      </w:r>
    </w:p>
    <w:p w14:paraId="69241639" w14:textId="102F29CF" w:rsidR="00AB171C" w:rsidRDefault="008022C7" w:rsidP="003C751E">
      <w:pPr>
        <w:jc w:val="both"/>
        <w:rPr>
          <w:rFonts w:ascii="Times New Roman" w:hAnsi="Times New Roman" w:cs="Times New Roman"/>
          <w:sz w:val="24"/>
          <w:szCs w:val="24"/>
        </w:rPr>
      </w:pPr>
      <w:r>
        <w:rPr>
          <w:rFonts w:ascii="Times New Roman" w:hAnsi="Times New Roman" w:cs="Times New Roman"/>
          <w:sz w:val="24"/>
          <w:szCs w:val="24"/>
        </w:rPr>
        <w:t xml:space="preserve">[2]   </w:t>
      </w:r>
      <w:r w:rsidR="00AB171C">
        <w:rPr>
          <w:rFonts w:ascii="Times New Roman" w:hAnsi="Times New Roman" w:cs="Times New Roman"/>
          <w:sz w:val="24"/>
          <w:szCs w:val="24"/>
        </w:rPr>
        <w:t>The facts are generally common cause.</w:t>
      </w:r>
    </w:p>
    <w:p w14:paraId="682320E3" w14:textId="77777777" w:rsidR="008078BB" w:rsidRDefault="008078BB" w:rsidP="008078BB">
      <w:pPr>
        <w:spacing w:after="0" w:line="240" w:lineRule="auto"/>
        <w:jc w:val="both"/>
        <w:rPr>
          <w:rFonts w:ascii="Times New Roman" w:hAnsi="Times New Roman" w:cs="Times New Roman"/>
          <w:sz w:val="24"/>
          <w:szCs w:val="24"/>
        </w:rPr>
      </w:pPr>
    </w:p>
    <w:p w14:paraId="3169F67D" w14:textId="64D04603" w:rsidR="003C751E" w:rsidRDefault="00AB171C" w:rsidP="008022C7">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B79D0" w:rsidRPr="00C57A85">
        <w:rPr>
          <w:rFonts w:ascii="Times New Roman" w:hAnsi="Times New Roman" w:cs="Times New Roman"/>
          <w:sz w:val="24"/>
          <w:szCs w:val="24"/>
        </w:rPr>
        <w:t>The appellant was employed as a</w:t>
      </w:r>
      <w:r w:rsidR="0069621B" w:rsidRPr="00C57A85">
        <w:rPr>
          <w:rFonts w:ascii="Times New Roman" w:hAnsi="Times New Roman" w:cs="Times New Roman"/>
          <w:sz w:val="24"/>
          <w:szCs w:val="24"/>
        </w:rPr>
        <w:t xml:space="preserve">n </w:t>
      </w:r>
      <w:r w:rsidR="00C41457" w:rsidRPr="00C57A85">
        <w:rPr>
          <w:rFonts w:ascii="Times New Roman" w:hAnsi="Times New Roman" w:cs="Times New Roman"/>
          <w:sz w:val="24"/>
          <w:szCs w:val="24"/>
        </w:rPr>
        <w:t>Accommodation</w:t>
      </w:r>
      <w:r w:rsidR="001B79D0" w:rsidRPr="00C57A85">
        <w:rPr>
          <w:rFonts w:ascii="Times New Roman" w:hAnsi="Times New Roman" w:cs="Times New Roman"/>
          <w:sz w:val="24"/>
          <w:szCs w:val="24"/>
        </w:rPr>
        <w:t xml:space="preserve"> Channel Manager</w:t>
      </w:r>
      <w:r w:rsidR="001008F9">
        <w:rPr>
          <w:rFonts w:ascii="Times New Roman" w:hAnsi="Times New Roman" w:cs="Times New Roman"/>
          <w:sz w:val="24"/>
          <w:szCs w:val="24"/>
        </w:rPr>
        <w:t xml:space="preserve"> by</w:t>
      </w:r>
      <w:r w:rsidR="001B79D0" w:rsidRPr="00C57A85">
        <w:rPr>
          <w:rFonts w:ascii="Times New Roman" w:hAnsi="Times New Roman" w:cs="Times New Roman"/>
          <w:sz w:val="24"/>
          <w:szCs w:val="24"/>
        </w:rPr>
        <w:t xml:space="preserve"> Gateway Stream, a </w:t>
      </w:r>
      <w:r w:rsidR="00C57A85" w:rsidRPr="00C57A85">
        <w:rPr>
          <w:rFonts w:ascii="Times New Roman" w:hAnsi="Times New Roman" w:cs="Times New Roman"/>
          <w:sz w:val="24"/>
          <w:szCs w:val="24"/>
        </w:rPr>
        <w:t xml:space="preserve">division </w:t>
      </w:r>
      <w:r w:rsidR="001B79D0" w:rsidRPr="00C57A85">
        <w:rPr>
          <w:rFonts w:ascii="Times New Roman" w:hAnsi="Times New Roman" w:cs="Times New Roman"/>
          <w:sz w:val="24"/>
          <w:szCs w:val="24"/>
        </w:rPr>
        <w:t>of the respondent company</w:t>
      </w:r>
      <w:r w:rsidR="00695D62">
        <w:rPr>
          <w:rFonts w:ascii="Times New Roman" w:hAnsi="Times New Roman" w:cs="Times New Roman"/>
          <w:sz w:val="24"/>
          <w:szCs w:val="24"/>
        </w:rPr>
        <w:t xml:space="preserve">, </w:t>
      </w:r>
      <w:r w:rsidR="00B50E81">
        <w:rPr>
          <w:rFonts w:ascii="Times New Roman" w:hAnsi="Times New Roman" w:cs="Times New Roman"/>
          <w:sz w:val="24"/>
          <w:szCs w:val="24"/>
        </w:rPr>
        <w:t>for a period of 9 years.</w:t>
      </w:r>
      <w:r w:rsidR="00C57A85" w:rsidRPr="00C57A85">
        <w:rPr>
          <w:rFonts w:ascii="Times New Roman" w:hAnsi="Times New Roman" w:cs="Times New Roman"/>
          <w:sz w:val="24"/>
          <w:szCs w:val="24"/>
        </w:rPr>
        <w:t xml:space="preserve"> </w:t>
      </w:r>
      <w:r w:rsidR="00AF6521">
        <w:rPr>
          <w:rFonts w:ascii="Times New Roman" w:hAnsi="Times New Roman" w:cs="Times New Roman"/>
          <w:sz w:val="24"/>
          <w:szCs w:val="24"/>
        </w:rPr>
        <w:t xml:space="preserve"> </w:t>
      </w:r>
      <w:r w:rsidR="00C57A85" w:rsidRPr="00C57A85">
        <w:rPr>
          <w:rFonts w:ascii="Times New Roman" w:hAnsi="Times New Roman" w:cs="Times New Roman"/>
          <w:sz w:val="24"/>
          <w:szCs w:val="24"/>
        </w:rPr>
        <w:t xml:space="preserve">The respondent is a public company listed on the local bourse. </w:t>
      </w:r>
      <w:r w:rsidR="00AF6521">
        <w:rPr>
          <w:rFonts w:ascii="Times New Roman" w:hAnsi="Times New Roman" w:cs="Times New Roman"/>
          <w:sz w:val="24"/>
          <w:szCs w:val="24"/>
        </w:rPr>
        <w:t xml:space="preserve"> </w:t>
      </w:r>
      <w:r w:rsidR="00C57A85" w:rsidRPr="00C57A85">
        <w:rPr>
          <w:rFonts w:ascii="Times New Roman" w:hAnsi="Times New Roman" w:cs="Times New Roman"/>
          <w:sz w:val="24"/>
          <w:szCs w:val="24"/>
        </w:rPr>
        <w:t>It operates in the hospitality industry where it offers accommodation, catering, conference, events, and beverage services to a wide array of customers.</w:t>
      </w:r>
    </w:p>
    <w:p w14:paraId="3BBC48C3" w14:textId="6FF463C4" w:rsidR="00C9243B" w:rsidRDefault="001B79D0" w:rsidP="00C9243B">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w:t>
      </w:r>
      <w:r w:rsidR="00AB171C">
        <w:rPr>
          <w:rFonts w:ascii="Times New Roman" w:hAnsi="Times New Roman" w:cs="Times New Roman"/>
          <w:sz w:val="24"/>
          <w:szCs w:val="24"/>
        </w:rPr>
        <w:t>4</w:t>
      </w:r>
      <w:r>
        <w:rPr>
          <w:rFonts w:ascii="Times New Roman" w:hAnsi="Times New Roman" w:cs="Times New Roman"/>
          <w:sz w:val="24"/>
          <w:szCs w:val="24"/>
        </w:rPr>
        <w:t>]</w:t>
      </w:r>
      <w:r w:rsidR="003C751E">
        <w:rPr>
          <w:rFonts w:ascii="Times New Roman" w:hAnsi="Times New Roman" w:cs="Times New Roman"/>
          <w:sz w:val="24"/>
          <w:szCs w:val="24"/>
        </w:rPr>
        <w:tab/>
        <w:t>During the period between 10</w:t>
      </w:r>
      <w:r w:rsidR="00A03732" w:rsidRPr="00A03732">
        <w:rPr>
          <w:rFonts w:ascii="Times New Roman" w:hAnsi="Times New Roman" w:cs="Times New Roman"/>
          <w:sz w:val="24"/>
          <w:szCs w:val="24"/>
          <w:vertAlign w:val="superscript"/>
        </w:rPr>
        <w:t>th</w:t>
      </w:r>
      <w:r w:rsidR="00A03732">
        <w:rPr>
          <w:rFonts w:ascii="Times New Roman" w:hAnsi="Times New Roman" w:cs="Times New Roman"/>
          <w:sz w:val="24"/>
          <w:szCs w:val="24"/>
        </w:rPr>
        <w:t xml:space="preserve"> </w:t>
      </w:r>
      <w:r w:rsidR="003C751E">
        <w:rPr>
          <w:rFonts w:ascii="Times New Roman" w:hAnsi="Times New Roman" w:cs="Times New Roman"/>
          <w:sz w:val="24"/>
          <w:szCs w:val="24"/>
        </w:rPr>
        <w:t>and 14</w:t>
      </w:r>
      <w:r w:rsidR="00A03732" w:rsidRPr="00A03732">
        <w:rPr>
          <w:rFonts w:ascii="Times New Roman" w:hAnsi="Times New Roman" w:cs="Times New Roman"/>
          <w:sz w:val="24"/>
          <w:szCs w:val="24"/>
          <w:vertAlign w:val="superscript"/>
        </w:rPr>
        <w:t>th</w:t>
      </w:r>
      <w:r w:rsidR="00A03732">
        <w:rPr>
          <w:rFonts w:ascii="Times New Roman" w:hAnsi="Times New Roman" w:cs="Times New Roman"/>
          <w:sz w:val="24"/>
          <w:szCs w:val="24"/>
        </w:rPr>
        <w:t xml:space="preserve"> </w:t>
      </w:r>
      <w:r w:rsidR="003C751E">
        <w:rPr>
          <w:rFonts w:ascii="Times New Roman" w:hAnsi="Times New Roman" w:cs="Times New Roman"/>
          <w:sz w:val="24"/>
          <w:szCs w:val="24"/>
        </w:rPr>
        <w:t xml:space="preserve">October 2022, the appellant </w:t>
      </w:r>
      <w:r w:rsidR="00F46529">
        <w:rPr>
          <w:rFonts w:ascii="Times New Roman" w:hAnsi="Times New Roman" w:cs="Times New Roman"/>
          <w:sz w:val="24"/>
          <w:szCs w:val="24"/>
        </w:rPr>
        <w:t>process</w:t>
      </w:r>
      <w:r w:rsidR="003C751E">
        <w:rPr>
          <w:rFonts w:ascii="Times New Roman" w:hAnsi="Times New Roman" w:cs="Times New Roman"/>
          <w:sz w:val="24"/>
          <w:szCs w:val="24"/>
        </w:rPr>
        <w:t>ed the booking requirements for accommodation of a corporate entity called Feedmix</w:t>
      </w:r>
      <w:r w:rsidR="008637BF">
        <w:rPr>
          <w:rFonts w:ascii="Times New Roman" w:hAnsi="Times New Roman" w:cs="Times New Roman"/>
          <w:sz w:val="24"/>
          <w:szCs w:val="24"/>
        </w:rPr>
        <w:t xml:space="preserve">, which was represented by its sales manager, Debra Wolbert. </w:t>
      </w:r>
      <w:r w:rsidR="003C751E">
        <w:rPr>
          <w:rFonts w:ascii="Times New Roman" w:hAnsi="Times New Roman" w:cs="Times New Roman"/>
          <w:sz w:val="24"/>
          <w:szCs w:val="24"/>
        </w:rPr>
        <w:t>Feedmix was a re</w:t>
      </w:r>
      <w:r w:rsidR="00AF6521">
        <w:rPr>
          <w:rFonts w:ascii="Times New Roman" w:hAnsi="Times New Roman" w:cs="Times New Roman"/>
          <w:sz w:val="24"/>
          <w:szCs w:val="24"/>
        </w:rPr>
        <w:t xml:space="preserve">gular client of the respondent.  </w:t>
      </w:r>
      <w:r w:rsidR="008637BF">
        <w:rPr>
          <w:rFonts w:ascii="Times New Roman" w:hAnsi="Times New Roman" w:cs="Times New Roman"/>
          <w:sz w:val="24"/>
          <w:szCs w:val="24"/>
        </w:rPr>
        <w:t xml:space="preserve">The duties of the appellant </w:t>
      </w:r>
      <w:r w:rsidR="00DF3812">
        <w:rPr>
          <w:rFonts w:ascii="Times New Roman" w:hAnsi="Times New Roman" w:cs="Times New Roman"/>
          <w:sz w:val="24"/>
          <w:szCs w:val="24"/>
        </w:rPr>
        <w:t xml:space="preserve">to Feedmix </w:t>
      </w:r>
      <w:r w:rsidR="008637BF">
        <w:rPr>
          <w:rFonts w:ascii="Times New Roman" w:hAnsi="Times New Roman" w:cs="Times New Roman"/>
          <w:sz w:val="24"/>
          <w:szCs w:val="24"/>
        </w:rPr>
        <w:t xml:space="preserve">were firstly, to provide a quotation for accommodation for two </w:t>
      </w:r>
      <w:r w:rsidR="00A03732">
        <w:rPr>
          <w:rFonts w:ascii="Times New Roman" w:hAnsi="Times New Roman" w:cs="Times New Roman"/>
          <w:sz w:val="24"/>
          <w:szCs w:val="24"/>
        </w:rPr>
        <w:t xml:space="preserve">people </w:t>
      </w:r>
      <w:r w:rsidR="008637BF">
        <w:rPr>
          <w:rFonts w:ascii="Times New Roman" w:hAnsi="Times New Roman" w:cs="Times New Roman"/>
          <w:sz w:val="24"/>
          <w:szCs w:val="24"/>
        </w:rPr>
        <w:t>at Short Road Lodge, Kwekwe. Secondly</w:t>
      </w:r>
      <w:r w:rsidR="00E57B30">
        <w:rPr>
          <w:rFonts w:ascii="Times New Roman" w:hAnsi="Times New Roman" w:cs="Times New Roman"/>
          <w:sz w:val="24"/>
          <w:szCs w:val="24"/>
        </w:rPr>
        <w:t xml:space="preserve">, </w:t>
      </w:r>
      <w:r w:rsidR="002213B4">
        <w:rPr>
          <w:rFonts w:ascii="Times New Roman" w:hAnsi="Times New Roman" w:cs="Times New Roman"/>
          <w:sz w:val="24"/>
          <w:szCs w:val="24"/>
        </w:rPr>
        <w:t xml:space="preserve">to </w:t>
      </w:r>
      <w:r w:rsidR="00E57B30">
        <w:rPr>
          <w:rFonts w:ascii="Times New Roman" w:hAnsi="Times New Roman" w:cs="Times New Roman"/>
          <w:sz w:val="24"/>
          <w:szCs w:val="24"/>
        </w:rPr>
        <w:t>provide on request</w:t>
      </w:r>
      <w:r w:rsidR="00DF3812">
        <w:rPr>
          <w:rFonts w:ascii="Times New Roman" w:hAnsi="Times New Roman" w:cs="Times New Roman"/>
          <w:sz w:val="24"/>
          <w:szCs w:val="24"/>
        </w:rPr>
        <w:t xml:space="preserve"> </w:t>
      </w:r>
      <w:r w:rsidR="00E57B30">
        <w:rPr>
          <w:rFonts w:ascii="Times New Roman" w:hAnsi="Times New Roman" w:cs="Times New Roman"/>
          <w:sz w:val="24"/>
          <w:szCs w:val="24"/>
        </w:rPr>
        <w:t xml:space="preserve">a current tax clearance certificate to the customer. </w:t>
      </w:r>
      <w:r w:rsidR="00AF6521">
        <w:rPr>
          <w:rFonts w:ascii="Times New Roman" w:hAnsi="Times New Roman" w:cs="Times New Roman"/>
          <w:sz w:val="24"/>
          <w:szCs w:val="24"/>
        </w:rPr>
        <w:t xml:space="preserve"> </w:t>
      </w:r>
      <w:r w:rsidR="00E57B30">
        <w:rPr>
          <w:rFonts w:ascii="Times New Roman" w:hAnsi="Times New Roman" w:cs="Times New Roman"/>
          <w:sz w:val="24"/>
          <w:szCs w:val="24"/>
        </w:rPr>
        <w:t xml:space="preserve">Thirdly, on proof of payment, to book the client at the lodge in question. </w:t>
      </w:r>
      <w:r w:rsidR="00AF6521">
        <w:rPr>
          <w:rFonts w:ascii="Times New Roman" w:hAnsi="Times New Roman" w:cs="Times New Roman"/>
          <w:sz w:val="24"/>
          <w:szCs w:val="24"/>
        </w:rPr>
        <w:t xml:space="preserve"> </w:t>
      </w:r>
      <w:r w:rsidR="00E57B30">
        <w:rPr>
          <w:rFonts w:ascii="Times New Roman" w:hAnsi="Times New Roman" w:cs="Times New Roman"/>
          <w:sz w:val="24"/>
          <w:szCs w:val="24"/>
        </w:rPr>
        <w:t>Lastly, in the event that the appellant took leave of absence before completing the booking process, he was to hand over the incomplete booking to his head of office or an associate employee</w:t>
      </w:r>
      <w:r w:rsidR="00DF3812">
        <w:rPr>
          <w:rFonts w:ascii="Times New Roman" w:hAnsi="Times New Roman" w:cs="Times New Roman"/>
          <w:sz w:val="24"/>
          <w:szCs w:val="24"/>
        </w:rPr>
        <w:t>, who would complete the booking</w:t>
      </w:r>
      <w:r w:rsidR="00E57B30">
        <w:rPr>
          <w:rFonts w:ascii="Times New Roman" w:hAnsi="Times New Roman" w:cs="Times New Roman"/>
          <w:sz w:val="24"/>
          <w:szCs w:val="24"/>
        </w:rPr>
        <w:t>.</w:t>
      </w:r>
    </w:p>
    <w:p w14:paraId="336A135C" w14:textId="337C1EF4" w:rsidR="003C751E" w:rsidRDefault="00E57B30" w:rsidP="008022C7">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AB171C">
        <w:rPr>
          <w:rFonts w:ascii="Times New Roman" w:hAnsi="Times New Roman" w:cs="Times New Roman"/>
          <w:sz w:val="24"/>
          <w:szCs w:val="24"/>
        </w:rPr>
        <w:t>5</w:t>
      </w:r>
      <w:r w:rsidR="00AF6521">
        <w:rPr>
          <w:rFonts w:ascii="Times New Roman" w:hAnsi="Times New Roman" w:cs="Times New Roman"/>
          <w:sz w:val="24"/>
          <w:szCs w:val="24"/>
        </w:rPr>
        <w:t xml:space="preserve">]   </w:t>
      </w:r>
      <w:r w:rsidR="00DF3812">
        <w:rPr>
          <w:rFonts w:ascii="Times New Roman" w:hAnsi="Times New Roman" w:cs="Times New Roman"/>
          <w:sz w:val="24"/>
          <w:szCs w:val="24"/>
        </w:rPr>
        <w:t>Th</w:t>
      </w:r>
      <w:r>
        <w:rPr>
          <w:rFonts w:ascii="Times New Roman" w:hAnsi="Times New Roman" w:cs="Times New Roman"/>
          <w:sz w:val="24"/>
          <w:szCs w:val="24"/>
        </w:rPr>
        <w:t xml:space="preserve">e </w:t>
      </w:r>
      <w:r w:rsidR="00EA6815">
        <w:rPr>
          <w:rFonts w:ascii="Times New Roman" w:hAnsi="Times New Roman" w:cs="Times New Roman"/>
          <w:sz w:val="24"/>
          <w:szCs w:val="24"/>
        </w:rPr>
        <w:t xml:space="preserve">appellant </w:t>
      </w:r>
      <w:r>
        <w:rPr>
          <w:rFonts w:ascii="Times New Roman" w:hAnsi="Times New Roman" w:cs="Times New Roman"/>
          <w:sz w:val="24"/>
          <w:szCs w:val="24"/>
        </w:rPr>
        <w:t>took a medical emergency leave before completing the booking process on 11 October 2022</w:t>
      </w:r>
      <w:r w:rsidR="00BA0BCE">
        <w:rPr>
          <w:rFonts w:ascii="Times New Roman" w:hAnsi="Times New Roman" w:cs="Times New Roman"/>
          <w:sz w:val="24"/>
          <w:szCs w:val="24"/>
        </w:rPr>
        <w:t xml:space="preserve">. </w:t>
      </w:r>
      <w:r w:rsidR="001C221F">
        <w:rPr>
          <w:rFonts w:ascii="Times New Roman" w:hAnsi="Times New Roman" w:cs="Times New Roman"/>
          <w:sz w:val="24"/>
          <w:szCs w:val="24"/>
        </w:rPr>
        <w:t xml:space="preserve"> </w:t>
      </w:r>
      <w:r w:rsidR="00BA0BCE">
        <w:rPr>
          <w:rFonts w:ascii="Times New Roman" w:hAnsi="Times New Roman" w:cs="Times New Roman"/>
          <w:sz w:val="24"/>
          <w:szCs w:val="24"/>
        </w:rPr>
        <w:t xml:space="preserve">He left his station without handing over the </w:t>
      </w:r>
      <w:r w:rsidR="00FA07CF">
        <w:rPr>
          <w:rFonts w:ascii="Times New Roman" w:hAnsi="Times New Roman" w:cs="Times New Roman"/>
          <w:sz w:val="24"/>
          <w:szCs w:val="24"/>
        </w:rPr>
        <w:t xml:space="preserve">incomplete </w:t>
      </w:r>
      <w:r w:rsidR="00BA0BCE">
        <w:rPr>
          <w:rFonts w:ascii="Times New Roman" w:hAnsi="Times New Roman" w:cs="Times New Roman"/>
          <w:sz w:val="24"/>
          <w:szCs w:val="24"/>
        </w:rPr>
        <w:t xml:space="preserve">booking. </w:t>
      </w:r>
      <w:r w:rsidR="001C221F">
        <w:rPr>
          <w:rFonts w:ascii="Times New Roman" w:hAnsi="Times New Roman" w:cs="Times New Roman"/>
          <w:sz w:val="24"/>
          <w:szCs w:val="24"/>
        </w:rPr>
        <w:t xml:space="preserve"> </w:t>
      </w:r>
      <w:r w:rsidR="00BA0BCE">
        <w:rPr>
          <w:rFonts w:ascii="Times New Roman" w:hAnsi="Times New Roman" w:cs="Times New Roman"/>
          <w:sz w:val="24"/>
          <w:szCs w:val="24"/>
        </w:rPr>
        <w:t xml:space="preserve">Whilst off duty, he posted an email to which was attached an expired tax </w:t>
      </w:r>
      <w:r w:rsidR="00DF3812">
        <w:rPr>
          <w:rFonts w:ascii="Times New Roman" w:hAnsi="Times New Roman" w:cs="Times New Roman"/>
          <w:sz w:val="24"/>
          <w:szCs w:val="24"/>
        </w:rPr>
        <w:t xml:space="preserve">clearance </w:t>
      </w:r>
      <w:r w:rsidR="00BA0BCE">
        <w:rPr>
          <w:rFonts w:ascii="Times New Roman" w:hAnsi="Times New Roman" w:cs="Times New Roman"/>
          <w:sz w:val="24"/>
          <w:szCs w:val="24"/>
        </w:rPr>
        <w:t>certificate.</w:t>
      </w:r>
      <w:r w:rsidR="001C221F">
        <w:rPr>
          <w:rFonts w:ascii="Times New Roman" w:hAnsi="Times New Roman" w:cs="Times New Roman"/>
          <w:sz w:val="24"/>
          <w:szCs w:val="24"/>
        </w:rPr>
        <w:t xml:space="preserve">  </w:t>
      </w:r>
      <w:r w:rsidR="001F2894">
        <w:rPr>
          <w:rFonts w:ascii="Times New Roman" w:hAnsi="Times New Roman" w:cs="Times New Roman"/>
          <w:sz w:val="24"/>
          <w:szCs w:val="24"/>
        </w:rPr>
        <w:t xml:space="preserve">He corrected his error with another e-mail at 2am on 12 October 2022. </w:t>
      </w:r>
      <w:r w:rsidR="001C221F">
        <w:rPr>
          <w:rFonts w:ascii="Times New Roman" w:hAnsi="Times New Roman" w:cs="Times New Roman"/>
          <w:sz w:val="24"/>
          <w:szCs w:val="24"/>
        </w:rPr>
        <w:t xml:space="preserve"> </w:t>
      </w:r>
      <w:r w:rsidR="001F2894">
        <w:rPr>
          <w:rFonts w:ascii="Times New Roman" w:hAnsi="Times New Roman" w:cs="Times New Roman"/>
          <w:sz w:val="24"/>
          <w:szCs w:val="24"/>
        </w:rPr>
        <w:t xml:space="preserve">The client’s delegates arrived at the lodge </w:t>
      </w:r>
      <w:r w:rsidR="00DF3812">
        <w:rPr>
          <w:rFonts w:ascii="Times New Roman" w:hAnsi="Times New Roman" w:cs="Times New Roman"/>
          <w:sz w:val="24"/>
          <w:szCs w:val="24"/>
        </w:rPr>
        <w:t>i</w:t>
      </w:r>
      <w:r w:rsidR="001F2894">
        <w:rPr>
          <w:rFonts w:ascii="Times New Roman" w:hAnsi="Times New Roman" w:cs="Times New Roman"/>
          <w:sz w:val="24"/>
          <w:szCs w:val="24"/>
        </w:rPr>
        <w:t>n the evening of th</w:t>
      </w:r>
      <w:r w:rsidR="00DF3812">
        <w:rPr>
          <w:rFonts w:ascii="Times New Roman" w:hAnsi="Times New Roman" w:cs="Times New Roman"/>
          <w:sz w:val="24"/>
          <w:szCs w:val="24"/>
        </w:rPr>
        <w:t>e same</w:t>
      </w:r>
      <w:r w:rsidR="001F2894">
        <w:rPr>
          <w:rFonts w:ascii="Times New Roman" w:hAnsi="Times New Roman" w:cs="Times New Roman"/>
          <w:sz w:val="24"/>
          <w:szCs w:val="24"/>
        </w:rPr>
        <w:t xml:space="preserve"> day. </w:t>
      </w:r>
      <w:r w:rsidR="001C221F">
        <w:rPr>
          <w:rFonts w:ascii="Times New Roman" w:hAnsi="Times New Roman" w:cs="Times New Roman"/>
          <w:sz w:val="24"/>
          <w:szCs w:val="24"/>
        </w:rPr>
        <w:t xml:space="preserve"> </w:t>
      </w:r>
      <w:r w:rsidR="001F2894">
        <w:rPr>
          <w:rFonts w:ascii="Times New Roman" w:hAnsi="Times New Roman" w:cs="Times New Roman"/>
          <w:sz w:val="24"/>
          <w:szCs w:val="24"/>
        </w:rPr>
        <w:t xml:space="preserve">They failed to check in because the appellant had not booked them in. </w:t>
      </w:r>
      <w:r w:rsidR="001C221F">
        <w:rPr>
          <w:rFonts w:ascii="Times New Roman" w:hAnsi="Times New Roman" w:cs="Times New Roman"/>
          <w:sz w:val="24"/>
          <w:szCs w:val="24"/>
        </w:rPr>
        <w:t xml:space="preserve"> </w:t>
      </w:r>
      <w:r w:rsidR="001F2894">
        <w:rPr>
          <w:rFonts w:ascii="Times New Roman" w:hAnsi="Times New Roman" w:cs="Times New Roman"/>
          <w:sz w:val="24"/>
          <w:szCs w:val="24"/>
        </w:rPr>
        <w:t xml:space="preserve">They made alternative arrangements </w:t>
      </w:r>
      <w:r w:rsidR="000102C3">
        <w:rPr>
          <w:rFonts w:ascii="Times New Roman" w:hAnsi="Times New Roman" w:cs="Times New Roman"/>
          <w:sz w:val="24"/>
          <w:szCs w:val="24"/>
        </w:rPr>
        <w:t xml:space="preserve">at </w:t>
      </w:r>
      <w:r w:rsidR="00DF3812">
        <w:rPr>
          <w:rFonts w:ascii="Times New Roman" w:hAnsi="Times New Roman" w:cs="Times New Roman"/>
          <w:sz w:val="24"/>
          <w:szCs w:val="24"/>
        </w:rPr>
        <w:t>another lodge in Kwekwe.</w:t>
      </w:r>
    </w:p>
    <w:p w14:paraId="11870615" w14:textId="71074E64" w:rsidR="001F2894" w:rsidRDefault="001F2894" w:rsidP="00612101">
      <w:pPr>
        <w:jc w:val="both"/>
        <w:rPr>
          <w:rFonts w:ascii="Times New Roman" w:hAnsi="Times New Roman" w:cs="Times New Roman"/>
          <w:sz w:val="24"/>
          <w:szCs w:val="24"/>
        </w:rPr>
      </w:pPr>
      <w:r>
        <w:rPr>
          <w:rFonts w:ascii="Times New Roman" w:hAnsi="Times New Roman" w:cs="Times New Roman"/>
          <w:sz w:val="24"/>
          <w:szCs w:val="24"/>
        </w:rPr>
        <w:t>[</w:t>
      </w:r>
      <w:r w:rsidR="00AB171C">
        <w:rPr>
          <w:rFonts w:ascii="Times New Roman" w:hAnsi="Times New Roman" w:cs="Times New Roman"/>
          <w:sz w:val="24"/>
          <w:szCs w:val="24"/>
        </w:rPr>
        <w:t>6</w:t>
      </w:r>
      <w:proofErr w:type="gramStart"/>
      <w:r>
        <w:rPr>
          <w:rFonts w:ascii="Times New Roman" w:hAnsi="Times New Roman" w:cs="Times New Roman"/>
          <w:sz w:val="24"/>
          <w:szCs w:val="24"/>
        </w:rPr>
        <w:t>]</w:t>
      </w:r>
      <w:r w:rsidR="00C9243B">
        <w:rPr>
          <w:rFonts w:ascii="Times New Roman" w:hAnsi="Times New Roman" w:cs="Times New Roman"/>
          <w:sz w:val="24"/>
          <w:szCs w:val="24"/>
        </w:rPr>
        <w:t xml:space="preserve">  </w:t>
      </w:r>
      <w:r w:rsidR="008F4B0D">
        <w:rPr>
          <w:rFonts w:ascii="Times New Roman" w:hAnsi="Times New Roman" w:cs="Times New Roman"/>
          <w:sz w:val="24"/>
          <w:szCs w:val="24"/>
        </w:rPr>
        <w:t>The</w:t>
      </w:r>
      <w:proofErr w:type="gramEnd"/>
      <w:r w:rsidR="008F4B0D">
        <w:rPr>
          <w:rFonts w:ascii="Times New Roman" w:hAnsi="Times New Roman" w:cs="Times New Roman"/>
          <w:sz w:val="24"/>
          <w:szCs w:val="24"/>
        </w:rPr>
        <w:t xml:space="preserve"> client </w:t>
      </w:r>
      <w:r w:rsidR="00AE27F6">
        <w:rPr>
          <w:rFonts w:ascii="Times New Roman" w:hAnsi="Times New Roman" w:cs="Times New Roman"/>
          <w:sz w:val="24"/>
          <w:szCs w:val="24"/>
        </w:rPr>
        <w:t>submitt</w:t>
      </w:r>
      <w:r w:rsidR="008F4B0D">
        <w:rPr>
          <w:rFonts w:ascii="Times New Roman" w:hAnsi="Times New Roman" w:cs="Times New Roman"/>
          <w:sz w:val="24"/>
          <w:szCs w:val="24"/>
        </w:rPr>
        <w:t>ed the following complaint to the respondent on 14 October 2022.</w:t>
      </w:r>
    </w:p>
    <w:p w14:paraId="413A156B" w14:textId="55976826" w:rsidR="003114DF" w:rsidRDefault="000102C3" w:rsidP="007F420C">
      <w:pPr>
        <w:ind w:left="1418"/>
        <w:jc w:val="both"/>
        <w:rPr>
          <w:rFonts w:ascii="Times New Roman" w:hAnsi="Times New Roman" w:cs="Times New Roman"/>
          <w:sz w:val="24"/>
          <w:szCs w:val="24"/>
        </w:rPr>
      </w:pPr>
      <w:r>
        <w:rPr>
          <w:rFonts w:ascii="Times New Roman" w:hAnsi="Times New Roman" w:cs="Times New Roman"/>
          <w:sz w:val="24"/>
          <w:szCs w:val="24"/>
        </w:rPr>
        <w:t>“</w:t>
      </w:r>
      <w:r w:rsidR="00CF1BDA">
        <w:rPr>
          <w:rFonts w:ascii="Times New Roman" w:hAnsi="Times New Roman" w:cs="Times New Roman"/>
          <w:sz w:val="24"/>
          <w:szCs w:val="24"/>
        </w:rPr>
        <w:t xml:space="preserve">You failed to secure accommodation for me. </w:t>
      </w:r>
      <w:r w:rsidR="001C221F">
        <w:rPr>
          <w:rFonts w:ascii="Times New Roman" w:hAnsi="Times New Roman" w:cs="Times New Roman"/>
          <w:sz w:val="24"/>
          <w:szCs w:val="24"/>
        </w:rPr>
        <w:t xml:space="preserve"> </w:t>
      </w:r>
      <w:r w:rsidR="00CF1BDA">
        <w:rPr>
          <w:rFonts w:ascii="Times New Roman" w:hAnsi="Times New Roman" w:cs="Times New Roman"/>
          <w:sz w:val="24"/>
          <w:szCs w:val="24"/>
        </w:rPr>
        <w:t>I told you I was travelling to Kwekwe on Wednesday</w:t>
      </w:r>
      <w:r w:rsidR="008B48E5">
        <w:rPr>
          <w:rFonts w:ascii="Times New Roman" w:hAnsi="Times New Roman" w:cs="Times New Roman"/>
          <w:sz w:val="24"/>
          <w:szCs w:val="24"/>
        </w:rPr>
        <w:t xml:space="preserve"> and could not arrange everything as I would be traveling. </w:t>
      </w:r>
      <w:r w:rsidR="001C221F">
        <w:rPr>
          <w:rFonts w:ascii="Times New Roman" w:hAnsi="Times New Roman" w:cs="Times New Roman"/>
          <w:sz w:val="24"/>
          <w:szCs w:val="24"/>
        </w:rPr>
        <w:t xml:space="preserve"> </w:t>
      </w:r>
      <w:r w:rsidR="008B48E5">
        <w:rPr>
          <w:rFonts w:ascii="Times New Roman" w:hAnsi="Times New Roman" w:cs="Times New Roman"/>
          <w:sz w:val="24"/>
          <w:szCs w:val="24"/>
        </w:rPr>
        <w:t xml:space="preserve">When we reached </w:t>
      </w:r>
      <w:r w:rsidR="00AE3CC4">
        <w:rPr>
          <w:rFonts w:ascii="Times New Roman" w:hAnsi="Times New Roman" w:cs="Times New Roman"/>
          <w:sz w:val="24"/>
          <w:szCs w:val="24"/>
        </w:rPr>
        <w:t xml:space="preserve">at </w:t>
      </w:r>
      <w:r w:rsidR="008B48E5">
        <w:rPr>
          <w:rFonts w:ascii="Times New Roman" w:hAnsi="Times New Roman" w:cs="Times New Roman"/>
          <w:sz w:val="24"/>
          <w:szCs w:val="24"/>
        </w:rPr>
        <w:t xml:space="preserve">the said </w:t>
      </w:r>
      <w:r w:rsidR="00AE3CC4">
        <w:rPr>
          <w:rFonts w:ascii="Times New Roman" w:hAnsi="Times New Roman" w:cs="Times New Roman"/>
          <w:sz w:val="24"/>
          <w:szCs w:val="24"/>
        </w:rPr>
        <w:t>L</w:t>
      </w:r>
      <w:r w:rsidR="008B48E5">
        <w:rPr>
          <w:rFonts w:ascii="Times New Roman" w:hAnsi="Times New Roman" w:cs="Times New Roman"/>
          <w:sz w:val="24"/>
          <w:szCs w:val="24"/>
        </w:rPr>
        <w:t>odge we were told that there were no reservations made nor was there any confirmation.</w:t>
      </w:r>
      <w:r w:rsidR="00AE3CC4">
        <w:rPr>
          <w:rFonts w:ascii="Times New Roman" w:hAnsi="Times New Roman" w:cs="Times New Roman"/>
          <w:sz w:val="24"/>
          <w:szCs w:val="24"/>
        </w:rPr>
        <w:t xml:space="preserve"> </w:t>
      </w:r>
      <w:r w:rsidR="001C221F">
        <w:rPr>
          <w:rFonts w:ascii="Times New Roman" w:hAnsi="Times New Roman" w:cs="Times New Roman"/>
          <w:sz w:val="24"/>
          <w:szCs w:val="24"/>
        </w:rPr>
        <w:t xml:space="preserve"> </w:t>
      </w:r>
      <w:r w:rsidR="00AE3CC4">
        <w:rPr>
          <w:rFonts w:ascii="Times New Roman" w:hAnsi="Times New Roman" w:cs="Times New Roman"/>
          <w:sz w:val="24"/>
          <w:szCs w:val="24"/>
        </w:rPr>
        <w:t>You could not even give me a Tax Clearance on time, instead you gave me useless information which I had not requested, furthermore an expired Tax Clearance which shows you are incompetent and have no customer care at heart.</w:t>
      </w:r>
      <w:r w:rsidR="00330075">
        <w:rPr>
          <w:rFonts w:ascii="Times New Roman" w:hAnsi="Times New Roman" w:cs="Times New Roman"/>
          <w:sz w:val="24"/>
          <w:szCs w:val="24"/>
        </w:rPr>
        <w:t xml:space="preserve"> </w:t>
      </w:r>
      <w:r w:rsidR="001C221F">
        <w:rPr>
          <w:rFonts w:ascii="Times New Roman" w:hAnsi="Times New Roman" w:cs="Times New Roman"/>
          <w:sz w:val="24"/>
          <w:szCs w:val="24"/>
        </w:rPr>
        <w:t xml:space="preserve"> </w:t>
      </w:r>
      <w:r w:rsidR="00330075">
        <w:rPr>
          <w:rFonts w:ascii="Times New Roman" w:hAnsi="Times New Roman" w:cs="Times New Roman"/>
          <w:sz w:val="24"/>
          <w:szCs w:val="24"/>
        </w:rPr>
        <w:t>WhatsApp conversations and subsequent telephone calls prove that I confirmed the booking.</w:t>
      </w:r>
      <w:r w:rsidR="003114DF">
        <w:rPr>
          <w:rFonts w:ascii="Times New Roman" w:hAnsi="Times New Roman" w:cs="Times New Roman"/>
          <w:sz w:val="24"/>
          <w:szCs w:val="24"/>
        </w:rPr>
        <w:t xml:space="preserve"> Please not</w:t>
      </w:r>
      <w:r w:rsidR="001C221F">
        <w:rPr>
          <w:rFonts w:ascii="Times New Roman" w:hAnsi="Times New Roman" w:cs="Times New Roman"/>
          <w:sz w:val="24"/>
          <w:szCs w:val="24"/>
        </w:rPr>
        <w:t>e</w:t>
      </w:r>
      <w:r w:rsidR="003114DF">
        <w:rPr>
          <w:rFonts w:ascii="Times New Roman" w:hAnsi="Times New Roman" w:cs="Times New Roman"/>
          <w:sz w:val="24"/>
          <w:szCs w:val="24"/>
        </w:rPr>
        <w:t xml:space="preserve"> that Gateway Stream did not make any bookings.</w:t>
      </w:r>
    </w:p>
    <w:p w14:paraId="27622E98" w14:textId="2C836AB9" w:rsidR="009D2504" w:rsidRDefault="003114DF" w:rsidP="007F420C">
      <w:pPr>
        <w:ind w:left="1418"/>
        <w:jc w:val="both"/>
        <w:rPr>
          <w:rFonts w:ascii="Times New Roman" w:hAnsi="Times New Roman" w:cs="Times New Roman"/>
          <w:sz w:val="24"/>
          <w:szCs w:val="24"/>
        </w:rPr>
      </w:pPr>
      <w:r>
        <w:rPr>
          <w:rFonts w:ascii="Times New Roman" w:hAnsi="Times New Roman" w:cs="Times New Roman"/>
          <w:sz w:val="24"/>
          <w:szCs w:val="24"/>
        </w:rPr>
        <w:t>I am very disappointed by the way Tanya handled my booking.</w:t>
      </w:r>
      <w:r w:rsidR="001C221F">
        <w:rPr>
          <w:rFonts w:ascii="Times New Roman" w:hAnsi="Times New Roman" w:cs="Times New Roman"/>
          <w:sz w:val="24"/>
          <w:szCs w:val="24"/>
        </w:rPr>
        <w:t xml:space="preserve">  </w:t>
      </w:r>
      <w:r w:rsidR="001A03FE">
        <w:rPr>
          <w:rFonts w:ascii="Times New Roman" w:hAnsi="Times New Roman" w:cs="Times New Roman"/>
          <w:sz w:val="24"/>
          <w:szCs w:val="24"/>
        </w:rPr>
        <w:t xml:space="preserve">Furthermore, the receptionist at Short Road was not even helpful instead she presented an attitude that we were annoying her and wasting her time. </w:t>
      </w:r>
      <w:r w:rsidR="001C221F">
        <w:rPr>
          <w:rFonts w:ascii="Times New Roman" w:hAnsi="Times New Roman" w:cs="Times New Roman"/>
          <w:sz w:val="24"/>
          <w:szCs w:val="24"/>
        </w:rPr>
        <w:t xml:space="preserve"> </w:t>
      </w:r>
      <w:r w:rsidR="001A03FE">
        <w:rPr>
          <w:rFonts w:ascii="Times New Roman" w:hAnsi="Times New Roman" w:cs="Times New Roman"/>
          <w:sz w:val="24"/>
          <w:szCs w:val="24"/>
        </w:rPr>
        <w:t>Her reception was very cold. We actually had to make ourselves notice</w:t>
      </w:r>
      <w:r w:rsidR="007F3ACA">
        <w:rPr>
          <w:rFonts w:ascii="Times New Roman" w:hAnsi="Times New Roman" w:cs="Times New Roman"/>
          <w:sz w:val="24"/>
          <w:szCs w:val="24"/>
        </w:rPr>
        <w:t xml:space="preserve"> </w:t>
      </w:r>
      <w:r w:rsidR="007F3ACA" w:rsidRPr="007F3ACA">
        <w:rPr>
          <w:rFonts w:ascii="Times New Roman" w:hAnsi="Times New Roman" w:cs="Times New Roman"/>
          <w:i/>
          <w:iCs/>
          <w:sz w:val="24"/>
          <w:szCs w:val="24"/>
        </w:rPr>
        <w:t>(sic)</w:t>
      </w:r>
      <w:r w:rsidR="001A03FE">
        <w:rPr>
          <w:rFonts w:ascii="Times New Roman" w:hAnsi="Times New Roman" w:cs="Times New Roman"/>
          <w:sz w:val="24"/>
          <w:szCs w:val="24"/>
        </w:rPr>
        <w:t xml:space="preserve"> she could not care less.</w:t>
      </w:r>
      <w:r w:rsidR="00AE3CC4">
        <w:rPr>
          <w:rFonts w:ascii="Times New Roman" w:hAnsi="Times New Roman" w:cs="Times New Roman"/>
          <w:sz w:val="24"/>
          <w:szCs w:val="24"/>
        </w:rPr>
        <w:t>”</w:t>
      </w:r>
    </w:p>
    <w:p w14:paraId="784E2A29" w14:textId="5E8C1004" w:rsidR="001A03FE" w:rsidRDefault="001A03FE" w:rsidP="0026121E">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w:t>
      </w:r>
      <w:r w:rsidR="00AB171C">
        <w:rPr>
          <w:rFonts w:ascii="Times New Roman" w:hAnsi="Times New Roman" w:cs="Times New Roman"/>
          <w:sz w:val="24"/>
          <w:szCs w:val="24"/>
        </w:rPr>
        <w:t>7</w:t>
      </w:r>
      <w:r w:rsidR="00C9243B">
        <w:rPr>
          <w:rFonts w:ascii="Times New Roman" w:hAnsi="Times New Roman" w:cs="Times New Roman"/>
          <w:sz w:val="24"/>
          <w:szCs w:val="24"/>
        </w:rPr>
        <w:t xml:space="preserve">] </w:t>
      </w:r>
      <w:r>
        <w:rPr>
          <w:rFonts w:ascii="Times New Roman" w:hAnsi="Times New Roman" w:cs="Times New Roman"/>
          <w:sz w:val="24"/>
          <w:szCs w:val="24"/>
        </w:rPr>
        <w:t xml:space="preserve">The general manager of Gateway Stream conducted a root cause </w:t>
      </w:r>
      <w:r w:rsidR="001C221F">
        <w:rPr>
          <w:rFonts w:ascii="Times New Roman" w:hAnsi="Times New Roman" w:cs="Times New Roman"/>
          <w:sz w:val="24"/>
          <w:szCs w:val="24"/>
        </w:rPr>
        <w:t xml:space="preserve">investigation of the complaint.  </w:t>
      </w:r>
      <w:r>
        <w:rPr>
          <w:rFonts w:ascii="Times New Roman" w:hAnsi="Times New Roman" w:cs="Times New Roman"/>
          <w:sz w:val="24"/>
          <w:szCs w:val="24"/>
        </w:rPr>
        <w:t xml:space="preserve">He </w:t>
      </w:r>
      <w:r w:rsidR="004A4889">
        <w:rPr>
          <w:rFonts w:ascii="Times New Roman" w:hAnsi="Times New Roman" w:cs="Times New Roman"/>
          <w:sz w:val="24"/>
          <w:szCs w:val="24"/>
        </w:rPr>
        <w:t>found the root cause to be</w:t>
      </w:r>
      <w:r>
        <w:rPr>
          <w:rFonts w:ascii="Times New Roman" w:hAnsi="Times New Roman" w:cs="Times New Roman"/>
          <w:sz w:val="24"/>
          <w:szCs w:val="24"/>
        </w:rPr>
        <w:t xml:space="preserve"> that “unfortunately, no handover of the booking was done either to Alistair or any GS associate to follow up on the booking.”</w:t>
      </w:r>
    </w:p>
    <w:p w14:paraId="7697044B" w14:textId="630299E9" w:rsidR="008F5779" w:rsidRDefault="008F5779" w:rsidP="0026121E">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AB171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64E2A">
        <w:rPr>
          <w:rFonts w:ascii="Times New Roman" w:hAnsi="Times New Roman" w:cs="Times New Roman"/>
          <w:sz w:val="24"/>
          <w:szCs w:val="24"/>
        </w:rPr>
        <w:t xml:space="preserve">On 17 March </w:t>
      </w:r>
      <w:r>
        <w:rPr>
          <w:rFonts w:ascii="Times New Roman" w:hAnsi="Times New Roman" w:cs="Times New Roman"/>
          <w:sz w:val="24"/>
          <w:szCs w:val="24"/>
        </w:rPr>
        <w:t>2023, the respondent communicated by email a legacy debtors’ policy. The policy directed front</w:t>
      </w:r>
      <w:r w:rsidR="00472662">
        <w:rPr>
          <w:rFonts w:ascii="Times New Roman" w:hAnsi="Times New Roman" w:cs="Times New Roman"/>
          <w:sz w:val="24"/>
          <w:szCs w:val="24"/>
        </w:rPr>
        <w:t xml:space="preserve"> line</w:t>
      </w:r>
      <w:r>
        <w:rPr>
          <w:rFonts w:ascii="Times New Roman" w:hAnsi="Times New Roman" w:cs="Times New Roman"/>
          <w:sz w:val="24"/>
          <w:szCs w:val="24"/>
        </w:rPr>
        <w:t xml:space="preserve"> employees</w:t>
      </w:r>
      <w:r w:rsidR="009A1E13">
        <w:rPr>
          <w:rFonts w:ascii="Times New Roman" w:hAnsi="Times New Roman" w:cs="Times New Roman"/>
          <w:sz w:val="24"/>
          <w:szCs w:val="24"/>
        </w:rPr>
        <w:t>,</w:t>
      </w:r>
      <w:r>
        <w:rPr>
          <w:rFonts w:ascii="Times New Roman" w:hAnsi="Times New Roman" w:cs="Times New Roman"/>
          <w:sz w:val="24"/>
          <w:szCs w:val="24"/>
        </w:rPr>
        <w:t xml:space="preserve"> on receipt of enquiries </w:t>
      </w:r>
      <w:r w:rsidR="00764E2A">
        <w:rPr>
          <w:rFonts w:ascii="Times New Roman" w:hAnsi="Times New Roman" w:cs="Times New Roman"/>
          <w:sz w:val="24"/>
          <w:szCs w:val="24"/>
        </w:rPr>
        <w:t xml:space="preserve">from </w:t>
      </w:r>
      <w:r w:rsidR="002F0BDF">
        <w:rPr>
          <w:rFonts w:ascii="Times New Roman" w:hAnsi="Times New Roman" w:cs="Times New Roman"/>
          <w:sz w:val="24"/>
          <w:szCs w:val="24"/>
        </w:rPr>
        <w:t xml:space="preserve">large group </w:t>
      </w:r>
      <w:r w:rsidR="00764E2A">
        <w:rPr>
          <w:rFonts w:ascii="Times New Roman" w:hAnsi="Times New Roman" w:cs="Times New Roman"/>
          <w:sz w:val="24"/>
          <w:szCs w:val="24"/>
        </w:rPr>
        <w:t xml:space="preserve">traditional clients </w:t>
      </w:r>
      <w:r>
        <w:rPr>
          <w:rFonts w:ascii="Times New Roman" w:hAnsi="Times New Roman" w:cs="Times New Roman"/>
          <w:sz w:val="24"/>
          <w:szCs w:val="24"/>
        </w:rPr>
        <w:t>for any of the services rendered by the respondent</w:t>
      </w:r>
      <w:r w:rsidR="009A1E13">
        <w:rPr>
          <w:rFonts w:ascii="Times New Roman" w:hAnsi="Times New Roman" w:cs="Times New Roman"/>
          <w:sz w:val="24"/>
          <w:szCs w:val="24"/>
        </w:rPr>
        <w:t>,</w:t>
      </w:r>
      <w:r>
        <w:rPr>
          <w:rFonts w:ascii="Times New Roman" w:hAnsi="Times New Roman" w:cs="Times New Roman"/>
          <w:sz w:val="24"/>
          <w:szCs w:val="24"/>
        </w:rPr>
        <w:t xml:space="preserve"> to refer them to specified </w:t>
      </w:r>
      <w:r w:rsidR="00764E2A">
        <w:rPr>
          <w:rFonts w:ascii="Times New Roman" w:hAnsi="Times New Roman" w:cs="Times New Roman"/>
          <w:sz w:val="24"/>
          <w:szCs w:val="24"/>
        </w:rPr>
        <w:t xml:space="preserve">key </w:t>
      </w:r>
      <w:r>
        <w:rPr>
          <w:rFonts w:ascii="Times New Roman" w:hAnsi="Times New Roman" w:cs="Times New Roman"/>
          <w:sz w:val="24"/>
          <w:szCs w:val="24"/>
        </w:rPr>
        <w:t xml:space="preserve">account managers. </w:t>
      </w:r>
      <w:r w:rsidR="00ED6F63">
        <w:rPr>
          <w:rFonts w:ascii="Times New Roman" w:hAnsi="Times New Roman" w:cs="Times New Roman"/>
          <w:sz w:val="24"/>
          <w:szCs w:val="24"/>
        </w:rPr>
        <w:t xml:space="preserve"> </w:t>
      </w:r>
      <w:r w:rsidR="00472662">
        <w:rPr>
          <w:rFonts w:ascii="Times New Roman" w:hAnsi="Times New Roman" w:cs="Times New Roman"/>
          <w:sz w:val="24"/>
          <w:szCs w:val="24"/>
        </w:rPr>
        <w:t xml:space="preserve">They were further instructed not to undertake any booking processes with such clients. </w:t>
      </w:r>
      <w:r w:rsidR="00ED6F6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72662">
        <w:rPr>
          <w:rFonts w:ascii="Times New Roman" w:hAnsi="Times New Roman" w:cs="Times New Roman"/>
          <w:sz w:val="24"/>
          <w:szCs w:val="24"/>
        </w:rPr>
        <w:t xml:space="preserve">policy served to limit the respondent’s debt exposure and enforce payment of all outstanding debts from such clients. </w:t>
      </w:r>
    </w:p>
    <w:p w14:paraId="0ECA7AD2" w14:textId="160C0850" w:rsidR="00AC312D" w:rsidRDefault="00AC312D" w:rsidP="0026121E">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w:t>
      </w:r>
      <w:r w:rsidR="00AB171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On 2</w:t>
      </w:r>
      <w:r w:rsidR="00FF2E7E">
        <w:rPr>
          <w:rFonts w:ascii="Times New Roman" w:hAnsi="Times New Roman" w:cs="Times New Roman"/>
          <w:sz w:val="24"/>
          <w:szCs w:val="24"/>
        </w:rPr>
        <w:t xml:space="preserve">1 March 2023, the appellant received an enquiry for accommodation at the Rainbow Towers in Harare for the period 29 March to 1 April 2023 from a </w:t>
      </w:r>
      <w:r w:rsidR="00202D8B">
        <w:rPr>
          <w:rFonts w:ascii="Times New Roman" w:hAnsi="Times New Roman" w:cs="Times New Roman"/>
          <w:sz w:val="24"/>
          <w:szCs w:val="24"/>
        </w:rPr>
        <w:t>Mrs Nyasha China</w:t>
      </w:r>
      <w:r w:rsidR="00456525">
        <w:rPr>
          <w:rFonts w:ascii="Times New Roman" w:hAnsi="Times New Roman" w:cs="Times New Roman"/>
          <w:sz w:val="24"/>
          <w:szCs w:val="24"/>
        </w:rPr>
        <w:t>ng</w:t>
      </w:r>
      <w:r w:rsidR="00202D8B">
        <w:rPr>
          <w:rFonts w:ascii="Times New Roman" w:hAnsi="Times New Roman" w:cs="Times New Roman"/>
          <w:sz w:val="24"/>
          <w:szCs w:val="24"/>
        </w:rPr>
        <w:t xml:space="preserve">a of the </w:t>
      </w:r>
      <w:r w:rsidR="00001D1F">
        <w:rPr>
          <w:rFonts w:ascii="Times New Roman" w:hAnsi="Times New Roman" w:cs="Times New Roman"/>
          <w:sz w:val="24"/>
          <w:szCs w:val="24"/>
        </w:rPr>
        <w:t xml:space="preserve">Ministry of </w:t>
      </w:r>
      <w:r w:rsidR="00202D8B">
        <w:rPr>
          <w:rFonts w:ascii="Times New Roman" w:hAnsi="Times New Roman" w:cs="Times New Roman"/>
          <w:sz w:val="24"/>
          <w:szCs w:val="24"/>
        </w:rPr>
        <w:t xml:space="preserve">Lands, </w:t>
      </w:r>
      <w:r w:rsidR="00001D1F">
        <w:rPr>
          <w:rFonts w:ascii="Times New Roman" w:hAnsi="Times New Roman" w:cs="Times New Roman"/>
          <w:sz w:val="24"/>
          <w:szCs w:val="24"/>
        </w:rPr>
        <w:t>Agriculture</w:t>
      </w:r>
      <w:r w:rsidR="00202D8B">
        <w:rPr>
          <w:rFonts w:ascii="Times New Roman" w:hAnsi="Times New Roman" w:cs="Times New Roman"/>
          <w:sz w:val="24"/>
          <w:szCs w:val="24"/>
        </w:rPr>
        <w:t>, Fisheries, Water and Rural Development</w:t>
      </w:r>
      <w:r w:rsidR="008759D7">
        <w:rPr>
          <w:rFonts w:ascii="Times New Roman" w:hAnsi="Times New Roman" w:cs="Times New Roman"/>
          <w:sz w:val="24"/>
          <w:szCs w:val="24"/>
        </w:rPr>
        <w:t xml:space="preserve"> (the </w:t>
      </w:r>
      <w:r w:rsidR="007F3ACA">
        <w:rPr>
          <w:rFonts w:ascii="Times New Roman" w:hAnsi="Times New Roman" w:cs="Times New Roman"/>
          <w:sz w:val="24"/>
          <w:szCs w:val="24"/>
        </w:rPr>
        <w:t>M</w:t>
      </w:r>
      <w:r w:rsidR="008759D7">
        <w:rPr>
          <w:rFonts w:ascii="Times New Roman" w:hAnsi="Times New Roman" w:cs="Times New Roman"/>
          <w:sz w:val="24"/>
          <w:szCs w:val="24"/>
        </w:rPr>
        <w:t>inistry)</w:t>
      </w:r>
      <w:r w:rsidR="00ED6F63">
        <w:rPr>
          <w:rFonts w:ascii="Times New Roman" w:hAnsi="Times New Roman" w:cs="Times New Roman"/>
          <w:sz w:val="24"/>
          <w:szCs w:val="24"/>
        </w:rPr>
        <w:t xml:space="preserve">.  </w:t>
      </w:r>
      <w:r w:rsidR="00FF2E7E">
        <w:rPr>
          <w:rFonts w:ascii="Times New Roman" w:hAnsi="Times New Roman" w:cs="Times New Roman"/>
          <w:sz w:val="24"/>
          <w:szCs w:val="24"/>
        </w:rPr>
        <w:t xml:space="preserve">This was followed by a request for </w:t>
      </w:r>
      <w:r w:rsidR="004F3D93">
        <w:rPr>
          <w:rFonts w:ascii="Times New Roman" w:hAnsi="Times New Roman" w:cs="Times New Roman"/>
          <w:sz w:val="24"/>
          <w:szCs w:val="24"/>
        </w:rPr>
        <w:t xml:space="preserve">a </w:t>
      </w:r>
      <w:r w:rsidR="00FF2E7E">
        <w:rPr>
          <w:rFonts w:ascii="Times New Roman" w:hAnsi="Times New Roman" w:cs="Times New Roman"/>
          <w:sz w:val="24"/>
          <w:szCs w:val="24"/>
        </w:rPr>
        <w:t xml:space="preserve">quotation (RFQ) at 10:40am on 27 March 2023. </w:t>
      </w:r>
      <w:r w:rsidR="00ED6F63">
        <w:rPr>
          <w:rFonts w:ascii="Times New Roman" w:hAnsi="Times New Roman" w:cs="Times New Roman"/>
          <w:sz w:val="24"/>
          <w:szCs w:val="24"/>
        </w:rPr>
        <w:t xml:space="preserve"> </w:t>
      </w:r>
      <w:r w:rsidR="00FF2E7E">
        <w:rPr>
          <w:rFonts w:ascii="Times New Roman" w:hAnsi="Times New Roman" w:cs="Times New Roman"/>
          <w:sz w:val="24"/>
          <w:szCs w:val="24"/>
        </w:rPr>
        <w:t xml:space="preserve">He duly supplied the quotation on the same date </w:t>
      </w:r>
      <w:r w:rsidR="008759D7">
        <w:rPr>
          <w:rFonts w:ascii="Times New Roman" w:hAnsi="Times New Roman" w:cs="Times New Roman"/>
          <w:sz w:val="24"/>
          <w:szCs w:val="24"/>
        </w:rPr>
        <w:t>and requested Mrs China</w:t>
      </w:r>
      <w:r w:rsidR="00456525">
        <w:rPr>
          <w:rFonts w:ascii="Times New Roman" w:hAnsi="Times New Roman" w:cs="Times New Roman"/>
          <w:sz w:val="24"/>
          <w:szCs w:val="24"/>
        </w:rPr>
        <w:t>ng</w:t>
      </w:r>
      <w:r w:rsidR="008759D7">
        <w:rPr>
          <w:rFonts w:ascii="Times New Roman" w:hAnsi="Times New Roman" w:cs="Times New Roman"/>
          <w:sz w:val="24"/>
          <w:szCs w:val="24"/>
        </w:rPr>
        <w:t xml:space="preserve">a to submit proof of payment to confirm the booking </w:t>
      </w:r>
      <w:r w:rsidR="00FF2E7E">
        <w:rPr>
          <w:rFonts w:ascii="Times New Roman" w:hAnsi="Times New Roman" w:cs="Times New Roman"/>
          <w:sz w:val="24"/>
          <w:szCs w:val="24"/>
        </w:rPr>
        <w:t xml:space="preserve">at </w:t>
      </w:r>
      <w:r w:rsidR="008759D7">
        <w:rPr>
          <w:rFonts w:ascii="Times New Roman" w:hAnsi="Times New Roman" w:cs="Times New Roman"/>
          <w:sz w:val="24"/>
          <w:szCs w:val="24"/>
        </w:rPr>
        <w:t xml:space="preserve">11:53 am.  </w:t>
      </w:r>
      <w:r w:rsidR="00ED6F63">
        <w:rPr>
          <w:rFonts w:ascii="Times New Roman" w:hAnsi="Times New Roman" w:cs="Times New Roman"/>
          <w:sz w:val="24"/>
          <w:szCs w:val="24"/>
        </w:rPr>
        <w:t xml:space="preserve"> </w:t>
      </w:r>
      <w:r w:rsidR="008759D7">
        <w:rPr>
          <w:rFonts w:ascii="Times New Roman" w:hAnsi="Times New Roman" w:cs="Times New Roman"/>
          <w:sz w:val="24"/>
          <w:szCs w:val="24"/>
        </w:rPr>
        <w:t>The Ministry duly paid and submitted proof of payment on 29 March 2023</w:t>
      </w:r>
      <w:r w:rsidR="00456525">
        <w:rPr>
          <w:rFonts w:ascii="Times New Roman" w:hAnsi="Times New Roman" w:cs="Times New Roman"/>
          <w:sz w:val="24"/>
          <w:szCs w:val="24"/>
        </w:rPr>
        <w:t xml:space="preserve">. </w:t>
      </w:r>
      <w:r w:rsidR="00ED6F63">
        <w:rPr>
          <w:rFonts w:ascii="Times New Roman" w:hAnsi="Times New Roman" w:cs="Times New Roman"/>
          <w:sz w:val="24"/>
          <w:szCs w:val="24"/>
        </w:rPr>
        <w:t xml:space="preserve"> </w:t>
      </w:r>
      <w:r w:rsidR="00456525">
        <w:rPr>
          <w:rFonts w:ascii="Times New Roman" w:hAnsi="Times New Roman" w:cs="Times New Roman"/>
          <w:sz w:val="24"/>
          <w:szCs w:val="24"/>
        </w:rPr>
        <w:t>On the same day at 12:45 hou</w:t>
      </w:r>
      <w:r w:rsidR="007F3ACA">
        <w:rPr>
          <w:rFonts w:ascii="Times New Roman" w:hAnsi="Times New Roman" w:cs="Times New Roman"/>
          <w:sz w:val="24"/>
          <w:szCs w:val="24"/>
        </w:rPr>
        <w:t>rs</w:t>
      </w:r>
      <w:r w:rsidR="00456525">
        <w:rPr>
          <w:rFonts w:ascii="Times New Roman" w:hAnsi="Times New Roman" w:cs="Times New Roman"/>
          <w:sz w:val="24"/>
          <w:szCs w:val="24"/>
        </w:rPr>
        <w:t xml:space="preserve"> the appellant acknowledge</w:t>
      </w:r>
      <w:r w:rsidR="00212CA9">
        <w:rPr>
          <w:rFonts w:ascii="Times New Roman" w:hAnsi="Times New Roman" w:cs="Times New Roman"/>
          <w:sz w:val="24"/>
          <w:szCs w:val="24"/>
        </w:rPr>
        <w:t>d</w:t>
      </w:r>
      <w:r w:rsidR="00456525">
        <w:rPr>
          <w:rFonts w:ascii="Times New Roman" w:hAnsi="Times New Roman" w:cs="Times New Roman"/>
          <w:sz w:val="24"/>
          <w:szCs w:val="24"/>
        </w:rPr>
        <w:t xml:space="preserve"> payment. </w:t>
      </w:r>
      <w:r w:rsidR="00ED6F63">
        <w:rPr>
          <w:rFonts w:ascii="Times New Roman" w:hAnsi="Times New Roman" w:cs="Times New Roman"/>
          <w:sz w:val="24"/>
          <w:szCs w:val="24"/>
        </w:rPr>
        <w:t xml:space="preserve"> </w:t>
      </w:r>
      <w:r w:rsidR="00456525">
        <w:rPr>
          <w:rFonts w:ascii="Times New Roman" w:hAnsi="Times New Roman" w:cs="Times New Roman"/>
          <w:sz w:val="24"/>
          <w:szCs w:val="24"/>
        </w:rPr>
        <w:t>He however advised Mrs Chinanga</w:t>
      </w:r>
      <w:r w:rsidR="008759D7">
        <w:rPr>
          <w:rFonts w:ascii="Times New Roman" w:hAnsi="Times New Roman" w:cs="Times New Roman"/>
          <w:sz w:val="24"/>
          <w:szCs w:val="24"/>
        </w:rPr>
        <w:t xml:space="preserve"> </w:t>
      </w:r>
      <w:r w:rsidR="00456525">
        <w:rPr>
          <w:rFonts w:ascii="Times New Roman" w:hAnsi="Times New Roman" w:cs="Times New Roman"/>
          <w:sz w:val="24"/>
          <w:szCs w:val="24"/>
        </w:rPr>
        <w:t xml:space="preserve">that her delegates would only be allowed to check in after the </w:t>
      </w:r>
      <w:r w:rsidR="007F3ACA">
        <w:rPr>
          <w:rFonts w:ascii="Times New Roman" w:hAnsi="Times New Roman" w:cs="Times New Roman"/>
          <w:sz w:val="24"/>
          <w:szCs w:val="24"/>
        </w:rPr>
        <w:t>M</w:t>
      </w:r>
      <w:r w:rsidR="00456525">
        <w:rPr>
          <w:rFonts w:ascii="Times New Roman" w:hAnsi="Times New Roman" w:cs="Times New Roman"/>
          <w:sz w:val="24"/>
          <w:szCs w:val="24"/>
        </w:rPr>
        <w:t>inistry liquidated its outstanding indebtedness in the sum of ZWL</w:t>
      </w:r>
      <w:r w:rsidR="007F3ACA">
        <w:rPr>
          <w:rFonts w:ascii="Times New Roman" w:hAnsi="Times New Roman" w:cs="Times New Roman"/>
          <w:sz w:val="24"/>
          <w:szCs w:val="24"/>
        </w:rPr>
        <w:t>$</w:t>
      </w:r>
      <w:r w:rsidR="00456525">
        <w:rPr>
          <w:rFonts w:ascii="Times New Roman" w:hAnsi="Times New Roman" w:cs="Times New Roman"/>
          <w:sz w:val="24"/>
          <w:szCs w:val="24"/>
        </w:rPr>
        <w:t xml:space="preserve"> 44 312 563.</w:t>
      </w:r>
    </w:p>
    <w:p w14:paraId="48F3AAAB" w14:textId="09E3E3A2" w:rsidR="00FA6964" w:rsidRDefault="00FA6964" w:rsidP="0026121E">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B171C">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 xml:space="preserve">The delegates </w:t>
      </w:r>
      <w:r w:rsidR="00AB171C">
        <w:rPr>
          <w:rFonts w:ascii="Times New Roman" w:hAnsi="Times New Roman" w:cs="Times New Roman"/>
          <w:sz w:val="24"/>
          <w:szCs w:val="24"/>
        </w:rPr>
        <w:t xml:space="preserve">could not check in on arrival. </w:t>
      </w:r>
      <w:r w:rsidR="00ED6F63">
        <w:rPr>
          <w:rFonts w:ascii="Times New Roman" w:hAnsi="Times New Roman" w:cs="Times New Roman"/>
          <w:sz w:val="24"/>
          <w:szCs w:val="24"/>
        </w:rPr>
        <w:t xml:space="preserve"> </w:t>
      </w:r>
      <w:r w:rsidR="00AB171C">
        <w:rPr>
          <w:rFonts w:ascii="Times New Roman" w:hAnsi="Times New Roman" w:cs="Times New Roman"/>
          <w:sz w:val="24"/>
          <w:szCs w:val="24"/>
        </w:rPr>
        <w:t>They only managed to do so later that night</w:t>
      </w:r>
      <w:r>
        <w:rPr>
          <w:rFonts w:ascii="Times New Roman" w:hAnsi="Times New Roman" w:cs="Times New Roman"/>
          <w:sz w:val="24"/>
          <w:szCs w:val="24"/>
        </w:rPr>
        <w:t xml:space="preserve"> </w:t>
      </w:r>
      <w:r w:rsidR="007F3ACA">
        <w:rPr>
          <w:rFonts w:ascii="Times New Roman" w:hAnsi="Times New Roman" w:cs="Times New Roman"/>
          <w:sz w:val="24"/>
          <w:szCs w:val="24"/>
        </w:rPr>
        <w:t xml:space="preserve">after </w:t>
      </w:r>
      <w:r>
        <w:rPr>
          <w:rFonts w:ascii="Times New Roman" w:hAnsi="Times New Roman" w:cs="Times New Roman"/>
          <w:sz w:val="24"/>
          <w:szCs w:val="24"/>
        </w:rPr>
        <w:t xml:space="preserve">protracted negotiations between the </w:t>
      </w:r>
      <w:r w:rsidR="007F3ACA">
        <w:rPr>
          <w:rFonts w:ascii="Times New Roman" w:hAnsi="Times New Roman" w:cs="Times New Roman"/>
          <w:sz w:val="24"/>
          <w:szCs w:val="24"/>
        </w:rPr>
        <w:t>M</w:t>
      </w:r>
      <w:r>
        <w:rPr>
          <w:rFonts w:ascii="Times New Roman" w:hAnsi="Times New Roman" w:cs="Times New Roman"/>
          <w:sz w:val="24"/>
          <w:szCs w:val="24"/>
        </w:rPr>
        <w:t>inistry</w:t>
      </w:r>
      <w:r w:rsidR="00AB171C">
        <w:rPr>
          <w:rFonts w:ascii="Times New Roman" w:hAnsi="Times New Roman" w:cs="Times New Roman"/>
          <w:sz w:val="24"/>
          <w:szCs w:val="24"/>
        </w:rPr>
        <w:t>’s top brass and the</w:t>
      </w:r>
      <w:r>
        <w:rPr>
          <w:rFonts w:ascii="Times New Roman" w:hAnsi="Times New Roman" w:cs="Times New Roman"/>
          <w:sz w:val="24"/>
          <w:szCs w:val="24"/>
        </w:rPr>
        <w:t xml:space="preserve"> respondent</w:t>
      </w:r>
      <w:r w:rsidR="00AB171C">
        <w:rPr>
          <w:rFonts w:ascii="Times New Roman" w:hAnsi="Times New Roman" w:cs="Times New Roman"/>
          <w:sz w:val="24"/>
          <w:szCs w:val="24"/>
        </w:rPr>
        <w:t>’s finance director.</w:t>
      </w:r>
    </w:p>
    <w:p w14:paraId="2B2925CE" w14:textId="0D57511C" w:rsidR="003B63FA" w:rsidRDefault="003B63FA" w:rsidP="0026121E">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[11</w:t>
      </w:r>
      <w:r w:rsidR="001F6382">
        <w:rPr>
          <w:rFonts w:ascii="Times New Roman" w:hAnsi="Times New Roman" w:cs="Times New Roman"/>
          <w:sz w:val="24"/>
          <w:szCs w:val="24"/>
        </w:rPr>
        <w:t>] Investigations</w:t>
      </w:r>
      <w:r>
        <w:rPr>
          <w:rFonts w:ascii="Times New Roman" w:hAnsi="Times New Roman" w:cs="Times New Roman"/>
          <w:sz w:val="24"/>
          <w:szCs w:val="24"/>
        </w:rPr>
        <w:t xml:space="preserve"> were again c</w:t>
      </w:r>
      <w:r w:rsidR="007F3ACA">
        <w:rPr>
          <w:rFonts w:ascii="Times New Roman" w:hAnsi="Times New Roman" w:cs="Times New Roman"/>
          <w:sz w:val="24"/>
          <w:szCs w:val="24"/>
        </w:rPr>
        <w:t>arrie</w:t>
      </w:r>
      <w:r>
        <w:rPr>
          <w:rFonts w:ascii="Times New Roman" w:hAnsi="Times New Roman" w:cs="Times New Roman"/>
          <w:sz w:val="24"/>
          <w:szCs w:val="24"/>
        </w:rPr>
        <w:t xml:space="preserve">d </w:t>
      </w:r>
      <w:r w:rsidR="007F3ACA">
        <w:rPr>
          <w:rFonts w:ascii="Times New Roman" w:hAnsi="Times New Roman" w:cs="Times New Roman"/>
          <w:sz w:val="24"/>
          <w:szCs w:val="24"/>
        </w:rPr>
        <w:t xml:space="preserve">out </w:t>
      </w:r>
      <w:r>
        <w:rPr>
          <w:rFonts w:ascii="Times New Roman" w:hAnsi="Times New Roman" w:cs="Times New Roman"/>
          <w:sz w:val="24"/>
          <w:szCs w:val="24"/>
        </w:rPr>
        <w:t xml:space="preserve">on the appellant’s conduct. </w:t>
      </w:r>
      <w:r w:rsidR="00ED6F63">
        <w:rPr>
          <w:rFonts w:ascii="Times New Roman" w:hAnsi="Times New Roman" w:cs="Times New Roman"/>
          <w:sz w:val="24"/>
          <w:szCs w:val="24"/>
        </w:rPr>
        <w:t xml:space="preserve"> </w:t>
      </w:r>
      <w:r>
        <w:rPr>
          <w:rFonts w:ascii="Times New Roman" w:hAnsi="Times New Roman" w:cs="Times New Roman"/>
          <w:sz w:val="24"/>
          <w:szCs w:val="24"/>
        </w:rPr>
        <w:t xml:space="preserve">The appellant </w:t>
      </w:r>
      <w:r w:rsidR="00AF6794">
        <w:rPr>
          <w:rFonts w:ascii="Times New Roman" w:hAnsi="Times New Roman" w:cs="Times New Roman"/>
          <w:sz w:val="24"/>
          <w:szCs w:val="24"/>
        </w:rPr>
        <w:t>first responded on 30 March 2023</w:t>
      </w:r>
      <w:r w:rsidR="00635116">
        <w:rPr>
          <w:rFonts w:ascii="Times New Roman" w:hAnsi="Times New Roman" w:cs="Times New Roman"/>
          <w:sz w:val="24"/>
          <w:szCs w:val="24"/>
        </w:rPr>
        <w:t xml:space="preserve">. </w:t>
      </w:r>
      <w:r w:rsidR="00ED6F63">
        <w:rPr>
          <w:rFonts w:ascii="Times New Roman" w:hAnsi="Times New Roman" w:cs="Times New Roman"/>
          <w:sz w:val="24"/>
          <w:szCs w:val="24"/>
        </w:rPr>
        <w:t xml:space="preserve"> </w:t>
      </w:r>
      <w:r w:rsidR="00635116">
        <w:rPr>
          <w:rFonts w:ascii="Times New Roman" w:hAnsi="Times New Roman" w:cs="Times New Roman"/>
          <w:sz w:val="24"/>
          <w:szCs w:val="24"/>
        </w:rPr>
        <w:t xml:space="preserve">He was suspended on full salary and benefits on 23 April </w:t>
      </w:r>
      <w:r w:rsidR="00635116">
        <w:rPr>
          <w:rFonts w:ascii="Times New Roman" w:hAnsi="Times New Roman" w:cs="Times New Roman"/>
          <w:sz w:val="24"/>
          <w:szCs w:val="24"/>
        </w:rPr>
        <w:lastRenderedPageBreak/>
        <w:t xml:space="preserve">2023. </w:t>
      </w:r>
      <w:r w:rsidR="00ED6F63">
        <w:rPr>
          <w:rFonts w:ascii="Times New Roman" w:hAnsi="Times New Roman" w:cs="Times New Roman"/>
          <w:sz w:val="24"/>
          <w:szCs w:val="24"/>
        </w:rPr>
        <w:t xml:space="preserve"> </w:t>
      </w:r>
      <w:r w:rsidR="00AF6794">
        <w:rPr>
          <w:rFonts w:ascii="Times New Roman" w:hAnsi="Times New Roman" w:cs="Times New Roman"/>
          <w:sz w:val="24"/>
          <w:szCs w:val="24"/>
        </w:rPr>
        <w:t xml:space="preserve">In the response </w:t>
      </w:r>
      <w:r w:rsidR="00635116">
        <w:rPr>
          <w:rFonts w:ascii="Times New Roman" w:hAnsi="Times New Roman" w:cs="Times New Roman"/>
          <w:sz w:val="24"/>
          <w:szCs w:val="24"/>
        </w:rPr>
        <w:t xml:space="preserve">to the suspension, he </w:t>
      </w:r>
      <w:r w:rsidR="00AF6794">
        <w:rPr>
          <w:rFonts w:ascii="Times New Roman" w:hAnsi="Times New Roman" w:cs="Times New Roman"/>
          <w:sz w:val="24"/>
          <w:szCs w:val="24"/>
        </w:rPr>
        <w:t>attached hardcopies of emails he had purportedly sent to Mrs Chinanga on 28 March 2023 advising her that the ministry delegates could not be booked in before payment of the legacy debt.</w:t>
      </w:r>
    </w:p>
    <w:p w14:paraId="17C1BE1E" w14:textId="77777777" w:rsidR="00ED6F63" w:rsidRDefault="00ED6F63" w:rsidP="00ED6F63">
      <w:pPr>
        <w:spacing w:after="0" w:line="240" w:lineRule="auto"/>
        <w:ind w:left="720" w:hanging="720"/>
        <w:jc w:val="both"/>
        <w:rPr>
          <w:rFonts w:ascii="Times New Roman" w:hAnsi="Times New Roman" w:cs="Times New Roman"/>
          <w:sz w:val="24"/>
          <w:szCs w:val="24"/>
        </w:rPr>
      </w:pPr>
    </w:p>
    <w:p w14:paraId="063A7C52" w14:textId="251C835E" w:rsidR="00AF6794" w:rsidRPr="009D2504" w:rsidRDefault="00AF6794" w:rsidP="001A03FE">
      <w:pPr>
        <w:ind w:left="720" w:hanging="720"/>
        <w:jc w:val="both"/>
        <w:rPr>
          <w:rFonts w:ascii="Times New Roman" w:hAnsi="Times New Roman" w:cs="Times New Roman"/>
          <w:b/>
          <w:bCs/>
          <w:sz w:val="24"/>
          <w:szCs w:val="24"/>
          <w:u w:val="single"/>
        </w:rPr>
      </w:pPr>
      <w:r w:rsidRPr="009D2504">
        <w:rPr>
          <w:rFonts w:ascii="Times New Roman" w:hAnsi="Times New Roman" w:cs="Times New Roman"/>
          <w:b/>
          <w:bCs/>
          <w:sz w:val="24"/>
          <w:szCs w:val="24"/>
          <w:u w:val="single"/>
        </w:rPr>
        <w:t>THE CHARGES</w:t>
      </w:r>
    </w:p>
    <w:p w14:paraId="175BB4C1" w14:textId="2CEBF7C3" w:rsidR="00F964EB" w:rsidRDefault="00AF6794" w:rsidP="009F6647">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F964EB">
        <w:rPr>
          <w:rFonts w:ascii="Times New Roman" w:hAnsi="Times New Roman" w:cs="Times New Roman"/>
          <w:sz w:val="24"/>
          <w:szCs w:val="24"/>
        </w:rPr>
        <w:t>On 10 May 2023 the appellant was provided with a precis of the charges and summary of facts.</w:t>
      </w:r>
    </w:p>
    <w:p w14:paraId="4FE25BA6" w14:textId="3FBB7AC3" w:rsidR="003E7475" w:rsidRDefault="00F964EB" w:rsidP="009F6647">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AF6794">
        <w:rPr>
          <w:rFonts w:ascii="Times New Roman" w:hAnsi="Times New Roman" w:cs="Times New Roman"/>
          <w:sz w:val="24"/>
          <w:szCs w:val="24"/>
        </w:rPr>
        <w:t>The appellant was, on the bas</w:t>
      </w:r>
      <w:r w:rsidR="00BF3734">
        <w:rPr>
          <w:rFonts w:ascii="Times New Roman" w:hAnsi="Times New Roman" w:cs="Times New Roman"/>
          <w:sz w:val="24"/>
          <w:szCs w:val="24"/>
        </w:rPr>
        <w:t>i</w:t>
      </w:r>
      <w:r w:rsidR="00AF6794">
        <w:rPr>
          <w:rFonts w:ascii="Times New Roman" w:hAnsi="Times New Roman" w:cs="Times New Roman"/>
          <w:sz w:val="24"/>
          <w:szCs w:val="24"/>
        </w:rPr>
        <w:t xml:space="preserve">s of these facts, charged with the contravention of clause 1.2.28 of the Rainbow Tourist Group Code of Conduct. </w:t>
      </w:r>
      <w:r w:rsidR="00FE705C">
        <w:rPr>
          <w:rFonts w:ascii="Times New Roman" w:hAnsi="Times New Roman" w:cs="Times New Roman"/>
          <w:sz w:val="24"/>
          <w:szCs w:val="24"/>
        </w:rPr>
        <w:t xml:space="preserve"> </w:t>
      </w:r>
      <w:r w:rsidR="00635116">
        <w:rPr>
          <w:rFonts w:ascii="Times New Roman" w:hAnsi="Times New Roman" w:cs="Times New Roman"/>
          <w:sz w:val="24"/>
          <w:szCs w:val="24"/>
        </w:rPr>
        <w:t xml:space="preserve">In terms of clause 1.2.28, an employee </w:t>
      </w:r>
      <w:r w:rsidR="003C751E" w:rsidRPr="00B25787">
        <w:rPr>
          <w:rFonts w:ascii="Times New Roman" w:hAnsi="Times New Roman" w:cs="Times New Roman"/>
          <w:sz w:val="24"/>
          <w:szCs w:val="24"/>
        </w:rPr>
        <w:t>commits gross misconduct if he</w:t>
      </w:r>
      <w:r w:rsidR="00635116">
        <w:rPr>
          <w:rFonts w:ascii="Times New Roman" w:hAnsi="Times New Roman" w:cs="Times New Roman"/>
          <w:sz w:val="24"/>
          <w:szCs w:val="24"/>
        </w:rPr>
        <w:t xml:space="preserve"> or </w:t>
      </w:r>
      <w:r w:rsidR="003C751E" w:rsidRPr="00B25787">
        <w:rPr>
          <w:rFonts w:ascii="Times New Roman" w:hAnsi="Times New Roman" w:cs="Times New Roman"/>
          <w:sz w:val="24"/>
          <w:szCs w:val="24"/>
        </w:rPr>
        <w:t>she engages in an</w:t>
      </w:r>
      <w:r w:rsidR="00635116">
        <w:rPr>
          <w:rFonts w:ascii="Times New Roman" w:hAnsi="Times New Roman" w:cs="Times New Roman"/>
          <w:sz w:val="24"/>
          <w:szCs w:val="24"/>
        </w:rPr>
        <w:t>y</w:t>
      </w:r>
      <w:r w:rsidR="003C751E" w:rsidRPr="00B25787">
        <w:rPr>
          <w:rFonts w:ascii="Times New Roman" w:hAnsi="Times New Roman" w:cs="Times New Roman"/>
          <w:sz w:val="24"/>
          <w:szCs w:val="24"/>
        </w:rPr>
        <w:t xml:space="preserve"> act, conduct or omission, which is inconsistent with the fulfilment of the express or implied conditions of his contract of employment.  </w:t>
      </w:r>
    </w:p>
    <w:p w14:paraId="01027595" w14:textId="593DC761" w:rsidR="00FE705C" w:rsidRDefault="003E7475" w:rsidP="0002575C">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F964E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9544D2">
        <w:rPr>
          <w:rFonts w:ascii="Times New Roman" w:hAnsi="Times New Roman" w:cs="Times New Roman"/>
          <w:sz w:val="24"/>
          <w:szCs w:val="24"/>
        </w:rPr>
        <w:t>The facts relat</w:t>
      </w:r>
      <w:r w:rsidR="00326F9A">
        <w:rPr>
          <w:rFonts w:ascii="Times New Roman" w:hAnsi="Times New Roman" w:cs="Times New Roman"/>
          <w:sz w:val="24"/>
          <w:szCs w:val="24"/>
        </w:rPr>
        <w:t>ing</w:t>
      </w:r>
      <w:r w:rsidR="009544D2">
        <w:rPr>
          <w:rFonts w:ascii="Times New Roman" w:hAnsi="Times New Roman" w:cs="Times New Roman"/>
          <w:sz w:val="24"/>
          <w:szCs w:val="24"/>
        </w:rPr>
        <w:t xml:space="preserve"> to the Feedmix booking constituted the first charge. </w:t>
      </w:r>
      <w:r w:rsidR="00FE705C">
        <w:rPr>
          <w:rFonts w:ascii="Times New Roman" w:hAnsi="Times New Roman" w:cs="Times New Roman"/>
          <w:sz w:val="24"/>
          <w:szCs w:val="24"/>
        </w:rPr>
        <w:t xml:space="preserve"> </w:t>
      </w:r>
      <w:r w:rsidR="00326F9A">
        <w:rPr>
          <w:rFonts w:ascii="Times New Roman" w:hAnsi="Times New Roman" w:cs="Times New Roman"/>
          <w:sz w:val="24"/>
          <w:szCs w:val="24"/>
        </w:rPr>
        <w:t>The appellant was alleged to have failed to complete a booking of a customer</w:t>
      </w:r>
      <w:r w:rsidR="00ED7D03">
        <w:rPr>
          <w:rFonts w:ascii="Times New Roman" w:hAnsi="Times New Roman" w:cs="Times New Roman"/>
          <w:sz w:val="24"/>
          <w:szCs w:val="24"/>
        </w:rPr>
        <w:t xml:space="preserve"> and</w:t>
      </w:r>
      <w:r w:rsidR="00326F9A">
        <w:rPr>
          <w:rFonts w:ascii="Times New Roman" w:hAnsi="Times New Roman" w:cs="Times New Roman"/>
          <w:sz w:val="24"/>
          <w:szCs w:val="24"/>
        </w:rPr>
        <w:t xml:space="preserve"> send it to a virtual partner.</w:t>
      </w:r>
      <w:r w:rsidR="00ED7D03">
        <w:rPr>
          <w:rFonts w:ascii="Times New Roman" w:hAnsi="Times New Roman" w:cs="Times New Roman"/>
          <w:sz w:val="24"/>
          <w:szCs w:val="24"/>
        </w:rPr>
        <w:t xml:space="preserve"> </w:t>
      </w:r>
      <w:r w:rsidR="00FE705C">
        <w:rPr>
          <w:rFonts w:ascii="Times New Roman" w:hAnsi="Times New Roman" w:cs="Times New Roman"/>
          <w:sz w:val="24"/>
          <w:szCs w:val="24"/>
        </w:rPr>
        <w:t xml:space="preserve"> </w:t>
      </w:r>
      <w:r w:rsidR="00ED7D03">
        <w:rPr>
          <w:rFonts w:ascii="Times New Roman" w:hAnsi="Times New Roman" w:cs="Times New Roman"/>
          <w:sz w:val="24"/>
          <w:szCs w:val="24"/>
        </w:rPr>
        <w:t xml:space="preserve">These failures </w:t>
      </w:r>
      <w:r w:rsidR="00326F9A">
        <w:rPr>
          <w:rFonts w:ascii="Times New Roman" w:hAnsi="Times New Roman" w:cs="Times New Roman"/>
          <w:sz w:val="24"/>
          <w:szCs w:val="24"/>
        </w:rPr>
        <w:t>left the customer stranded and caused</w:t>
      </w:r>
      <w:r w:rsidR="00ED7D03">
        <w:rPr>
          <w:rFonts w:ascii="Times New Roman" w:hAnsi="Times New Roman" w:cs="Times New Roman"/>
          <w:sz w:val="24"/>
          <w:szCs w:val="24"/>
        </w:rPr>
        <w:t xml:space="preserve"> it</w:t>
      </w:r>
      <w:r w:rsidR="00326F9A">
        <w:rPr>
          <w:rFonts w:ascii="Times New Roman" w:hAnsi="Times New Roman" w:cs="Times New Roman"/>
          <w:sz w:val="24"/>
          <w:szCs w:val="24"/>
        </w:rPr>
        <w:t xml:space="preserve"> to make alternative arrangements. </w:t>
      </w:r>
    </w:p>
    <w:p w14:paraId="29C4BDBF" w14:textId="17C8AE44" w:rsidR="00121CCA" w:rsidRDefault="00B92F95" w:rsidP="009F6647">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F964E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9544D2">
        <w:rPr>
          <w:rFonts w:ascii="Times New Roman" w:hAnsi="Times New Roman" w:cs="Times New Roman"/>
          <w:sz w:val="24"/>
          <w:szCs w:val="24"/>
        </w:rPr>
        <w:t>The facts pertaining to the legacy debt</w:t>
      </w:r>
      <w:r w:rsidR="00030ECF">
        <w:rPr>
          <w:rFonts w:ascii="Times New Roman" w:hAnsi="Times New Roman" w:cs="Times New Roman"/>
          <w:sz w:val="24"/>
          <w:szCs w:val="24"/>
        </w:rPr>
        <w:t xml:space="preserve"> were split </w:t>
      </w:r>
      <w:r w:rsidR="00121CCA">
        <w:rPr>
          <w:rFonts w:ascii="Times New Roman" w:hAnsi="Times New Roman" w:cs="Times New Roman"/>
          <w:sz w:val="24"/>
          <w:szCs w:val="24"/>
        </w:rPr>
        <w:t>in</w:t>
      </w:r>
      <w:r w:rsidR="00030ECF">
        <w:rPr>
          <w:rFonts w:ascii="Times New Roman" w:hAnsi="Times New Roman" w:cs="Times New Roman"/>
          <w:sz w:val="24"/>
          <w:szCs w:val="24"/>
        </w:rPr>
        <w:t xml:space="preserve">to various counts </w:t>
      </w:r>
      <w:r w:rsidR="00121CCA">
        <w:rPr>
          <w:rFonts w:ascii="Times New Roman" w:hAnsi="Times New Roman" w:cs="Times New Roman"/>
          <w:sz w:val="24"/>
          <w:szCs w:val="24"/>
        </w:rPr>
        <w:t>to constitute t</w:t>
      </w:r>
      <w:r w:rsidR="00661F1E">
        <w:rPr>
          <w:rFonts w:ascii="Times New Roman" w:hAnsi="Times New Roman" w:cs="Times New Roman"/>
          <w:sz w:val="24"/>
          <w:szCs w:val="24"/>
        </w:rPr>
        <w:t xml:space="preserve">he second charge.  </w:t>
      </w:r>
      <w:r w:rsidR="00121CCA">
        <w:rPr>
          <w:rFonts w:ascii="Times New Roman" w:hAnsi="Times New Roman" w:cs="Times New Roman"/>
          <w:sz w:val="24"/>
          <w:szCs w:val="24"/>
        </w:rPr>
        <w:t xml:space="preserve">The global allegation being that he facilitated the booking of the </w:t>
      </w:r>
      <w:r w:rsidR="007F3ACA">
        <w:rPr>
          <w:rFonts w:ascii="Times New Roman" w:hAnsi="Times New Roman" w:cs="Times New Roman"/>
          <w:sz w:val="24"/>
          <w:szCs w:val="24"/>
        </w:rPr>
        <w:t>M</w:t>
      </w:r>
      <w:r w:rsidR="00121CCA">
        <w:rPr>
          <w:rFonts w:ascii="Times New Roman" w:hAnsi="Times New Roman" w:cs="Times New Roman"/>
          <w:sz w:val="24"/>
          <w:szCs w:val="24"/>
        </w:rPr>
        <w:t xml:space="preserve">inistry by deliberately ignoring standing instructions or established procedures of the hotel. </w:t>
      </w:r>
      <w:r w:rsidR="00661F1E">
        <w:rPr>
          <w:rFonts w:ascii="Times New Roman" w:hAnsi="Times New Roman" w:cs="Times New Roman"/>
          <w:sz w:val="24"/>
          <w:szCs w:val="24"/>
        </w:rPr>
        <w:t xml:space="preserve"> </w:t>
      </w:r>
      <w:r w:rsidR="00423BCC">
        <w:rPr>
          <w:rFonts w:ascii="Times New Roman" w:hAnsi="Times New Roman" w:cs="Times New Roman"/>
          <w:sz w:val="24"/>
          <w:szCs w:val="24"/>
        </w:rPr>
        <w:t>He did not refer the booking enquiry to</w:t>
      </w:r>
      <w:r w:rsidR="001E7DF7">
        <w:rPr>
          <w:rFonts w:ascii="Times New Roman" w:hAnsi="Times New Roman" w:cs="Times New Roman"/>
          <w:sz w:val="24"/>
          <w:szCs w:val="24"/>
        </w:rPr>
        <w:t xml:space="preserve"> the Key Account Manager</w:t>
      </w:r>
      <w:r w:rsidR="00423BCC">
        <w:rPr>
          <w:rFonts w:ascii="Times New Roman" w:hAnsi="Times New Roman" w:cs="Times New Roman"/>
          <w:sz w:val="24"/>
          <w:szCs w:val="24"/>
        </w:rPr>
        <w:t xml:space="preserve"> nor thereafter act on the authority of such a </w:t>
      </w:r>
      <w:r w:rsidR="007F3ACA">
        <w:rPr>
          <w:rFonts w:ascii="Times New Roman" w:hAnsi="Times New Roman" w:cs="Times New Roman"/>
          <w:sz w:val="24"/>
          <w:szCs w:val="24"/>
        </w:rPr>
        <w:t>manager</w:t>
      </w:r>
      <w:r w:rsidR="00423BCC">
        <w:rPr>
          <w:rFonts w:ascii="Times New Roman" w:hAnsi="Times New Roman" w:cs="Times New Roman"/>
          <w:sz w:val="24"/>
          <w:szCs w:val="24"/>
        </w:rPr>
        <w:t xml:space="preserve">. </w:t>
      </w:r>
      <w:r w:rsidR="00661F1E">
        <w:rPr>
          <w:rFonts w:ascii="Times New Roman" w:hAnsi="Times New Roman" w:cs="Times New Roman"/>
          <w:sz w:val="24"/>
          <w:szCs w:val="24"/>
        </w:rPr>
        <w:t xml:space="preserve"> </w:t>
      </w:r>
      <w:r w:rsidR="00423BCC">
        <w:rPr>
          <w:rFonts w:ascii="Times New Roman" w:hAnsi="Times New Roman" w:cs="Times New Roman"/>
          <w:sz w:val="24"/>
          <w:szCs w:val="24"/>
        </w:rPr>
        <w:t>The result was that he facilitated the booking of a legacy debtor who was disqualified from accessing the respondent’s services because of its outstanding indebtedness.</w:t>
      </w:r>
    </w:p>
    <w:p w14:paraId="4C4C9D5F" w14:textId="7E223592" w:rsidR="003E7475" w:rsidRDefault="00121CCA" w:rsidP="009F6647">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F964E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030ECF">
        <w:rPr>
          <w:rFonts w:ascii="Times New Roman" w:hAnsi="Times New Roman" w:cs="Times New Roman"/>
          <w:sz w:val="24"/>
          <w:szCs w:val="24"/>
        </w:rPr>
        <w:t xml:space="preserve">The last charge related to the </w:t>
      </w:r>
      <w:r w:rsidR="003E7475">
        <w:rPr>
          <w:rFonts w:ascii="Times New Roman" w:hAnsi="Times New Roman" w:cs="Times New Roman"/>
          <w:sz w:val="24"/>
          <w:szCs w:val="24"/>
        </w:rPr>
        <w:t xml:space="preserve">creation and </w:t>
      </w:r>
      <w:r w:rsidR="00030ECF">
        <w:rPr>
          <w:rFonts w:ascii="Times New Roman" w:hAnsi="Times New Roman" w:cs="Times New Roman"/>
          <w:sz w:val="24"/>
          <w:szCs w:val="24"/>
        </w:rPr>
        <w:t xml:space="preserve">submission of </w:t>
      </w:r>
      <w:r w:rsidR="005A6AA9">
        <w:rPr>
          <w:rFonts w:ascii="Times New Roman" w:hAnsi="Times New Roman" w:cs="Times New Roman"/>
          <w:sz w:val="24"/>
          <w:szCs w:val="24"/>
        </w:rPr>
        <w:t xml:space="preserve">four </w:t>
      </w:r>
      <w:r w:rsidR="00030ECF">
        <w:rPr>
          <w:rFonts w:ascii="Times New Roman" w:hAnsi="Times New Roman" w:cs="Times New Roman"/>
          <w:sz w:val="24"/>
          <w:szCs w:val="24"/>
        </w:rPr>
        <w:t>fictitious emails to the employer in his initial response to</w:t>
      </w:r>
      <w:r w:rsidR="005A6AA9">
        <w:rPr>
          <w:rFonts w:ascii="Times New Roman" w:hAnsi="Times New Roman" w:cs="Times New Roman"/>
          <w:sz w:val="24"/>
          <w:szCs w:val="24"/>
        </w:rPr>
        <w:t xml:space="preserve"> the </w:t>
      </w:r>
      <w:r w:rsidR="00030ECF">
        <w:rPr>
          <w:rFonts w:ascii="Times New Roman" w:hAnsi="Times New Roman" w:cs="Times New Roman"/>
          <w:sz w:val="24"/>
          <w:szCs w:val="24"/>
        </w:rPr>
        <w:t>enquiry on his conduct</w:t>
      </w:r>
      <w:r w:rsidR="005A6AA9">
        <w:rPr>
          <w:rFonts w:ascii="Times New Roman" w:hAnsi="Times New Roman" w:cs="Times New Roman"/>
          <w:sz w:val="24"/>
          <w:szCs w:val="24"/>
        </w:rPr>
        <w:t xml:space="preserve"> over</w:t>
      </w:r>
      <w:r w:rsidR="00030ECF">
        <w:rPr>
          <w:rFonts w:ascii="Times New Roman" w:hAnsi="Times New Roman" w:cs="Times New Roman"/>
          <w:sz w:val="24"/>
          <w:szCs w:val="24"/>
        </w:rPr>
        <w:t xml:space="preserve"> the legacy debt.</w:t>
      </w:r>
      <w:r w:rsidR="00A404AA">
        <w:rPr>
          <w:rFonts w:ascii="Times New Roman" w:hAnsi="Times New Roman" w:cs="Times New Roman"/>
          <w:sz w:val="24"/>
          <w:szCs w:val="24"/>
        </w:rPr>
        <w:t xml:space="preserve"> </w:t>
      </w:r>
    </w:p>
    <w:p w14:paraId="592F21A4" w14:textId="0FC4EE77" w:rsidR="003C751E" w:rsidRPr="00E47452" w:rsidRDefault="00326F9A" w:rsidP="0002575C">
      <w:pPr>
        <w:ind w:left="567" w:hanging="567"/>
        <w:jc w:val="both"/>
        <w:rPr>
          <w:rFonts w:ascii="Times New Roman" w:hAnsi="Times New Roman" w:cs="Times New Roman"/>
          <w:b/>
          <w:bCs/>
          <w:sz w:val="24"/>
          <w:szCs w:val="24"/>
          <w:u w:val="single"/>
        </w:rPr>
      </w:pPr>
      <w:r w:rsidRPr="00E47452">
        <w:rPr>
          <w:rFonts w:ascii="Times New Roman" w:hAnsi="Times New Roman" w:cs="Times New Roman"/>
          <w:b/>
          <w:bCs/>
          <w:sz w:val="24"/>
          <w:szCs w:val="24"/>
          <w:u w:val="single"/>
        </w:rPr>
        <w:lastRenderedPageBreak/>
        <w:t>THE INTERNAL HEARINGS</w:t>
      </w:r>
    </w:p>
    <w:p w14:paraId="206D7965" w14:textId="121A49A0" w:rsidR="00621A38" w:rsidRDefault="00A404AA" w:rsidP="00172BF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F964EB">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8F6287">
        <w:rPr>
          <w:rFonts w:ascii="Times New Roman" w:hAnsi="Times New Roman" w:cs="Times New Roman"/>
          <w:sz w:val="24"/>
          <w:szCs w:val="24"/>
        </w:rPr>
        <w:t>The appellant</w:t>
      </w:r>
      <w:r>
        <w:rPr>
          <w:rFonts w:ascii="Times New Roman" w:hAnsi="Times New Roman" w:cs="Times New Roman"/>
          <w:sz w:val="24"/>
          <w:szCs w:val="24"/>
        </w:rPr>
        <w:t xml:space="preserve"> appeared before the Disciplinary Hearing Officer (DHO) on these charges on 19 and 23 May and 2, 12 and 23 June 2023. </w:t>
      </w:r>
      <w:r w:rsidR="00C0231F">
        <w:rPr>
          <w:rFonts w:ascii="Times New Roman" w:hAnsi="Times New Roman" w:cs="Times New Roman"/>
          <w:sz w:val="24"/>
          <w:szCs w:val="24"/>
        </w:rPr>
        <w:t xml:space="preserve"> </w:t>
      </w:r>
      <w:r>
        <w:rPr>
          <w:rFonts w:ascii="Times New Roman" w:hAnsi="Times New Roman" w:cs="Times New Roman"/>
          <w:sz w:val="24"/>
          <w:szCs w:val="24"/>
        </w:rPr>
        <w:t>He was found guilty of all the charges</w:t>
      </w:r>
      <w:r w:rsidR="003E7475">
        <w:rPr>
          <w:rFonts w:ascii="Times New Roman" w:hAnsi="Times New Roman" w:cs="Times New Roman"/>
          <w:sz w:val="24"/>
          <w:szCs w:val="24"/>
        </w:rPr>
        <w:t xml:space="preserve"> and dismissed from employment with effect from 8 May 2023</w:t>
      </w:r>
      <w:r>
        <w:rPr>
          <w:rFonts w:ascii="Times New Roman" w:hAnsi="Times New Roman" w:cs="Times New Roman"/>
          <w:sz w:val="24"/>
          <w:szCs w:val="24"/>
        </w:rPr>
        <w:t>.</w:t>
      </w:r>
      <w:r w:rsidR="00621A38">
        <w:rPr>
          <w:rFonts w:ascii="Times New Roman" w:hAnsi="Times New Roman" w:cs="Times New Roman"/>
          <w:sz w:val="24"/>
          <w:szCs w:val="24"/>
        </w:rPr>
        <w:t xml:space="preserve"> </w:t>
      </w:r>
    </w:p>
    <w:p w14:paraId="689721DE" w14:textId="158734A0" w:rsidR="008F6287" w:rsidRDefault="00A404AA" w:rsidP="00172BF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8F6287">
        <w:rPr>
          <w:rFonts w:ascii="Times New Roman" w:hAnsi="Times New Roman" w:cs="Times New Roman"/>
          <w:sz w:val="24"/>
          <w:szCs w:val="24"/>
        </w:rPr>
        <w:t>1</w:t>
      </w:r>
      <w:r w:rsidR="00F964EB">
        <w:rPr>
          <w:rFonts w:ascii="Times New Roman" w:hAnsi="Times New Roman" w:cs="Times New Roman"/>
          <w:sz w:val="24"/>
          <w:szCs w:val="24"/>
        </w:rPr>
        <w:t>8</w:t>
      </w:r>
      <w:r w:rsidR="008F6287">
        <w:rPr>
          <w:rFonts w:ascii="Times New Roman" w:hAnsi="Times New Roman" w:cs="Times New Roman"/>
          <w:sz w:val="24"/>
          <w:szCs w:val="24"/>
        </w:rPr>
        <w:t>]</w:t>
      </w:r>
      <w:r w:rsidR="008F6287">
        <w:rPr>
          <w:rFonts w:ascii="Times New Roman" w:hAnsi="Times New Roman" w:cs="Times New Roman"/>
          <w:sz w:val="24"/>
          <w:szCs w:val="24"/>
        </w:rPr>
        <w:tab/>
        <w:t xml:space="preserve">The Code of conduct has a two-tier appeal process for employees such as the appellant. In terms of clause 2.3.3 of the Code, the first stage of the appeal is to the head of the division. </w:t>
      </w:r>
      <w:r w:rsidR="00C0231F">
        <w:rPr>
          <w:rFonts w:ascii="Times New Roman" w:hAnsi="Times New Roman" w:cs="Times New Roman"/>
          <w:sz w:val="24"/>
          <w:szCs w:val="24"/>
        </w:rPr>
        <w:t xml:space="preserve"> </w:t>
      </w:r>
      <w:r w:rsidR="008F6287">
        <w:rPr>
          <w:rFonts w:ascii="Times New Roman" w:hAnsi="Times New Roman" w:cs="Times New Roman"/>
          <w:sz w:val="24"/>
          <w:szCs w:val="24"/>
        </w:rPr>
        <w:t>The second stage of the appeal, in terms of clause</w:t>
      </w:r>
      <w:r w:rsidR="007F3ACA">
        <w:rPr>
          <w:rFonts w:ascii="Times New Roman" w:hAnsi="Times New Roman" w:cs="Times New Roman"/>
          <w:sz w:val="24"/>
          <w:szCs w:val="24"/>
        </w:rPr>
        <w:t xml:space="preserve"> </w:t>
      </w:r>
      <w:r w:rsidR="008F6287">
        <w:rPr>
          <w:rFonts w:ascii="Times New Roman" w:hAnsi="Times New Roman" w:cs="Times New Roman"/>
          <w:sz w:val="24"/>
          <w:szCs w:val="24"/>
        </w:rPr>
        <w:t>2.3.4 of the Code is to the Head of the Group.</w:t>
      </w:r>
    </w:p>
    <w:p w14:paraId="55A7EC52" w14:textId="6D24039D" w:rsidR="00A404AA" w:rsidRDefault="008F6287" w:rsidP="008C25D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F964E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3E7475">
        <w:rPr>
          <w:rFonts w:ascii="Times New Roman" w:hAnsi="Times New Roman" w:cs="Times New Roman"/>
          <w:sz w:val="24"/>
          <w:szCs w:val="24"/>
        </w:rPr>
        <w:t>The appellant’s respective appeals to these two Appeal Officers were both unsuccessful.</w:t>
      </w:r>
      <w:r>
        <w:rPr>
          <w:rFonts w:ascii="Times New Roman" w:hAnsi="Times New Roman" w:cs="Times New Roman"/>
          <w:sz w:val="24"/>
          <w:szCs w:val="24"/>
        </w:rPr>
        <w:t xml:space="preserve"> </w:t>
      </w:r>
      <w:r w:rsidR="003E7475">
        <w:rPr>
          <w:rFonts w:ascii="Times New Roman" w:hAnsi="Times New Roman" w:cs="Times New Roman"/>
          <w:sz w:val="24"/>
          <w:szCs w:val="24"/>
        </w:rPr>
        <w:t xml:space="preserve">The head of the division upheld the determination and penalty of the DHO. </w:t>
      </w:r>
      <w:r w:rsidR="00C0231F">
        <w:rPr>
          <w:rFonts w:ascii="Times New Roman" w:hAnsi="Times New Roman" w:cs="Times New Roman"/>
          <w:sz w:val="24"/>
          <w:szCs w:val="24"/>
        </w:rPr>
        <w:t xml:space="preserve"> </w:t>
      </w:r>
      <w:r w:rsidR="003E7475">
        <w:rPr>
          <w:rFonts w:ascii="Times New Roman" w:hAnsi="Times New Roman" w:cs="Times New Roman"/>
          <w:sz w:val="24"/>
          <w:szCs w:val="24"/>
        </w:rPr>
        <w:t>The second appeals officer upheld the d</w:t>
      </w:r>
      <w:r w:rsidR="00246E30">
        <w:rPr>
          <w:rFonts w:ascii="Times New Roman" w:hAnsi="Times New Roman" w:cs="Times New Roman"/>
          <w:sz w:val="24"/>
          <w:szCs w:val="24"/>
        </w:rPr>
        <w:t>ecision</w:t>
      </w:r>
      <w:r w:rsidR="003E7475">
        <w:rPr>
          <w:rFonts w:ascii="Times New Roman" w:hAnsi="Times New Roman" w:cs="Times New Roman"/>
          <w:sz w:val="24"/>
          <w:szCs w:val="24"/>
        </w:rPr>
        <w:t xml:space="preserve"> of the first appeals officer.</w:t>
      </w:r>
    </w:p>
    <w:p w14:paraId="71AA24D5" w14:textId="77777777" w:rsidR="00C0231F" w:rsidRDefault="00C0231F" w:rsidP="00C0231F">
      <w:pPr>
        <w:spacing w:after="0" w:line="240" w:lineRule="auto"/>
        <w:ind w:left="720" w:hanging="720"/>
        <w:jc w:val="both"/>
        <w:rPr>
          <w:rFonts w:ascii="Times New Roman" w:hAnsi="Times New Roman" w:cs="Times New Roman"/>
          <w:sz w:val="24"/>
          <w:szCs w:val="24"/>
        </w:rPr>
      </w:pPr>
    </w:p>
    <w:p w14:paraId="410F4AD7" w14:textId="400847FB" w:rsidR="00F528D7" w:rsidRPr="00E47452" w:rsidRDefault="00F528D7" w:rsidP="00635116">
      <w:pPr>
        <w:ind w:left="720" w:hanging="720"/>
        <w:jc w:val="both"/>
        <w:rPr>
          <w:rFonts w:ascii="Times New Roman" w:hAnsi="Times New Roman" w:cs="Times New Roman"/>
          <w:b/>
          <w:bCs/>
          <w:sz w:val="24"/>
          <w:szCs w:val="24"/>
          <w:u w:val="single"/>
        </w:rPr>
      </w:pPr>
      <w:r w:rsidRPr="00E47452">
        <w:rPr>
          <w:rFonts w:ascii="Times New Roman" w:hAnsi="Times New Roman" w:cs="Times New Roman"/>
          <w:b/>
          <w:bCs/>
          <w:sz w:val="24"/>
          <w:szCs w:val="24"/>
          <w:u w:val="single"/>
        </w:rPr>
        <w:t>THE FINDINGS OF THE DHO</w:t>
      </w:r>
    </w:p>
    <w:p w14:paraId="55D25388" w14:textId="653D6497" w:rsidR="00F528D7" w:rsidRDefault="00CE62B9" w:rsidP="008C25D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F528D7">
        <w:rPr>
          <w:rFonts w:ascii="Times New Roman" w:hAnsi="Times New Roman" w:cs="Times New Roman"/>
          <w:sz w:val="24"/>
          <w:szCs w:val="24"/>
        </w:rPr>
        <w:t xml:space="preserve">The respondent called the oral testimony of three witnesses. </w:t>
      </w:r>
      <w:r w:rsidR="00C0231F">
        <w:rPr>
          <w:rFonts w:ascii="Times New Roman" w:hAnsi="Times New Roman" w:cs="Times New Roman"/>
          <w:sz w:val="24"/>
          <w:szCs w:val="24"/>
        </w:rPr>
        <w:t xml:space="preserve"> </w:t>
      </w:r>
      <w:r w:rsidR="00F528D7">
        <w:rPr>
          <w:rFonts w:ascii="Times New Roman" w:hAnsi="Times New Roman" w:cs="Times New Roman"/>
          <w:sz w:val="24"/>
          <w:szCs w:val="24"/>
        </w:rPr>
        <w:t xml:space="preserve">These were </w:t>
      </w:r>
      <w:proofErr w:type="spellStart"/>
      <w:r w:rsidR="00F528D7">
        <w:rPr>
          <w:rFonts w:ascii="Times New Roman" w:hAnsi="Times New Roman" w:cs="Times New Roman"/>
          <w:sz w:val="24"/>
          <w:szCs w:val="24"/>
        </w:rPr>
        <w:t>Isheunesu</w:t>
      </w:r>
      <w:proofErr w:type="spellEnd"/>
      <w:r w:rsidR="00F528D7">
        <w:rPr>
          <w:rFonts w:ascii="Times New Roman" w:hAnsi="Times New Roman" w:cs="Times New Roman"/>
          <w:sz w:val="24"/>
          <w:szCs w:val="24"/>
        </w:rPr>
        <w:t xml:space="preserve"> </w:t>
      </w:r>
      <w:proofErr w:type="spellStart"/>
      <w:r w:rsidR="00F528D7">
        <w:rPr>
          <w:rFonts w:ascii="Times New Roman" w:hAnsi="Times New Roman" w:cs="Times New Roman"/>
          <w:sz w:val="24"/>
          <w:szCs w:val="24"/>
        </w:rPr>
        <w:t>Makambira</w:t>
      </w:r>
      <w:proofErr w:type="spellEnd"/>
      <w:r w:rsidR="00F528D7">
        <w:rPr>
          <w:rFonts w:ascii="Times New Roman" w:hAnsi="Times New Roman" w:cs="Times New Roman"/>
          <w:sz w:val="24"/>
          <w:szCs w:val="24"/>
        </w:rPr>
        <w:t xml:space="preserve"> who took over as the appellant’s head of department</w:t>
      </w:r>
      <w:r w:rsidR="00C0231F">
        <w:rPr>
          <w:rFonts w:ascii="Times New Roman" w:hAnsi="Times New Roman" w:cs="Times New Roman"/>
          <w:sz w:val="24"/>
          <w:szCs w:val="24"/>
        </w:rPr>
        <w:t xml:space="preserve"> from Tinashe </w:t>
      </w:r>
      <w:proofErr w:type="spellStart"/>
      <w:r w:rsidR="00C0231F">
        <w:rPr>
          <w:rFonts w:ascii="Times New Roman" w:hAnsi="Times New Roman" w:cs="Times New Roman"/>
          <w:sz w:val="24"/>
          <w:szCs w:val="24"/>
        </w:rPr>
        <w:t>Kuvheya</w:t>
      </w:r>
      <w:proofErr w:type="spellEnd"/>
      <w:r w:rsidR="00C0231F">
        <w:rPr>
          <w:rFonts w:ascii="Times New Roman" w:hAnsi="Times New Roman" w:cs="Times New Roman"/>
          <w:sz w:val="24"/>
          <w:szCs w:val="24"/>
        </w:rPr>
        <w:t xml:space="preserve">.  </w:t>
      </w:r>
      <w:r w:rsidR="00031D37">
        <w:rPr>
          <w:rFonts w:ascii="Times New Roman" w:hAnsi="Times New Roman" w:cs="Times New Roman"/>
          <w:sz w:val="24"/>
          <w:szCs w:val="24"/>
        </w:rPr>
        <w:t>When</w:t>
      </w:r>
      <w:r w:rsidR="00F528D7">
        <w:rPr>
          <w:rFonts w:ascii="Times New Roman" w:hAnsi="Times New Roman" w:cs="Times New Roman"/>
          <w:sz w:val="24"/>
          <w:szCs w:val="24"/>
        </w:rPr>
        <w:t xml:space="preserve"> the allegations arose, he was the Business Development Manager under the purview of Tinashe </w:t>
      </w:r>
      <w:proofErr w:type="spellStart"/>
      <w:r w:rsidR="00F528D7">
        <w:rPr>
          <w:rFonts w:ascii="Times New Roman" w:hAnsi="Times New Roman" w:cs="Times New Roman"/>
          <w:sz w:val="24"/>
          <w:szCs w:val="24"/>
        </w:rPr>
        <w:t>Kuvheya</w:t>
      </w:r>
      <w:proofErr w:type="spellEnd"/>
      <w:r w:rsidR="00F528D7">
        <w:rPr>
          <w:rFonts w:ascii="Times New Roman" w:hAnsi="Times New Roman" w:cs="Times New Roman"/>
          <w:sz w:val="24"/>
          <w:szCs w:val="24"/>
        </w:rPr>
        <w:t xml:space="preserve">. </w:t>
      </w:r>
      <w:r w:rsidR="00C0231F">
        <w:rPr>
          <w:rFonts w:ascii="Times New Roman" w:hAnsi="Times New Roman" w:cs="Times New Roman"/>
          <w:sz w:val="24"/>
          <w:szCs w:val="24"/>
        </w:rPr>
        <w:t xml:space="preserve"> </w:t>
      </w:r>
      <w:r w:rsidR="00F528D7">
        <w:rPr>
          <w:rFonts w:ascii="Times New Roman" w:hAnsi="Times New Roman" w:cs="Times New Roman"/>
          <w:sz w:val="24"/>
          <w:szCs w:val="24"/>
        </w:rPr>
        <w:t xml:space="preserve">The second witness was Fadzai Makuvise, a customer reservationist at the Rainbow Towers </w:t>
      </w:r>
      <w:r w:rsidR="00031D37">
        <w:rPr>
          <w:rFonts w:ascii="Times New Roman" w:hAnsi="Times New Roman" w:cs="Times New Roman"/>
          <w:sz w:val="24"/>
          <w:szCs w:val="24"/>
        </w:rPr>
        <w:t xml:space="preserve">Hotel </w:t>
      </w:r>
      <w:r w:rsidR="00F528D7">
        <w:rPr>
          <w:rFonts w:ascii="Times New Roman" w:hAnsi="Times New Roman" w:cs="Times New Roman"/>
          <w:sz w:val="24"/>
          <w:szCs w:val="24"/>
        </w:rPr>
        <w:t xml:space="preserve">in Harare. </w:t>
      </w:r>
      <w:r w:rsidR="00C0231F">
        <w:rPr>
          <w:rFonts w:ascii="Times New Roman" w:hAnsi="Times New Roman" w:cs="Times New Roman"/>
          <w:sz w:val="24"/>
          <w:szCs w:val="24"/>
        </w:rPr>
        <w:t xml:space="preserve"> </w:t>
      </w:r>
      <w:r w:rsidR="0050289A">
        <w:rPr>
          <w:rFonts w:ascii="Times New Roman" w:hAnsi="Times New Roman" w:cs="Times New Roman"/>
          <w:sz w:val="24"/>
          <w:szCs w:val="24"/>
        </w:rPr>
        <w:t xml:space="preserve">She worked in </w:t>
      </w:r>
      <w:r w:rsidR="00031D37">
        <w:rPr>
          <w:rFonts w:ascii="Times New Roman" w:hAnsi="Times New Roman" w:cs="Times New Roman"/>
          <w:sz w:val="24"/>
          <w:szCs w:val="24"/>
        </w:rPr>
        <w:t>liaison</w:t>
      </w:r>
      <w:r w:rsidR="0050289A">
        <w:rPr>
          <w:rFonts w:ascii="Times New Roman" w:hAnsi="Times New Roman" w:cs="Times New Roman"/>
          <w:sz w:val="24"/>
          <w:szCs w:val="24"/>
        </w:rPr>
        <w:t xml:space="preserve"> with the appellant. </w:t>
      </w:r>
      <w:r w:rsidR="00C0231F">
        <w:rPr>
          <w:rFonts w:ascii="Times New Roman" w:hAnsi="Times New Roman" w:cs="Times New Roman"/>
          <w:sz w:val="24"/>
          <w:szCs w:val="24"/>
        </w:rPr>
        <w:t xml:space="preserve"> </w:t>
      </w:r>
      <w:r w:rsidR="0050289A">
        <w:rPr>
          <w:rFonts w:ascii="Times New Roman" w:hAnsi="Times New Roman" w:cs="Times New Roman"/>
          <w:sz w:val="24"/>
          <w:szCs w:val="24"/>
        </w:rPr>
        <w:t>The third witness was Tawanda Kwidini</w:t>
      </w:r>
      <w:r w:rsidR="00F528D7">
        <w:rPr>
          <w:rFonts w:ascii="Times New Roman" w:hAnsi="Times New Roman" w:cs="Times New Roman"/>
          <w:sz w:val="24"/>
          <w:szCs w:val="24"/>
        </w:rPr>
        <w:t xml:space="preserve"> </w:t>
      </w:r>
      <w:r w:rsidR="0050289A">
        <w:rPr>
          <w:rFonts w:ascii="Times New Roman" w:hAnsi="Times New Roman" w:cs="Times New Roman"/>
          <w:sz w:val="24"/>
          <w:szCs w:val="24"/>
        </w:rPr>
        <w:t>the Customer Services manager at the same hotel.</w:t>
      </w:r>
      <w:r w:rsidR="002A6501">
        <w:rPr>
          <w:rFonts w:ascii="Times New Roman" w:hAnsi="Times New Roman" w:cs="Times New Roman"/>
          <w:sz w:val="24"/>
          <w:szCs w:val="24"/>
        </w:rPr>
        <w:t xml:space="preserve"> </w:t>
      </w:r>
      <w:r w:rsidR="00C0231F">
        <w:rPr>
          <w:rFonts w:ascii="Times New Roman" w:hAnsi="Times New Roman" w:cs="Times New Roman"/>
          <w:sz w:val="24"/>
          <w:szCs w:val="24"/>
        </w:rPr>
        <w:t xml:space="preserve"> </w:t>
      </w:r>
      <w:r w:rsidR="002A6501">
        <w:rPr>
          <w:rFonts w:ascii="Times New Roman" w:hAnsi="Times New Roman" w:cs="Times New Roman"/>
          <w:sz w:val="24"/>
          <w:szCs w:val="24"/>
        </w:rPr>
        <w:t xml:space="preserve">The written testimony of the IT expert Mr </w:t>
      </w:r>
      <w:proofErr w:type="spellStart"/>
      <w:r w:rsidR="002A6501">
        <w:rPr>
          <w:rFonts w:ascii="Times New Roman" w:hAnsi="Times New Roman" w:cs="Times New Roman"/>
          <w:sz w:val="24"/>
          <w:szCs w:val="24"/>
        </w:rPr>
        <w:t>Kilford</w:t>
      </w:r>
      <w:proofErr w:type="spellEnd"/>
      <w:r w:rsidR="002A6501">
        <w:rPr>
          <w:rFonts w:ascii="Times New Roman" w:hAnsi="Times New Roman" w:cs="Times New Roman"/>
          <w:sz w:val="24"/>
          <w:szCs w:val="24"/>
        </w:rPr>
        <w:t xml:space="preserve"> was admitted into evidence by consent of the parties.</w:t>
      </w:r>
      <w:r>
        <w:rPr>
          <w:rFonts w:ascii="Times New Roman" w:hAnsi="Times New Roman" w:cs="Times New Roman"/>
          <w:sz w:val="24"/>
          <w:szCs w:val="24"/>
        </w:rPr>
        <w:t xml:space="preserve"> </w:t>
      </w:r>
      <w:r w:rsidR="00C0231F">
        <w:rPr>
          <w:rFonts w:ascii="Times New Roman" w:hAnsi="Times New Roman" w:cs="Times New Roman"/>
          <w:sz w:val="24"/>
          <w:szCs w:val="24"/>
        </w:rPr>
        <w:t xml:space="preserve"> </w:t>
      </w:r>
      <w:r>
        <w:rPr>
          <w:rFonts w:ascii="Times New Roman" w:hAnsi="Times New Roman" w:cs="Times New Roman"/>
          <w:sz w:val="24"/>
          <w:szCs w:val="24"/>
        </w:rPr>
        <w:t xml:space="preserve">A root cause analysis report and several emails between the appellant and Mrs Chinanga and Feedmix and WhatsApp screenshots from the appellant’s cellular phone were produced by consent. </w:t>
      </w:r>
    </w:p>
    <w:p w14:paraId="699C072D" w14:textId="7F48D031" w:rsidR="00CE62B9" w:rsidRDefault="00CE62B9" w:rsidP="00B83D2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appellant was a witness in his own defence. </w:t>
      </w:r>
      <w:r w:rsidR="00C0231F">
        <w:rPr>
          <w:rFonts w:ascii="Times New Roman" w:hAnsi="Times New Roman" w:cs="Times New Roman"/>
          <w:sz w:val="24"/>
          <w:szCs w:val="24"/>
        </w:rPr>
        <w:t xml:space="preserve"> </w:t>
      </w:r>
      <w:r>
        <w:rPr>
          <w:rFonts w:ascii="Times New Roman" w:hAnsi="Times New Roman" w:cs="Times New Roman"/>
          <w:sz w:val="24"/>
          <w:szCs w:val="24"/>
        </w:rPr>
        <w:t>He also called the testimony of Mrs Chinanga.</w:t>
      </w:r>
    </w:p>
    <w:p w14:paraId="1230BF58" w14:textId="1FD1E247" w:rsidR="008601AF" w:rsidRDefault="008601AF" w:rsidP="00B83D2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[2</w:t>
      </w:r>
      <w:r w:rsidR="00031D3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DHO found that the respondent had established on a balance of probabilities the following facts. </w:t>
      </w:r>
      <w:r w:rsidR="00E23098">
        <w:rPr>
          <w:rFonts w:ascii="Times New Roman" w:hAnsi="Times New Roman" w:cs="Times New Roman"/>
          <w:sz w:val="24"/>
          <w:szCs w:val="24"/>
        </w:rPr>
        <w:t xml:space="preserve"> </w:t>
      </w:r>
      <w:r>
        <w:rPr>
          <w:rFonts w:ascii="Times New Roman" w:hAnsi="Times New Roman" w:cs="Times New Roman"/>
          <w:sz w:val="24"/>
          <w:szCs w:val="24"/>
        </w:rPr>
        <w:t xml:space="preserve">The appellant did not conduct a hand over takeover of the incomplete booking </w:t>
      </w:r>
      <w:r w:rsidR="005A41BB">
        <w:rPr>
          <w:rFonts w:ascii="Times New Roman" w:hAnsi="Times New Roman" w:cs="Times New Roman"/>
          <w:sz w:val="24"/>
          <w:szCs w:val="24"/>
        </w:rPr>
        <w:t xml:space="preserve">of </w:t>
      </w:r>
      <w:r>
        <w:rPr>
          <w:rFonts w:ascii="Times New Roman" w:hAnsi="Times New Roman" w:cs="Times New Roman"/>
          <w:sz w:val="24"/>
          <w:szCs w:val="24"/>
        </w:rPr>
        <w:t xml:space="preserve">Feedmix. </w:t>
      </w:r>
      <w:r w:rsidR="00E23098">
        <w:rPr>
          <w:rFonts w:ascii="Times New Roman" w:hAnsi="Times New Roman" w:cs="Times New Roman"/>
          <w:sz w:val="24"/>
          <w:szCs w:val="24"/>
        </w:rPr>
        <w:t xml:space="preserve"> </w:t>
      </w:r>
      <w:r>
        <w:rPr>
          <w:rFonts w:ascii="Times New Roman" w:hAnsi="Times New Roman" w:cs="Times New Roman"/>
          <w:sz w:val="24"/>
          <w:szCs w:val="24"/>
        </w:rPr>
        <w:t xml:space="preserve">He continued to work on the booking off work. </w:t>
      </w:r>
      <w:r w:rsidR="00E23098">
        <w:rPr>
          <w:rFonts w:ascii="Times New Roman" w:hAnsi="Times New Roman" w:cs="Times New Roman"/>
          <w:sz w:val="24"/>
          <w:szCs w:val="24"/>
        </w:rPr>
        <w:t xml:space="preserve"> </w:t>
      </w:r>
      <w:r>
        <w:rPr>
          <w:rFonts w:ascii="Times New Roman" w:hAnsi="Times New Roman" w:cs="Times New Roman"/>
          <w:sz w:val="24"/>
          <w:szCs w:val="24"/>
        </w:rPr>
        <w:t xml:space="preserve">He forwarded an expired tax clearance certificate to Feedmix, which disabled Feedmix from making payment for the booking. </w:t>
      </w:r>
      <w:r w:rsidR="00E23098">
        <w:rPr>
          <w:rFonts w:ascii="Times New Roman" w:hAnsi="Times New Roman" w:cs="Times New Roman"/>
          <w:sz w:val="24"/>
          <w:szCs w:val="24"/>
        </w:rPr>
        <w:t xml:space="preserve"> </w:t>
      </w:r>
      <w:r w:rsidR="00D037CF">
        <w:rPr>
          <w:rFonts w:ascii="Times New Roman" w:hAnsi="Times New Roman" w:cs="Times New Roman"/>
          <w:sz w:val="24"/>
          <w:szCs w:val="24"/>
        </w:rPr>
        <w:t xml:space="preserve">The Feedmix personnel did not receive his correction email as they were already travelling to the venue. </w:t>
      </w:r>
      <w:r w:rsidR="00E23098">
        <w:rPr>
          <w:rFonts w:ascii="Times New Roman" w:hAnsi="Times New Roman" w:cs="Times New Roman"/>
          <w:sz w:val="24"/>
          <w:szCs w:val="24"/>
        </w:rPr>
        <w:t xml:space="preserve"> </w:t>
      </w:r>
      <w:r w:rsidR="00D037CF">
        <w:rPr>
          <w:rFonts w:ascii="Times New Roman" w:hAnsi="Times New Roman" w:cs="Times New Roman"/>
          <w:sz w:val="24"/>
          <w:szCs w:val="24"/>
        </w:rPr>
        <w:t xml:space="preserve">His conduct in failing to handover </w:t>
      </w:r>
      <w:r w:rsidR="00130736">
        <w:rPr>
          <w:rFonts w:ascii="Times New Roman" w:hAnsi="Times New Roman" w:cs="Times New Roman"/>
          <w:sz w:val="24"/>
          <w:szCs w:val="24"/>
        </w:rPr>
        <w:t xml:space="preserve">the incomplete booking </w:t>
      </w:r>
      <w:r w:rsidR="00D037CF">
        <w:rPr>
          <w:rFonts w:ascii="Times New Roman" w:hAnsi="Times New Roman" w:cs="Times New Roman"/>
          <w:sz w:val="24"/>
          <w:szCs w:val="24"/>
        </w:rPr>
        <w:t>resulted in his further failure to complete the booking and send it to the virtual partner</w:t>
      </w:r>
      <w:r w:rsidR="008F41F0">
        <w:rPr>
          <w:rFonts w:ascii="Times New Roman" w:hAnsi="Times New Roman" w:cs="Times New Roman"/>
          <w:sz w:val="24"/>
          <w:szCs w:val="24"/>
        </w:rPr>
        <w:t xml:space="preserve">, </w:t>
      </w:r>
      <w:r w:rsidR="00D037CF">
        <w:rPr>
          <w:rFonts w:ascii="Times New Roman" w:hAnsi="Times New Roman" w:cs="Times New Roman"/>
          <w:sz w:val="24"/>
          <w:szCs w:val="24"/>
        </w:rPr>
        <w:t xml:space="preserve">Short Road Lodge. </w:t>
      </w:r>
      <w:r w:rsidR="00E23098">
        <w:rPr>
          <w:rFonts w:ascii="Times New Roman" w:hAnsi="Times New Roman" w:cs="Times New Roman"/>
          <w:sz w:val="24"/>
          <w:szCs w:val="24"/>
        </w:rPr>
        <w:t xml:space="preserve"> </w:t>
      </w:r>
      <w:r w:rsidR="00D037CF">
        <w:rPr>
          <w:rFonts w:ascii="Times New Roman" w:hAnsi="Times New Roman" w:cs="Times New Roman"/>
          <w:sz w:val="24"/>
          <w:szCs w:val="24"/>
        </w:rPr>
        <w:t>He was responsible for the misfortune that</w:t>
      </w:r>
      <w:r w:rsidR="00612101">
        <w:rPr>
          <w:rFonts w:ascii="Times New Roman" w:hAnsi="Times New Roman" w:cs="Times New Roman"/>
          <w:sz w:val="24"/>
          <w:szCs w:val="24"/>
        </w:rPr>
        <w:t xml:space="preserve"> visited the Feedmix personnel.  </w:t>
      </w:r>
      <w:r w:rsidR="00D037CF">
        <w:rPr>
          <w:rFonts w:ascii="Times New Roman" w:hAnsi="Times New Roman" w:cs="Times New Roman"/>
          <w:sz w:val="24"/>
          <w:szCs w:val="24"/>
        </w:rPr>
        <w:t>His conduct in failing to handover and complete the booking was in breach of the reasonable expectations of his employer in carrying out his contractual obligations.</w:t>
      </w:r>
      <w:r w:rsidR="00303CBB">
        <w:rPr>
          <w:rFonts w:ascii="Times New Roman" w:hAnsi="Times New Roman" w:cs="Times New Roman"/>
          <w:sz w:val="24"/>
          <w:szCs w:val="24"/>
        </w:rPr>
        <w:t xml:space="preserve"> </w:t>
      </w:r>
      <w:r w:rsidR="00E23098">
        <w:rPr>
          <w:rFonts w:ascii="Times New Roman" w:hAnsi="Times New Roman" w:cs="Times New Roman"/>
          <w:sz w:val="24"/>
          <w:szCs w:val="24"/>
        </w:rPr>
        <w:t xml:space="preserve"> </w:t>
      </w:r>
      <w:r w:rsidR="00303CBB">
        <w:rPr>
          <w:rFonts w:ascii="Times New Roman" w:hAnsi="Times New Roman" w:cs="Times New Roman"/>
          <w:sz w:val="24"/>
          <w:szCs w:val="24"/>
        </w:rPr>
        <w:t>He was guilty as charged</w:t>
      </w:r>
      <w:r w:rsidR="005A41BB">
        <w:rPr>
          <w:rFonts w:ascii="Times New Roman" w:hAnsi="Times New Roman" w:cs="Times New Roman"/>
          <w:sz w:val="24"/>
          <w:szCs w:val="24"/>
        </w:rPr>
        <w:t>.</w:t>
      </w:r>
    </w:p>
    <w:p w14:paraId="6BE47177" w14:textId="7A39920B" w:rsidR="00D037CF" w:rsidRDefault="00D037CF" w:rsidP="00905D6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A41BB">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Regarding the appellant’s interactions with the ministry, the DHO made the following findings. </w:t>
      </w:r>
      <w:r w:rsidR="00E23098">
        <w:rPr>
          <w:rFonts w:ascii="Times New Roman" w:hAnsi="Times New Roman" w:cs="Times New Roman"/>
          <w:sz w:val="24"/>
          <w:szCs w:val="24"/>
        </w:rPr>
        <w:t xml:space="preserve"> </w:t>
      </w:r>
      <w:r>
        <w:rPr>
          <w:rFonts w:ascii="Times New Roman" w:hAnsi="Times New Roman" w:cs="Times New Roman"/>
          <w:sz w:val="24"/>
          <w:szCs w:val="24"/>
        </w:rPr>
        <w:t xml:space="preserve">The evidence of Fadzai </w:t>
      </w:r>
      <w:r w:rsidR="005A41BB">
        <w:rPr>
          <w:rFonts w:ascii="Times New Roman" w:hAnsi="Times New Roman" w:cs="Times New Roman"/>
          <w:sz w:val="24"/>
          <w:szCs w:val="24"/>
        </w:rPr>
        <w:t xml:space="preserve">Makuvise </w:t>
      </w:r>
      <w:r>
        <w:rPr>
          <w:rFonts w:ascii="Times New Roman" w:hAnsi="Times New Roman" w:cs="Times New Roman"/>
          <w:sz w:val="24"/>
          <w:szCs w:val="24"/>
        </w:rPr>
        <w:t xml:space="preserve">demonstrated that an email on the policy on legacy debtors was dispatched to all heads of department. </w:t>
      </w:r>
      <w:r w:rsidR="00E23098">
        <w:rPr>
          <w:rFonts w:ascii="Times New Roman" w:hAnsi="Times New Roman" w:cs="Times New Roman"/>
          <w:sz w:val="24"/>
          <w:szCs w:val="24"/>
        </w:rPr>
        <w:t xml:space="preserve"> </w:t>
      </w:r>
      <w:r w:rsidR="005A41BB">
        <w:rPr>
          <w:rFonts w:ascii="Times New Roman" w:hAnsi="Times New Roman" w:cs="Times New Roman"/>
          <w:sz w:val="24"/>
          <w:szCs w:val="24"/>
        </w:rPr>
        <w:t xml:space="preserve">Isheunesu </w:t>
      </w:r>
      <w:r>
        <w:rPr>
          <w:rFonts w:ascii="Times New Roman" w:hAnsi="Times New Roman" w:cs="Times New Roman"/>
          <w:sz w:val="24"/>
          <w:szCs w:val="24"/>
        </w:rPr>
        <w:t xml:space="preserve">Makambira established that the instruction was disseminated by Tinashe </w:t>
      </w:r>
      <w:proofErr w:type="spellStart"/>
      <w:r>
        <w:rPr>
          <w:rFonts w:ascii="Times New Roman" w:hAnsi="Times New Roman" w:cs="Times New Roman"/>
          <w:sz w:val="24"/>
          <w:szCs w:val="24"/>
        </w:rPr>
        <w:t>Kuvheya</w:t>
      </w:r>
      <w:proofErr w:type="spellEnd"/>
      <w:r>
        <w:rPr>
          <w:rFonts w:ascii="Times New Roman" w:hAnsi="Times New Roman" w:cs="Times New Roman"/>
          <w:sz w:val="24"/>
          <w:szCs w:val="24"/>
        </w:rPr>
        <w:t xml:space="preserve"> to the appellant, in his presence. </w:t>
      </w:r>
      <w:r w:rsidR="00E23098">
        <w:rPr>
          <w:rFonts w:ascii="Times New Roman" w:hAnsi="Times New Roman" w:cs="Times New Roman"/>
          <w:sz w:val="24"/>
          <w:szCs w:val="24"/>
        </w:rPr>
        <w:t xml:space="preserve"> </w:t>
      </w:r>
      <w:r>
        <w:rPr>
          <w:rFonts w:ascii="Times New Roman" w:hAnsi="Times New Roman" w:cs="Times New Roman"/>
          <w:sz w:val="24"/>
          <w:szCs w:val="24"/>
        </w:rPr>
        <w:t>Indeed</w:t>
      </w:r>
      <w:r w:rsidR="00A15EA2">
        <w:rPr>
          <w:rFonts w:ascii="Times New Roman" w:hAnsi="Times New Roman" w:cs="Times New Roman"/>
          <w:sz w:val="24"/>
          <w:szCs w:val="24"/>
        </w:rPr>
        <w:t>,</w:t>
      </w:r>
      <w:r>
        <w:rPr>
          <w:rFonts w:ascii="Times New Roman" w:hAnsi="Times New Roman" w:cs="Times New Roman"/>
          <w:sz w:val="24"/>
          <w:szCs w:val="24"/>
        </w:rPr>
        <w:t xml:space="preserve"> appellant confirmed that he received the instruction. </w:t>
      </w:r>
      <w:r w:rsidR="00612101">
        <w:rPr>
          <w:rFonts w:ascii="Times New Roman" w:hAnsi="Times New Roman" w:cs="Times New Roman"/>
          <w:sz w:val="24"/>
          <w:szCs w:val="24"/>
        </w:rPr>
        <w:t xml:space="preserve"> </w:t>
      </w:r>
      <w:r>
        <w:rPr>
          <w:rFonts w:ascii="Times New Roman" w:hAnsi="Times New Roman" w:cs="Times New Roman"/>
          <w:sz w:val="24"/>
          <w:szCs w:val="24"/>
        </w:rPr>
        <w:t xml:space="preserve">His attempts to water it down as a mere discussion did not </w:t>
      </w:r>
      <w:r w:rsidR="00303CBB">
        <w:rPr>
          <w:rFonts w:ascii="Times New Roman" w:hAnsi="Times New Roman" w:cs="Times New Roman"/>
          <w:sz w:val="24"/>
          <w:szCs w:val="24"/>
        </w:rPr>
        <w:t xml:space="preserve">affect its efficacy, nature and scope. </w:t>
      </w:r>
      <w:r w:rsidR="00E23098">
        <w:rPr>
          <w:rFonts w:ascii="Times New Roman" w:hAnsi="Times New Roman" w:cs="Times New Roman"/>
          <w:sz w:val="24"/>
          <w:szCs w:val="24"/>
        </w:rPr>
        <w:t xml:space="preserve"> </w:t>
      </w:r>
      <w:r w:rsidR="00303CBB">
        <w:rPr>
          <w:rFonts w:ascii="Times New Roman" w:hAnsi="Times New Roman" w:cs="Times New Roman"/>
          <w:sz w:val="24"/>
          <w:szCs w:val="24"/>
        </w:rPr>
        <w:t xml:space="preserve">When the appellant dealt with the </w:t>
      </w:r>
      <w:r w:rsidR="005A41BB">
        <w:rPr>
          <w:rFonts w:ascii="Times New Roman" w:hAnsi="Times New Roman" w:cs="Times New Roman"/>
          <w:sz w:val="24"/>
          <w:szCs w:val="24"/>
        </w:rPr>
        <w:t>M</w:t>
      </w:r>
      <w:r w:rsidR="00303CBB">
        <w:rPr>
          <w:rFonts w:ascii="Times New Roman" w:hAnsi="Times New Roman" w:cs="Times New Roman"/>
          <w:sz w:val="24"/>
          <w:szCs w:val="24"/>
        </w:rPr>
        <w:t>inistry, which turned out to be a legacy debtor owing millions of Zimbabwe dollars to the respondent, he deliberately ignored the instruction.</w:t>
      </w:r>
      <w:r w:rsidR="00A15EA2">
        <w:rPr>
          <w:rFonts w:ascii="Times New Roman" w:hAnsi="Times New Roman" w:cs="Times New Roman"/>
          <w:sz w:val="24"/>
          <w:szCs w:val="24"/>
        </w:rPr>
        <w:t xml:space="preserve"> </w:t>
      </w:r>
      <w:r w:rsidR="00E23098">
        <w:rPr>
          <w:rFonts w:ascii="Times New Roman" w:hAnsi="Times New Roman" w:cs="Times New Roman"/>
          <w:sz w:val="24"/>
          <w:szCs w:val="24"/>
        </w:rPr>
        <w:t xml:space="preserve"> </w:t>
      </w:r>
      <w:r w:rsidR="00A15EA2">
        <w:rPr>
          <w:rFonts w:ascii="Times New Roman" w:hAnsi="Times New Roman" w:cs="Times New Roman"/>
          <w:sz w:val="24"/>
          <w:szCs w:val="24"/>
        </w:rPr>
        <w:t>His defence witness</w:t>
      </w:r>
      <w:r w:rsidR="005A41BB">
        <w:rPr>
          <w:rFonts w:ascii="Times New Roman" w:hAnsi="Times New Roman" w:cs="Times New Roman"/>
          <w:sz w:val="24"/>
          <w:szCs w:val="24"/>
        </w:rPr>
        <w:t>,</w:t>
      </w:r>
      <w:r w:rsidR="00A15EA2">
        <w:rPr>
          <w:rFonts w:ascii="Times New Roman" w:hAnsi="Times New Roman" w:cs="Times New Roman"/>
          <w:sz w:val="24"/>
          <w:szCs w:val="24"/>
        </w:rPr>
        <w:t xml:space="preserve"> Mrs Chinanga</w:t>
      </w:r>
      <w:r w:rsidR="005A41BB">
        <w:rPr>
          <w:rFonts w:ascii="Times New Roman" w:hAnsi="Times New Roman" w:cs="Times New Roman"/>
          <w:sz w:val="24"/>
          <w:szCs w:val="24"/>
        </w:rPr>
        <w:t>,</w:t>
      </w:r>
      <w:r w:rsidR="00A15EA2">
        <w:rPr>
          <w:rFonts w:ascii="Times New Roman" w:hAnsi="Times New Roman" w:cs="Times New Roman"/>
          <w:sz w:val="24"/>
          <w:szCs w:val="24"/>
        </w:rPr>
        <w:t xml:space="preserve"> also confirmed that she was only advised of the legacy policy by the appellant after she had paid for the delegates who were expected to check in </w:t>
      </w:r>
      <w:r w:rsidR="005A41BB">
        <w:rPr>
          <w:rFonts w:ascii="Times New Roman" w:hAnsi="Times New Roman" w:cs="Times New Roman"/>
          <w:sz w:val="24"/>
          <w:szCs w:val="24"/>
        </w:rPr>
        <w:t xml:space="preserve">on </w:t>
      </w:r>
      <w:r w:rsidR="00A15EA2">
        <w:rPr>
          <w:rFonts w:ascii="Times New Roman" w:hAnsi="Times New Roman" w:cs="Times New Roman"/>
          <w:sz w:val="24"/>
          <w:szCs w:val="24"/>
        </w:rPr>
        <w:t xml:space="preserve">that very day. </w:t>
      </w:r>
      <w:r w:rsidR="00E23098">
        <w:rPr>
          <w:rFonts w:ascii="Times New Roman" w:hAnsi="Times New Roman" w:cs="Times New Roman"/>
          <w:sz w:val="24"/>
          <w:szCs w:val="24"/>
        </w:rPr>
        <w:t xml:space="preserve"> </w:t>
      </w:r>
      <w:r w:rsidR="00A15EA2">
        <w:rPr>
          <w:rFonts w:ascii="Times New Roman" w:hAnsi="Times New Roman" w:cs="Times New Roman"/>
          <w:sz w:val="24"/>
          <w:szCs w:val="24"/>
        </w:rPr>
        <w:t>She unwittingly confirmed that the appellant committed the act of misconduct that he was charged with.</w:t>
      </w:r>
      <w:r w:rsidR="005A41BB">
        <w:rPr>
          <w:rFonts w:ascii="Times New Roman" w:hAnsi="Times New Roman" w:cs="Times New Roman"/>
          <w:sz w:val="24"/>
          <w:szCs w:val="24"/>
        </w:rPr>
        <w:t xml:space="preserve"> </w:t>
      </w:r>
      <w:r w:rsidR="00E23098">
        <w:rPr>
          <w:rFonts w:ascii="Times New Roman" w:hAnsi="Times New Roman" w:cs="Times New Roman"/>
          <w:sz w:val="24"/>
          <w:szCs w:val="24"/>
        </w:rPr>
        <w:t xml:space="preserve"> </w:t>
      </w:r>
      <w:r w:rsidR="00303CBB">
        <w:rPr>
          <w:rFonts w:ascii="Times New Roman" w:hAnsi="Times New Roman" w:cs="Times New Roman"/>
          <w:sz w:val="24"/>
          <w:szCs w:val="24"/>
        </w:rPr>
        <w:t>He was also guilty as charged.</w:t>
      </w:r>
    </w:p>
    <w:p w14:paraId="66E790D8" w14:textId="547A83E1" w:rsidR="00303CBB" w:rsidRDefault="00303CBB" w:rsidP="00905D6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A41B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DHO further found that the appellant deliberately attached printouts of his draft emails in order to mislead the respondent that he had, even before the ministry paid for </w:t>
      </w:r>
      <w:r>
        <w:rPr>
          <w:rFonts w:ascii="Times New Roman" w:hAnsi="Times New Roman" w:cs="Times New Roman"/>
          <w:sz w:val="24"/>
          <w:szCs w:val="24"/>
        </w:rPr>
        <w:lastRenderedPageBreak/>
        <w:t xml:space="preserve">the booking, despatched an email alerting the ministry that they would not be allowed to check in after payment. </w:t>
      </w:r>
      <w:r w:rsidR="00E23098">
        <w:rPr>
          <w:rFonts w:ascii="Times New Roman" w:hAnsi="Times New Roman" w:cs="Times New Roman"/>
          <w:sz w:val="24"/>
          <w:szCs w:val="24"/>
        </w:rPr>
        <w:t xml:space="preserve"> </w:t>
      </w:r>
      <w:r>
        <w:rPr>
          <w:rFonts w:ascii="Times New Roman" w:hAnsi="Times New Roman" w:cs="Times New Roman"/>
          <w:sz w:val="24"/>
          <w:szCs w:val="24"/>
        </w:rPr>
        <w:t>The DHO found such conduct unbefitting of an employee in the position of the appellant.</w:t>
      </w:r>
    </w:p>
    <w:p w14:paraId="39BD6765" w14:textId="0DA1A486" w:rsidR="00303CBB" w:rsidRDefault="003251EE" w:rsidP="00905D6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A41BB">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The D</w:t>
      </w:r>
      <w:r w:rsidR="000B4735">
        <w:rPr>
          <w:rFonts w:ascii="Times New Roman" w:hAnsi="Times New Roman" w:cs="Times New Roman"/>
          <w:sz w:val="24"/>
          <w:szCs w:val="24"/>
        </w:rPr>
        <w:t>H</w:t>
      </w:r>
      <w:r>
        <w:rPr>
          <w:rFonts w:ascii="Times New Roman" w:hAnsi="Times New Roman" w:cs="Times New Roman"/>
          <w:sz w:val="24"/>
          <w:szCs w:val="24"/>
        </w:rPr>
        <w:t>O therefore found the appellant guilty of all the charges that were levelled against him.</w:t>
      </w:r>
    </w:p>
    <w:p w14:paraId="3AC1C881" w14:textId="13951065" w:rsidR="003251EE" w:rsidRDefault="003251EE" w:rsidP="00905D6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A41B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In considering </w:t>
      </w:r>
      <w:r w:rsidR="00C567B8">
        <w:rPr>
          <w:rFonts w:ascii="Times New Roman" w:hAnsi="Times New Roman" w:cs="Times New Roman"/>
          <w:sz w:val="24"/>
          <w:szCs w:val="24"/>
        </w:rPr>
        <w:t xml:space="preserve">the appropriate </w:t>
      </w:r>
      <w:r>
        <w:rPr>
          <w:rFonts w:ascii="Times New Roman" w:hAnsi="Times New Roman" w:cs="Times New Roman"/>
          <w:sz w:val="24"/>
          <w:szCs w:val="24"/>
        </w:rPr>
        <w:t>penalty, the DHO weighed both the mitigatory features against the</w:t>
      </w:r>
      <w:r w:rsidR="004F3D93">
        <w:rPr>
          <w:rFonts w:ascii="Times New Roman" w:hAnsi="Times New Roman" w:cs="Times New Roman"/>
          <w:sz w:val="24"/>
          <w:szCs w:val="24"/>
        </w:rPr>
        <w:t xml:space="preserve"> aggravatory</w:t>
      </w:r>
      <w:r>
        <w:rPr>
          <w:rFonts w:ascii="Times New Roman" w:hAnsi="Times New Roman" w:cs="Times New Roman"/>
          <w:sz w:val="24"/>
          <w:szCs w:val="24"/>
        </w:rPr>
        <w:t xml:space="preserve"> ones. </w:t>
      </w:r>
      <w:r w:rsidR="00E23098">
        <w:rPr>
          <w:rFonts w:ascii="Times New Roman" w:hAnsi="Times New Roman" w:cs="Times New Roman"/>
          <w:sz w:val="24"/>
          <w:szCs w:val="24"/>
        </w:rPr>
        <w:t xml:space="preserve"> </w:t>
      </w:r>
      <w:r>
        <w:rPr>
          <w:rFonts w:ascii="Times New Roman" w:hAnsi="Times New Roman" w:cs="Times New Roman"/>
          <w:sz w:val="24"/>
          <w:szCs w:val="24"/>
        </w:rPr>
        <w:t>He found that the aggravating</w:t>
      </w:r>
      <w:r w:rsidR="005A41BB">
        <w:rPr>
          <w:rFonts w:ascii="Times New Roman" w:hAnsi="Times New Roman" w:cs="Times New Roman"/>
          <w:sz w:val="24"/>
          <w:szCs w:val="24"/>
        </w:rPr>
        <w:t xml:space="preserve"> features</w:t>
      </w:r>
      <w:r>
        <w:rPr>
          <w:rFonts w:ascii="Times New Roman" w:hAnsi="Times New Roman" w:cs="Times New Roman"/>
          <w:sz w:val="24"/>
          <w:szCs w:val="24"/>
        </w:rPr>
        <w:t xml:space="preserve"> far outweighed the mitigatory ones. </w:t>
      </w:r>
      <w:r w:rsidR="00E23098">
        <w:rPr>
          <w:rFonts w:ascii="Times New Roman" w:hAnsi="Times New Roman" w:cs="Times New Roman"/>
          <w:sz w:val="24"/>
          <w:szCs w:val="24"/>
        </w:rPr>
        <w:t xml:space="preserve"> </w:t>
      </w:r>
      <w:r>
        <w:rPr>
          <w:rFonts w:ascii="Times New Roman" w:hAnsi="Times New Roman" w:cs="Times New Roman"/>
          <w:sz w:val="24"/>
          <w:szCs w:val="24"/>
        </w:rPr>
        <w:t>He considered that the actions of the appellant in regards to the Feedmix saga were a</w:t>
      </w:r>
      <w:r w:rsidR="00E23098">
        <w:rPr>
          <w:rFonts w:ascii="Times New Roman" w:hAnsi="Times New Roman" w:cs="Times New Roman"/>
          <w:sz w:val="24"/>
          <w:szCs w:val="24"/>
        </w:rPr>
        <w:t xml:space="preserve"> costly administrative blunder.  </w:t>
      </w:r>
      <w:r>
        <w:rPr>
          <w:rFonts w:ascii="Times New Roman" w:hAnsi="Times New Roman" w:cs="Times New Roman"/>
          <w:sz w:val="24"/>
          <w:szCs w:val="24"/>
        </w:rPr>
        <w:t>The conduct offended the sensibilities of a regular customer and had the effect of blunting the respondent’s competitive edge.</w:t>
      </w:r>
    </w:p>
    <w:p w14:paraId="1F7DEBBE" w14:textId="387DC88A" w:rsidR="000B77F3" w:rsidRDefault="00165538" w:rsidP="00905D6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0B77F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251EE">
        <w:rPr>
          <w:rFonts w:ascii="Times New Roman" w:hAnsi="Times New Roman" w:cs="Times New Roman"/>
          <w:sz w:val="24"/>
          <w:szCs w:val="24"/>
        </w:rPr>
        <w:t xml:space="preserve">On the </w:t>
      </w:r>
      <w:r w:rsidR="000B77F3">
        <w:rPr>
          <w:rFonts w:ascii="Times New Roman" w:hAnsi="Times New Roman" w:cs="Times New Roman"/>
          <w:sz w:val="24"/>
          <w:szCs w:val="24"/>
        </w:rPr>
        <w:t>M</w:t>
      </w:r>
      <w:r w:rsidR="003251EE">
        <w:rPr>
          <w:rFonts w:ascii="Times New Roman" w:hAnsi="Times New Roman" w:cs="Times New Roman"/>
          <w:sz w:val="24"/>
          <w:szCs w:val="24"/>
        </w:rPr>
        <w:t>inistry debacle, he held that</w:t>
      </w:r>
      <w:r w:rsidR="004708A5">
        <w:rPr>
          <w:rFonts w:ascii="Times New Roman" w:hAnsi="Times New Roman" w:cs="Times New Roman"/>
          <w:sz w:val="24"/>
          <w:szCs w:val="24"/>
        </w:rPr>
        <w:t xml:space="preserve"> the reputation of the respondent</w:t>
      </w:r>
      <w:r w:rsidR="003251EE">
        <w:rPr>
          <w:rFonts w:ascii="Times New Roman" w:hAnsi="Times New Roman" w:cs="Times New Roman"/>
          <w:sz w:val="24"/>
          <w:szCs w:val="24"/>
        </w:rPr>
        <w:t xml:space="preserve"> was tarnished. </w:t>
      </w:r>
      <w:r w:rsidR="00E23098">
        <w:rPr>
          <w:rFonts w:ascii="Times New Roman" w:hAnsi="Times New Roman" w:cs="Times New Roman"/>
          <w:sz w:val="24"/>
          <w:szCs w:val="24"/>
        </w:rPr>
        <w:t xml:space="preserve"> </w:t>
      </w:r>
      <w:r w:rsidR="003251EE">
        <w:rPr>
          <w:rFonts w:ascii="Times New Roman" w:hAnsi="Times New Roman" w:cs="Times New Roman"/>
          <w:sz w:val="24"/>
          <w:szCs w:val="24"/>
        </w:rPr>
        <w:t>An ugly scene developed when the delegates who had paid were denied acco</w:t>
      </w:r>
      <w:bookmarkStart w:id="0" w:name="_GoBack"/>
      <w:bookmarkEnd w:id="0"/>
      <w:r w:rsidR="003251EE">
        <w:rPr>
          <w:rFonts w:ascii="Times New Roman" w:hAnsi="Times New Roman" w:cs="Times New Roman"/>
          <w:sz w:val="24"/>
          <w:szCs w:val="24"/>
        </w:rPr>
        <w:t xml:space="preserve">mmodation. The exigencies of the situation forced the </w:t>
      </w:r>
      <w:r w:rsidR="000B77F3">
        <w:rPr>
          <w:rFonts w:ascii="Times New Roman" w:hAnsi="Times New Roman" w:cs="Times New Roman"/>
          <w:sz w:val="24"/>
          <w:szCs w:val="24"/>
        </w:rPr>
        <w:t xml:space="preserve">respondent’s </w:t>
      </w:r>
      <w:r w:rsidR="003251EE">
        <w:rPr>
          <w:rFonts w:ascii="Times New Roman" w:hAnsi="Times New Roman" w:cs="Times New Roman"/>
          <w:sz w:val="24"/>
          <w:szCs w:val="24"/>
        </w:rPr>
        <w:t>finance director to</w:t>
      </w:r>
      <w:r w:rsidR="000809E0">
        <w:rPr>
          <w:rFonts w:ascii="Times New Roman" w:hAnsi="Times New Roman" w:cs="Times New Roman"/>
          <w:sz w:val="24"/>
          <w:szCs w:val="24"/>
        </w:rPr>
        <w:t xml:space="preserve"> suspend</w:t>
      </w:r>
      <w:r w:rsidR="003251EE">
        <w:rPr>
          <w:rFonts w:ascii="Times New Roman" w:hAnsi="Times New Roman" w:cs="Times New Roman"/>
          <w:sz w:val="24"/>
          <w:szCs w:val="24"/>
        </w:rPr>
        <w:t xml:space="preserve"> the policy for these delegates. </w:t>
      </w:r>
      <w:r w:rsidR="00E23098">
        <w:rPr>
          <w:rFonts w:ascii="Times New Roman" w:hAnsi="Times New Roman" w:cs="Times New Roman"/>
          <w:sz w:val="24"/>
          <w:szCs w:val="24"/>
        </w:rPr>
        <w:t xml:space="preserve"> </w:t>
      </w:r>
      <w:r w:rsidR="003251EE">
        <w:rPr>
          <w:rFonts w:ascii="Times New Roman" w:hAnsi="Times New Roman" w:cs="Times New Roman"/>
          <w:sz w:val="24"/>
          <w:szCs w:val="24"/>
        </w:rPr>
        <w:t xml:space="preserve">The ugly scene would have been avoided had the appellant complied with the policy. </w:t>
      </w:r>
    </w:p>
    <w:p w14:paraId="0DF3830F" w14:textId="701B5EB6" w:rsidR="003251EE" w:rsidRDefault="000B77F3" w:rsidP="00905D6B">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3251EE">
        <w:rPr>
          <w:rFonts w:ascii="Times New Roman" w:hAnsi="Times New Roman" w:cs="Times New Roman"/>
          <w:sz w:val="24"/>
          <w:szCs w:val="24"/>
        </w:rPr>
        <w:t xml:space="preserve">He was satisfied that the two infractions went to the root of the contractual relationship between the appellant and his employer. </w:t>
      </w:r>
      <w:r w:rsidR="00E23098">
        <w:rPr>
          <w:rFonts w:ascii="Times New Roman" w:hAnsi="Times New Roman" w:cs="Times New Roman"/>
          <w:sz w:val="24"/>
          <w:szCs w:val="24"/>
        </w:rPr>
        <w:t xml:space="preserve"> </w:t>
      </w:r>
      <w:r w:rsidR="003251EE">
        <w:rPr>
          <w:rFonts w:ascii="Times New Roman" w:hAnsi="Times New Roman" w:cs="Times New Roman"/>
          <w:sz w:val="24"/>
          <w:szCs w:val="24"/>
        </w:rPr>
        <w:t>The employer took a dim view of the conduct. The appellant failed to show that his conduct was trivial, inadvertent</w:t>
      </w:r>
      <w:r>
        <w:rPr>
          <w:rFonts w:ascii="Times New Roman" w:hAnsi="Times New Roman" w:cs="Times New Roman"/>
          <w:sz w:val="24"/>
          <w:szCs w:val="24"/>
        </w:rPr>
        <w:t xml:space="preserve"> or</w:t>
      </w:r>
      <w:r w:rsidR="003251EE">
        <w:rPr>
          <w:rFonts w:ascii="Times New Roman" w:hAnsi="Times New Roman" w:cs="Times New Roman"/>
          <w:sz w:val="24"/>
          <w:szCs w:val="24"/>
        </w:rPr>
        <w:t xml:space="preserve"> </w:t>
      </w:r>
      <w:r>
        <w:rPr>
          <w:rFonts w:ascii="Times New Roman" w:hAnsi="Times New Roman" w:cs="Times New Roman"/>
          <w:sz w:val="24"/>
          <w:szCs w:val="24"/>
        </w:rPr>
        <w:t>un</w:t>
      </w:r>
      <w:r w:rsidR="003251EE">
        <w:rPr>
          <w:rFonts w:ascii="Times New Roman" w:hAnsi="Times New Roman" w:cs="Times New Roman"/>
          <w:sz w:val="24"/>
          <w:szCs w:val="24"/>
        </w:rPr>
        <w:t xml:space="preserve">intentional. </w:t>
      </w:r>
    </w:p>
    <w:p w14:paraId="0C6598EC" w14:textId="75687787" w:rsidR="00165538" w:rsidRDefault="00165538" w:rsidP="000B77F3">
      <w:pPr>
        <w:jc w:val="both"/>
        <w:rPr>
          <w:rFonts w:ascii="Times New Roman" w:hAnsi="Times New Roman" w:cs="Times New Roman"/>
          <w:sz w:val="24"/>
          <w:szCs w:val="24"/>
        </w:rPr>
      </w:pPr>
      <w:r>
        <w:rPr>
          <w:rFonts w:ascii="Times New Roman" w:hAnsi="Times New Roman" w:cs="Times New Roman"/>
          <w:sz w:val="24"/>
          <w:szCs w:val="24"/>
        </w:rPr>
        <w:t>[2</w:t>
      </w:r>
      <w:r w:rsidR="000B77F3">
        <w:rPr>
          <w:rFonts w:ascii="Times New Roman" w:hAnsi="Times New Roman" w:cs="Times New Roman"/>
          <w:sz w:val="24"/>
          <w:szCs w:val="24"/>
        </w:rPr>
        <w:t>9</w:t>
      </w:r>
      <w:r w:rsidR="00905D6B">
        <w:rPr>
          <w:rFonts w:ascii="Times New Roman" w:hAnsi="Times New Roman" w:cs="Times New Roman"/>
          <w:sz w:val="24"/>
          <w:szCs w:val="24"/>
        </w:rPr>
        <w:t xml:space="preserve">]   </w:t>
      </w:r>
      <w:r>
        <w:rPr>
          <w:rFonts w:ascii="Times New Roman" w:hAnsi="Times New Roman" w:cs="Times New Roman"/>
          <w:sz w:val="24"/>
          <w:szCs w:val="24"/>
        </w:rPr>
        <w:t>The DHO thus imposed the penalty of dismissal</w:t>
      </w:r>
      <w:r w:rsidR="00082887">
        <w:rPr>
          <w:rFonts w:ascii="Times New Roman" w:hAnsi="Times New Roman" w:cs="Times New Roman"/>
          <w:sz w:val="24"/>
          <w:szCs w:val="24"/>
        </w:rPr>
        <w:t>.</w:t>
      </w:r>
    </w:p>
    <w:p w14:paraId="650D56F7" w14:textId="77777777" w:rsidR="00E23098" w:rsidRDefault="00E23098" w:rsidP="00E23098">
      <w:pPr>
        <w:spacing w:after="0" w:line="240" w:lineRule="auto"/>
        <w:jc w:val="both"/>
        <w:rPr>
          <w:rFonts w:ascii="Times New Roman" w:hAnsi="Times New Roman" w:cs="Times New Roman"/>
          <w:sz w:val="24"/>
          <w:szCs w:val="24"/>
        </w:rPr>
      </w:pPr>
    </w:p>
    <w:p w14:paraId="275E0E54" w14:textId="1DAA3606" w:rsidR="00B301BA" w:rsidRDefault="00082887" w:rsidP="00905D6B">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w:t>
      </w:r>
      <w:r w:rsidR="000B77F3">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 xml:space="preserve">The two appeals to the head of department and head of the group were premised on similarly worded grounds. </w:t>
      </w:r>
      <w:r w:rsidR="00DF662B">
        <w:rPr>
          <w:rFonts w:ascii="Times New Roman" w:hAnsi="Times New Roman" w:cs="Times New Roman"/>
          <w:sz w:val="24"/>
          <w:szCs w:val="24"/>
        </w:rPr>
        <w:t xml:space="preserve"> </w:t>
      </w:r>
      <w:r w:rsidR="000B376E">
        <w:rPr>
          <w:rFonts w:ascii="Times New Roman" w:hAnsi="Times New Roman" w:cs="Times New Roman"/>
          <w:sz w:val="24"/>
          <w:szCs w:val="24"/>
        </w:rPr>
        <w:t>All t</w:t>
      </w:r>
      <w:r>
        <w:rPr>
          <w:rFonts w:ascii="Times New Roman" w:hAnsi="Times New Roman" w:cs="Times New Roman"/>
          <w:sz w:val="24"/>
          <w:szCs w:val="24"/>
        </w:rPr>
        <w:t xml:space="preserve">he grounds </w:t>
      </w:r>
      <w:r w:rsidR="000B376E">
        <w:rPr>
          <w:rFonts w:ascii="Times New Roman" w:hAnsi="Times New Roman" w:cs="Times New Roman"/>
          <w:sz w:val="24"/>
          <w:szCs w:val="24"/>
        </w:rPr>
        <w:t xml:space="preserve">of appeal </w:t>
      </w:r>
      <w:r>
        <w:rPr>
          <w:rFonts w:ascii="Times New Roman" w:hAnsi="Times New Roman" w:cs="Times New Roman"/>
          <w:sz w:val="24"/>
          <w:szCs w:val="24"/>
        </w:rPr>
        <w:t xml:space="preserve">impugned factual findings. </w:t>
      </w:r>
      <w:r w:rsidR="00DF662B">
        <w:rPr>
          <w:rFonts w:ascii="Times New Roman" w:hAnsi="Times New Roman" w:cs="Times New Roman"/>
          <w:sz w:val="24"/>
          <w:szCs w:val="24"/>
        </w:rPr>
        <w:t xml:space="preserve"> </w:t>
      </w:r>
      <w:r>
        <w:rPr>
          <w:rFonts w:ascii="Times New Roman" w:hAnsi="Times New Roman" w:cs="Times New Roman"/>
          <w:sz w:val="24"/>
          <w:szCs w:val="24"/>
        </w:rPr>
        <w:t xml:space="preserve">The appeals were </w:t>
      </w:r>
      <w:r w:rsidR="00D32546">
        <w:rPr>
          <w:rFonts w:ascii="Times New Roman" w:hAnsi="Times New Roman" w:cs="Times New Roman"/>
          <w:sz w:val="24"/>
          <w:szCs w:val="24"/>
        </w:rPr>
        <w:t xml:space="preserve">both </w:t>
      </w:r>
      <w:r>
        <w:rPr>
          <w:rFonts w:ascii="Times New Roman" w:hAnsi="Times New Roman" w:cs="Times New Roman"/>
          <w:sz w:val="24"/>
          <w:szCs w:val="24"/>
        </w:rPr>
        <w:t>dismissed in turn by these appeal officers.</w:t>
      </w:r>
    </w:p>
    <w:p w14:paraId="4EF9D091" w14:textId="77777777" w:rsidR="00992F0A" w:rsidRDefault="00992F0A" w:rsidP="00992F0A">
      <w:pPr>
        <w:spacing w:after="0" w:line="240" w:lineRule="auto"/>
        <w:ind w:left="630" w:hanging="630"/>
        <w:jc w:val="both"/>
        <w:rPr>
          <w:rFonts w:ascii="Times New Roman" w:hAnsi="Times New Roman" w:cs="Times New Roman"/>
          <w:sz w:val="24"/>
          <w:szCs w:val="24"/>
        </w:rPr>
      </w:pPr>
    </w:p>
    <w:p w14:paraId="01833A78" w14:textId="7FC9F0BB" w:rsidR="00326F9A" w:rsidRPr="00E47452" w:rsidRDefault="00326F9A" w:rsidP="000B77F3">
      <w:pPr>
        <w:jc w:val="both"/>
        <w:rPr>
          <w:rFonts w:ascii="Times New Roman" w:hAnsi="Times New Roman" w:cs="Times New Roman"/>
          <w:b/>
          <w:bCs/>
          <w:sz w:val="24"/>
          <w:szCs w:val="24"/>
          <w:u w:val="single"/>
        </w:rPr>
      </w:pPr>
      <w:r w:rsidRPr="00E47452">
        <w:rPr>
          <w:rFonts w:ascii="Times New Roman" w:hAnsi="Times New Roman" w:cs="Times New Roman"/>
          <w:b/>
          <w:bCs/>
          <w:sz w:val="24"/>
          <w:szCs w:val="24"/>
          <w:u w:val="single"/>
        </w:rPr>
        <w:t xml:space="preserve">THE APPEAL BEFORE THE COURT </w:t>
      </w:r>
      <w:r w:rsidRPr="00E47452">
        <w:rPr>
          <w:rFonts w:ascii="Times New Roman" w:hAnsi="Times New Roman" w:cs="Times New Roman"/>
          <w:b/>
          <w:bCs/>
          <w:i/>
          <w:iCs/>
          <w:sz w:val="24"/>
          <w:szCs w:val="24"/>
          <w:u w:val="single"/>
        </w:rPr>
        <w:t>A QUO</w:t>
      </w:r>
    </w:p>
    <w:p w14:paraId="4D773486" w14:textId="64E918F6" w:rsidR="0085469C" w:rsidRDefault="003E7475" w:rsidP="00CE5585">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sidR="000B77F3">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t>Irked by</w:t>
      </w:r>
      <w:r w:rsidR="00B81985">
        <w:rPr>
          <w:rFonts w:ascii="Times New Roman" w:hAnsi="Times New Roman" w:cs="Times New Roman"/>
          <w:sz w:val="24"/>
          <w:szCs w:val="24"/>
        </w:rPr>
        <w:t xml:space="preserve"> his</w:t>
      </w:r>
      <w:r>
        <w:rPr>
          <w:rFonts w:ascii="Times New Roman" w:hAnsi="Times New Roman" w:cs="Times New Roman"/>
          <w:sz w:val="24"/>
          <w:szCs w:val="24"/>
        </w:rPr>
        <w:t xml:space="preserve"> dismissal</w:t>
      </w:r>
      <w:r w:rsidR="00B81985">
        <w:rPr>
          <w:rFonts w:ascii="Times New Roman" w:hAnsi="Times New Roman" w:cs="Times New Roman"/>
          <w:sz w:val="24"/>
          <w:szCs w:val="24"/>
        </w:rPr>
        <w:t xml:space="preserve"> from employment</w:t>
      </w:r>
      <w:r>
        <w:rPr>
          <w:rFonts w:ascii="Times New Roman" w:hAnsi="Times New Roman" w:cs="Times New Roman"/>
          <w:sz w:val="24"/>
          <w:szCs w:val="24"/>
        </w:rPr>
        <w:t xml:space="preserve">, </w:t>
      </w:r>
      <w:r w:rsidR="002D5589">
        <w:rPr>
          <w:rFonts w:ascii="Times New Roman" w:hAnsi="Times New Roman" w:cs="Times New Roman"/>
          <w:sz w:val="24"/>
          <w:szCs w:val="24"/>
        </w:rPr>
        <w:t>t</w:t>
      </w:r>
      <w:r>
        <w:rPr>
          <w:rFonts w:ascii="Times New Roman" w:hAnsi="Times New Roman" w:cs="Times New Roman"/>
          <w:sz w:val="24"/>
          <w:szCs w:val="24"/>
        </w:rPr>
        <w:t xml:space="preserve">he </w:t>
      </w:r>
      <w:r w:rsidR="002D5589">
        <w:rPr>
          <w:rFonts w:ascii="Times New Roman" w:hAnsi="Times New Roman" w:cs="Times New Roman"/>
          <w:sz w:val="24"/>
          <w:szCs w:val="24"/>
        </w:rPr>
        <w:t xml:space="preserve">appellant </w:t>
      </w:r>
      <w:r>
        <w:rPr>
          <w:rFonts w:ascii="Times New Roman" w:hAnsi="Times New Roman" w:cs="Times New Roman"/>
          <w:sz w:val="24"/>
          <w:szCs w:val="24"/>
        </w:rPr>
        <w:t xml:space="preserve">appealed to the court </w:t>
      </w:r>
      <w:r w:rsidRPr="003E7475">
        <w:rPr>
          <w:rFonts w:ascii="Times New Roman" w:hAnsi="Times New Roman" w:cs="Times New Roman"/>
          <w:i/>
          <w:iCs/>
          <w:sz w:val="24"/>
          <w:szCs w:val="24"/>
        </w:rPr>
        <w:t>a quo</w:t>
      </w:r>
      <w:r>
        <w:rPr>
          <w:rFonts w:ascii="Times New Roman" w:hAnsi="Times New Roman" w:cs="Times New Roman"/>
          <w:sz w:val="24"/>
          <w:szCs w:val="24"/>
        </w:rPr>
        <w:t xml:space="preserve"> on </w:t>
      </w:r>
      <w:r w:rsidR="00B301BA">
        <w:rPr>
          <w:rFonts w:ascii="Times New Roman" w:hAnsi="Times New Roman" w:cs="Times New Roman"/>
          <w:sz w:val="24"/>
          <w:szCs w:val="24"/>
        </w:rPr>
        <w:t xml:space="preserve">seven grounds. </w:t>
      </w:r>
      <w:r w:rsidR="00DF662B">
        <w:rPr>
          <w:rFonts w:ascii="Times New Roman" w:hAnsi="Times New Roman" w:cs="Times New Roman"/>
          <w:sz w:val="24"/>
          <w:szCs w:val="24"/>
        </w:rPr>
        <w:t xml:space="preserve"> </w:t>
      </w:r>
      <w:r w:rsidR="00B301BA">
        <w:rPr>
          <w:rFonts w:ascii="Times New Roman" w:hAnsi="Times New Roman" w:cs="Times New Roman"/>
          <w:sz w:val="24"/>
          <w:szCs w:val="24"/>
        </w:rPr>
        <w:t>These</w:t>
      </w:r>
      <w:r w:rsidR="00617882">
        <w:rPr>
          <w:rFonts w:ascii="Times New Roman" w:hAnsi="Times New Roman" w:cs="Times New Roman"/>
          <w:sz w:val="24"/>
          <w:szCs w:val="24"/>
        </w:rPr>
        <w:t>,</w:t>
      </w:r>
      <w:r w:rsidR="00B301BA">
        <w:rPr>
          <w:rFonts w:ascii="Times New Roman" w:hAnsi="Times New Roman" w:cs="Times New Roman"/>
          <w:sz w:val="24"/>
          <w:szCs w:val="24"/>
        </w:rPr>
        <w:t xml:space="preserve"> </w:t>
      </w:r>
      <w:r w:rsidR="0085469C">
        <w:rPr>
          <w:rFonts w:ascii="Times New Roman" w:hAnsi="Times New Roman" w:cs="Times New Roman"/>
          <w:sz w:val="24"/>
          <w:szCs w:val="24"/>
        </w:rPr>
        <w:t>in paraphrase</w:t>
      </w:r>
      <w:r w:rsidR="00617882">
        <w:rPr>
          <w:rFonts w:ascii="Times New Roman" w:hAnsi="Times New Roman" w:cs="Times New Roman"/>
          <w:sz w:val="24"/>
          <w:szCs w:val="24"/>
        </w:rPr>
        <w:t>,</w:t>
      </w:r>
      <w:r w:rsidR="0085469C">
        <w:rPr>
          <w:rFonts w:ascii="Times New Roman" w:hAnsi="Times New Roman" w:cs="Times New Roman"/>
          <w:sz w:val="24"/>
          <w:szCs w:val="24"/>
        </w:rPr>
        <w:t xml:space="preserve"> were that the second appeal officer grossly misdirected himself in the following respects:</w:t>
      </w:r>
    </w:p>
    <w:p w14:paraId="48861429" w14:textId="1644BB84" w:rsidR="0085469C" w:rsidRDefault="00CE5585" w:rsidP="00CE5585">
      <w:pPr>
        <w:spacing w:after="0"/>
        <w:ind w:left="144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85469C">
        <w:rPr>
          <w:rFonts w:ascii="Times New Roman" w:hAnsi="Times New Roman" w:cs="Times New Roman"/>
          <w:sz w:val="24"/>
          <w:szCs w:val="24"/>
        </w:rPr>
        <w:t>1.1</w:t>
      </w:r>
      <w:r w:rsidR="0085469C">
        <w:rPr>
          <w:rFonts w:ascii="Times New Roman" w:hAnsi="Times New Roman" w:cs="Times New Roman"/>
          <w:sz w:val="24"/>
          <w:szCs w:val="24"/>
        </w:rPr>
        <w:tab/>
        <w:t>He upheld the findings of the two earlier hearing officers that the inconsistency to the appellant’s contract of employment arose from the appellant’s failure to handover an incomplete booking, when it ought to have ar</w:t>
      </w:r>
      <w:r w:rsidR="00522B47">
        <w:rPr>
          <w:rFonts w:ascii="Times New Roman" w:hAnsi="Times New Roman" w:cs="Times New Roman"/>
          <w:sz w:val="24"/>
          <w:szCs w:val="24"/>
        </w:rPr>
        <w:t>isen</w:t>
      </w:r>
      <w:r w:rsidR="0085469C">
        <w:rPr>
          <w:rFonts w:ascii="Times New Roman" w:hAnsi="Times New Roman" w:cs="Times New Roman"/>
          <w:sz w:val="24"/>
          <w:szCs w:val="24"/>
        </w:rPr>
        <w:t xml:space="preserve"> from his failure to complete the booking and send it to the virtual partner. </w:t>
      </w:r>
    </w:p>
    <w:p w14:paraId="59691252" w14:textId="77777777" w:rsidR="00AF71BE" w:rsidRDefault="00AF71BE" w:rsidP="00DF662B">
      <w:pPr>
        <w:spacing w:after="0"/>
        <w:ind w:left="1440" w:hanging="720"/>
        <w:jc w:val="both"/>
        <w:rPr>
          <w:rFonts w:ascii="Times New Roman" w:hAnsi="Times New Roman" w:cs="Times New Roman"/>
          <w:sz w:val="24"/>
          <w:szCs w:val="24"/>
        </w:rPr>
      </w:pPr>
    </w:p>
    <w:p w14:paraId="2726C392" w14:textId="73F3BC7B" w:rsidR="005218FF" w:rsidRDefault="0085469C" w:rsidP="00CE5585">
      <w:pPr>
        <w:ind w:left="1440" w:hanging="36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Alternatively, even</w:t>
      </w:r>
      <w:r w:rsidR="005218FF">
        <w:rPr>
          <w:rFonts w:ascii="Times New Roman" w:hAnsi="Times New Roman" w:cs="Times New Roman"/>
          <w:sz w:val="24"/>
          <w:szCs w:val="24"/>
        </w:rPr>
        <w:t xml:space="preserve"> if the charge was proved by the </w:t>
      </w:r>
      <w:r>
        <w:rPr>
          <w:rFonts w:ascii="Times New Roman" w:hAnsi="Times New Roman" w:cs="Times New Roman"/>
          <w:sz w:val="24"/>
          <w:szCs w:val="24"/>
        </w:rPr>
        <w:t xml:space="preserve">failure to handover the booking, </w:t>
      </w:r>
      <w:r w:rsidR="005218FF">
        <w:rPr>
          <w:rFonts w:ascii="Times New Roman" w:hAnsi="Times New Roman" w:cs="Times New Roman"/>
          <w:sz w:val="24"/>
          <w:szCs w:val="24"/>
        </w:rPr>
        <w:t>Feedmix personnel were not stranded or failed to check in because of such a failure but because they did not provide proof of payment.</w:t>
      </w:r>
    </w:p>
    <w:p w14:paraId="128A23C4" w14:textId="207A8873" w:rsidR="00E32E79" w:rsidRDefault="005218FF" w:rsidP="00CE5585">
      <w:pPr>
        <w:ind w:left="1440" w:hanging="36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FF2566">
        <w:rPr>
          <w:rFonts w:ascii="Times New Roman" w:hAnsi="Times New Roman" w:cs="Times New Roman"/>
          <w:sz w:val="24"/>
          <w:szCs w:val="24"/>
        </w:rPr>
        <w:t xml:space="preserve">He upheld the charge on the further basis that the appellant provided an expired tax certificate, yet the appellant was not charged with </w:t>
      </w:r>
      <w:r w:rsidR="006818D9">
        <w:rPr>
          <w:rFonts w:ascii="Times New Roman" w:hAnsi="Times New Roman" w:cs="Times New Roman"/>
          <w:sz w:val="24"/>
          <w:szCs w:val="24"/>
        </w:rPr>
        <w:t>an expired tax certificate.</w:t>
      </w:r>
    </w:p>
    <w:p w14:paraId="43F46A5E" w14:textId="2127BF5D" w:rsidR="00E32E79" w:rsidRDefault="00CE5585" w:rsidP="0085469C">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32E79">
        <w:rPr>
          <w:rFonts w:ascii="Times New Roman" w:hAnsi="Times New Roman" w:cs="Times New Roman"/>
          <w:sz w:val="24"/>
          <w:szCs w:val="24"/>
        </w:rPr>
        <w:t>1.4</w:t>
      </w:r>
      <w:r w:rsidR="00E32E79">
        <w:rPr>
          <w:rFonts w:ascii="Times New Roman" w:hAnsi="Times New Roman" w:cs="Times New Roman"/>
          <w:sz w:val="24"/>
          <w:szCs w:val="24"/>
        </w:rPr>
        <w:tab/>
        <w:t>He upheld the finding that the legacy debtors</w:t>
      </w:r>
      <w:r w:rsidR="000B77F3">
        <w:rPr>
          <w:rFonts w:ascii="Times New Roman" w:hAnsi="Times New Roman" w:cs="Times New Roman"/>
          <w:sz w:val="24"/>
          <w:szCs w:val="24"/>
        </w:rPr>
        <w:t>’</w:t>
      </w:r>
      <w:r w:rsidR="00E32E79">
        <w:rPr>
          <w:rFonts w:ascii="Times New Roman" w:hAnsi="Times New Roman" w:cs="Times New Roman"/>
          <w:sz w:val="24"/>
          <w:szCs w:val="24"/>
        </w:rPr>
        <w:t xml:space="preserve"> policy was in existence and was communicated to the appellant, contrary to the countervailing evidence of </w:t>
      </w:r>
      <w:proofErr w:type="spellStart"/>
      <w:r w:rsidR="00E32E79">
        <w:rPr>
          <w:rFonts w:ascii="Times New Roman" w:hAnsi="Times New Roman" w:cs="Times New Roman"/>
          <w:sz w:val="24"/>
          <w:szCs w:val="24"/>
        </w:rPr>
        <w:t>Isheunesu</w:t>
      </w:r>
      <w:proofErr w:type="spellEnd"/>
      <w:r w:rsidR="00E32E79">
        <w:rPr>
          <w:rFonts w:ascii="Times New Roman" w:hAnsi="Times New Roman" w:cs="Times New Roman"/>
          <w:sz w:val="24"/>
          <w:szCs w:val="24"/>
        </w:rPr>
        <w:t xml:space="preserve"> </w:t>
      </w:r>
      <w:proofErr w:type="spellStart"/>
      <w:r w:rsidR="00E32E79">
        <w:rPr>
          <w:rFonts w:ascii="Times New Roman" w:hAnsi="Times New Roman" w:cs="Times New Roman"/>
          <w:sz w:val="24"/>
          <w:szCs w:val="24"/>
        </w:rPr>
        <w:t>Makambira</w:t>
      </w:r>
      <w:proofErr w:type="spellEnd"/>
      <w:r w:rsidR="00E32E79">
        <w:rPr>
          <w:rFonts w:ascii="Times New Roman" w:hAnsi="Times New Roman" w:cs="Times New Roman"/>
          <w:sz w:val="24"/>
          <w:szCs w:val="24"/>
        </w:rPr>
        <w:t xml:space="preserve">, </w:t>
      </w:r>
      <w:proofErr w:type="spellStart"/>
      <w:r w:rsidR="00E32E79">
        <w:rPr>
          <w:rFonts w:ascii="Times New Roman" w:hAnsi="Times New Roman" w:cs="Times New Roman"/>
          <w:sz w:val="24"/>
          <w:szCs w:val="24"/>
        </w:rPr>
        <w:t>Fadzai</w:t>
      </w:r>
      <w:proofErr w:type="spellEnd"/>
      <w:r w:rsidR="00E32E79">
        <w:rPr>
          <w:rFonts w:ascii="Times New Roman" w:hAnsi="Times New Roman" w:cs="Times New Roman"/>
          <w:sz w:val="24"/>
          <w:szCs w:val="24"/>
        </w:rPr>
        <w:t xml:space="preserve"> </w:t>
      </w:r>
      <w:proofErr w:type="spellStart"/>
      <w:r w:rsidR="00E32E79">
        <w:rPr>
          <w:rFonts w:ascii="Times New Roman" w:hAnsi="Times New Roman" w:cs="Times New Roman"/>
          <w:sz w:val="24"/>
          <w:szCs w:val="24"/>
        </w:rPr>
        <w:t>Makuvise</w:t>
      </w:r>
      <w:proofErr w:type="spellEnd"/>
      <w:r w:rsidR="00E32E79">
        <w:rPr>
          <w:rFonts w:ascii="Times New Roman" w:hAnsi="Times New Roman" w:cs="Times New Roman"/>
          <w:sz w:val="24"/>
          <w:szCs w:val="24"/>
        </w:rPr>
        <w:t xml:space="preserve"> and </w:t>
      </w:r>
      <w:r w:rsidR="006818D9">
        <w:rPr>
          <w:rFonts w:ascii="Times New Roman" w:hAnsi="Times New Roman" w:cs="Times New Roman"/>
          <w:sz w:val="24"/>
          <w:szCs w:val="24"/>
        </w:rPr>
        <w:t>Tawanda Kwidini</w:t>
      </w:r>
      <w:r w:rsidR="00E32E79">
        <w:rPr>
          <w:rFonts w:ascii="Times New Roman" w:hAnsi="Times New Roman" w:cs="Times New Roman"/>
          <w:sz w:val="24"/>
          <w:szCs w:val="24"/>
        </w:rPr>
        <w:t>.</w:t>
      </w:r>
    </w:p>
    <w:p w14:paraId="011EF6E3" w14:textId="20E03769" w:rsidR="00C42C43" w:rsidRDefault="00CE5585" w:rsidP="0085469C">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32E79">
        <w:rPr>
          <w:rFonts w:ascii="Times New Roman" w:hAnsi="Times New Roman" w:cs="Times New Roman"/>
          <w:sz w:val="24"/>
          <w:szCs w:val="24"/>
        </w:rPr>
        <w:t>1.5</w:t>
      </w:r>
      <w:r w:rsidR="00E32E79">
        <w:rPr>
          <w:rFonts w:ascii="Times New Roman" w:hAnsi="Times New Roman" w:cs="Times New Roman"/>
          <w:sz w:val="24"/>
          <w:szCs w:val="24"/>
        </w:rPr>
        <w:tab/>
        <w:t xml:space="preserve">The </w:t>
      </w:r>
      <w:r w:rsidR="00EA0483">
        <w:rPr>
          <w:rFonts w:ascii="Times New Roman" w:hAnsi="Times New Roman" w:cs="Times New Roman"/>
          <w:sz w:val="24"/>
          <w:szCs w:val="24"/>
        </w:rPr>
        <w:t xml:space="preserve">alleged </w:t>
      </w:r>
      <w:r w:rsidR="00E32E79">
        <w:rPr>
          <w:rFonts w:ascii="Times New Roman" w:hAnsi="Times New Roman" w:cs="Times New Roman"/>
          <w:sz w:val="24"/>
          <w:szCs w:val="24"/>
        </w:rPr>
        <w:t>fictitious emails were actually draft emails which the appellant submitted to his head of department by mistake and without any intention to deceive.</w:t>
      </w:r>
    </w:p>
    <w:p w14:paraId="509BAB99" w14:textId="07AF89F1" w:rsidR="00C42C43" w:rsidRDefault="00CE5585" w:rsidP="0085469C">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42C43">
        <w:rPr>
          <w:rFonts w:ascii="Times New Roman" w:hAnsi="Times New Roman" w:cs="Times New Roman"/>
          <w:sz w:val="24"/>
          <w:szCs w:val="24"/>
        </w:rPr>
        <w:t>2.</w:t>
      </w:r>
      <w:r w:rsidR="00C42C43">
        <w:rPr>
          <w:rFonts w:ascii="Times New Roman" w:hAnsi="Times New Roman" w:cs="Times New Roman"/>
          <w:sz w:val="24"/>
          <w:szCs w:val="24"/>
        </w:rPr>
        <w:tab/>
        <w:t>The penalty was harsh and did not warrant a dismissal for a first offence</w:t>
      </w:r>
      <w:r w:rsidR="000B77F3">
        <w:rPr>
          <w:rFonts w:ascii="Times New Roman" w:hAnsi="Times New Roman" w:cs="Times New Roman"/>
          <w:sz w:val="24"/>
          <w:szCs w:val="24"/>
        </w:rPr>
        <w:t>.</w:t>
      </w:r>
    </w:p>
    <w:p w14:paraId="53B94E7F" w14:textId="1CA9019F" w:rsidR="00E32E79" w:rsidRDefault="00CE5585" w:rsidP="0085469C">
      <w:pPr>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42C43">
        <w:rPr>
          <w:rFonts w:ascii="Times New Roman" w:hAnsi="Times New Roman" w:cs="Times New Roman"/>
          <w:sz w:val="24"/>
          <w:szCs w:val="24"/>
        </w:rPr>
        <w:t>3.</w:t>
      </w:r>
      <w:r w:rsidR="00C42C43">
        <w:rPr>
          <w:rFonts w:ascii="Times New Roman" w:hAnsi="Times New Roman" w:cs="Times New Roman"/>
          <w:sz w:val="24"/>
          <w:szCs w:val="24"/>
        </w:rPr>
        <w:tab/>
        <w:t>Alternatively, the dismissal was harsh in that the appeal officers and the two lower tier</w:t>
      </w:r>
      <w:r w:rsidR="00EA0483">
        <w:rPr>
          <w:rFonts w:ascii="Times New Roman" w:hAnsi="Times New Roman" w:cs="Times New Roman"/>
          <w:sz w:val="24"/>
          <w:szCs w:val="24"/>
        </w:rPr>
        <w:t xml:space="preserve"> officers</w:t>
      </w:r>
      <w:r w:rsidR="00C42C43">
        <w:rPr>
          <w:rFonts w:ascii="Times New Roman" w:hAnsi="Times New Roman" w:cs="Times New Roman"/>
          <w:sz w:val="24"/>
          <w:szCs w:val="24"/>
        </w:rPr>
        <w:t xml:space="preserve"> failed to seriously consider that the employees who allowed the </w:t>
      </w:r>
      <w:r w:rsidR="00EA0483">
        <w:rPr>
          <w:rFonts w:ascii="Times New Roman" w:hAnsi="Times New Roman" w:cs="Times New Roman"/>
          <w:sz w:val="24"/>
          <w:szCs w:val="24"/>
        </w:rPr>
        <w:t>M</w:t>
      </w:r>
      <w:r w:rsidR="00C42C43">
        <w:rPr>
          <w:rFonts w:ascii="Times New Roman" w:hAnsi="Times New Roman" w:cs="Times New Roman"/>
          <w:sz w:val="24"/>
          <w:szCs w:val="24"/>
        </w:rPr>
        <w:t>inistry delegates to check in had not been charged and punished for doing so.</w:t>
      </w:r>
    </w:p>
    <w:p w14:paraId="76256406" w14:textId="77777777" w:rsidR="00AE00F9" w:rsidRDefault="00AE00F9" w:rsidP="0002575C">
      <w:pPr>
        <w:spacing w:after="0"/>
        <w:ind w:left="1440" w:hanging="720"/>
        <w:jc w:val="both"/>
        <w:rPr>
          <w:rFonts w:ascii="Times New Roman" w:hAnsi="Times New Roman" w:cs="Times New Roman"/>
          <w:sz w:val="24"/>
          <w:szCs w:val="24"/>
        </w:rPr>
      </w:pPr>
    </w:p>
    <w:p w14:paraId="1C2E31D5" w14:textId="5E348160" w:rsidR="0052601B" w:rsidRDefault="000B77F3" w:rsidP="00AE00F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D4352C">
        <w:rPr>
          <w:rFonts w:ascii="Times New Roman" w:hAnsi="Times New Roman" w:cs="Times New Roman"/>
          <w:sz w:val="24"/>
          <w:szCs w:val="24"/>
        </w:rPr>
        <w:t>3</w:t>
      </w:r>
      <w:r>
        <w:rPr>
          <w:rFonts w:ascii="Times New Roman" w:hAnsi="Times New Roman" w:cs="Times New Roman"/>
          <w:sz w:val="24"/>
          <w:szCs w:val="24"/>
        </w:rPr>
        <w:t>2</w:t>
      </w:r>
      <w:r w:rsidR="00BE6C41">
        <w:rPr>
          <w:rFonts w:ascii="Times New Roman" w:hAnsi="Times New Roman" w:cs="Times New Roman"/>
          <w:sz w:val="24"/>
          <w:szCs w:val="24"/>
        </w:rPr>
        <w:t>]</w:t>
      </w:r>
      <w:r w:rsidR="00BE6C41">
        <w:rPr>
          <w:rFonts w:ascii="Times New Roman" w:hAnsi="Times New Roman" w:cs="Times New Roman"/>
          <w:sz w:val="24"/>
          <w:szCs w:val="24"/>
        </w:rPr>
        <w:tab/>
        <w:t>The appellant sought the success of the appeal with costs, the vacation of the appeal officer’s decision</w:t>
      </w:r>
      <w:r w:rsidR="00F4773B">
        <w:rPr>
          <w:rFonts w:ascii="Times New Roman" w:hAnsi="Times New Roman" w:cs="Times New Roman"/>
          <w:sz w:val="24"/>
          <w:szCs w:val="24"/>
        </w:rPr>
        <w:t>,</w:t>
      </w:r>
      <w:r w:rsidR="00BE6C41">
        <w:rPr>
          <w:rFonts w:ascii="Times New Roman" w:hAnsi="Times New Roman" w:cs="Times New Roman"/>
          <w:sz w:val="24"/>
          <w:szCs w:val="24"/>
        </w:rPr>
        <w:t xml:space="preserve"> its substitution with verdicts of not guilty</w:t>
      </w:r>
      <w:r w:rsidR="00F4773B">
        <w:rPr>
          <w:rFonts w:ascii="Times New Roman" w:hAnsi="Times New Roman" w:cs="Times New Roman"/>
          <w:sz w:val="24"/>
          <w:szCs w:val="24"/>
        </w:rPr>
        <w:t xml:space="preserve"> and reinstatement </w:t>
      </w:r>
      <w:r w:rsidR="0052601B">
        <w:rPr>
          <w:rFonts w:ascii="Times New Roman" w:hAnsi="Times New Roman" w:cs="Times New Roman"/>
          <w:sz w:val="24"/>
          <w:szCs w:val="24"/>
        </w:rPr>
        <w:t xml:space="preserve">without any loss of pay or benefits </w:t>
      </w:r>
      <w:r w:rsidR="00F4773B">
        <w:rPr>
          <w:rFonts w:ascii="Times New Roman" w:hAnsi="Times New Roman" w:cs="Times New Roman"/>
          <w:sz w:val="24"/>
          <w:szCs w:val="24"/>
        </w:rPr>
        <w:t xml:space="preserve">from the date of </w:t>
      </w:r>
      <w:r w:rsidR="0052601B">
        <w:rPr>
          <w:rFonts w:ascii="Times New Roman" w:hAnsi="Times New Roman" w:cs="Times New Roman"/>
          <w:sz w:val="24"/>
          <w:szCs w:val="24"/>
        </w:rPr>
        <w:t xml:space="preserve">dismissal. </w:t>
      </w:r>
      <w:r w:rsidR="004E6230">
        <w:rPr>
          <w:rFonts w:ascii="Times New Roman" w:hAnsi="Times New Roman" w:cs="Times New Roman"/>
          <w:sz w:val="24"/>
          <w:szCs w:val="24"/>
        </w:rPr>
        <w:t xml:space="preserve"> </w:t>
      </w:r>
      <w:r w:rsidR="0052601B">
        <w:rPr>
          <w:rFonts w:ascii="Times New Roman" w:hAnsi="Times New Roman" w:cs="Times New Roman"/>
          <w:sz w:val="24"/>
          <w:szCs w:val="24"/>
        </w:rPr>
        <w:t xml:space="preserve">In </w:t>
      </w:r>
      <w:r w:rsidR="0052601B" w:rsidRPr="0052601B">
        <w:rPr>
          <w:rFonts w:ascii="Times New Roman" w:hAnsi="Times New Roman" w:cs="Times New Roman"/>
          <w:i/>
          <w:iCs/>
          <w:sz w:val="24"/>
          <w:szCs w:val="24"/>
        </w:rPr>
        <w:t>lieu</w:t>
      </w:r>
      <w:r w:rsidR="0052601B">
        <w:rPr>
          <w:rFonts w:ascii="Times New Roman" w:hAnsi="Times New Roman" w:cs="Times New Roman"/>
          <w:sz w:val="24"/>
          <w:szCs w:val="24"/>
        </w:rPr>
        <w:t xml:space="preserve"> of reinstatement he prayed for damages as agreed or failing agreement, as computed by the Labour Court</w:t>
      </w:r>
      <w:r w:rsidR="00BE6C41">
        <w:rPr>
          <w:rFonts w:ascii="Times New Roman" w:hAnsi="Times New Roman" w:cs="Times New Roman"/>
          <w:sz w:val="24"/>
          <w:szCs w:val="24"/>
        </w:rPr>
        <w:t xml:space="preserve">. </w:t>
      </w:r>
      <w:r w:rsidR="004E6230">
        <w:rPr>
          <w:rFonts w:ascii="Times New Roman" w:hAnsi="Times New Roman" w:cs="Times New Roman"/>
          <w:sz w:val="24"/>
          <w:szCs w:val="24"/>
        </w:rPr>
        <w:t xml:space="preserve"> </w:t>
      </w:r>
      <w:r w:rsidR="00BE6C41">
        <w:rPr>
          <w:rFonts w:ascii="Times New Roman" w:hAnsi="Times New Roman" w:cs="Times New Roman"/>
          <w:sz w:val="24"/>
          <w:szCs w:val="24"/>
        </w:rPr>
        <w:t xml:space="preserve">In the alternative, he sought </w:t>
      </w:r>
      <w:r w:rsidR="0052601B">
        <w:rPr>
          <w:rFonts w:ascii="Times New Roman" w:hAnsi="Times New Roman" w:cs="Times New Roman"/>
          <w:sz w:val="24"/>
          <w:szCs w:val="24"/>
        </w:rPr>
        <w:t xml:space="preserve">partial success of the appeal </w:t>
      </w:r>
      <w:r>
        <w:rPr>
          <w:rFonts w:ascii="Times New Roman" w:hAnsi="Times New Roman" w:cs="Times New Roman"/>
          <w:sz w:val="24"/>
          <w:szCs w:val="24"/>
        </w:rPr>
        <w:t xml:space="preserve">only </w:t>
      </w:r>
      <w:r w:rsidR="0052601B">
        <w:rPr>
          <w:rFonts w:ascii="Times New Roman" w:hAnsi="Times New Roman" w:cs="Times New Roman"/>
          <w:sz w:val="24"/>
          <w:szCs w:val="24"/>
        </w:rPr>
        <w:t xml:space="preserve">in respect of </w:t>
      </w:r>
      <w:r>
        <w:rPr>
          <w:rFonts w:ascii="Times New Roman" w:hAnsi="Times New Roman" w:cs="Times New Roman"/>
          <w:sz w:val="24"/>
          <w:szCs w:val="24"/>
        </w:rPr>
        <w:t xml:space="preserve">the </w:t>
      </w:r>
      <w:r w:rsidR="0052601B">
        <w:rPr>
          <w:rFonts w:ascii="Times New Roman" w:hAnsi="Times New Roman" w:cs="Times New Roman"/>
          <w:sz w:val="24"/>
          <w:szCs w:val="24"/>
        </w:rPr>
        <w:t xml:space="preserve">penalty, </w:t>
      </w:r>
      <w:r w:rsidR="00BE6C41">
        <w:rPr>
          <w:rFonts w:ascii="Times New Roman" w:hAnsi="Times New Roman" w:cs="Times New Roman"/>
          <w:sz w:val="24"/>
          <w:szCs w:val="24"/>
        </w:rPr>
        <w:t xml:space="preserve">substitution of the penalty by a final written warning valid for 6 months and reinstatement </w:t>
      </w:r>
      <w:r w:rsidR="0052601B">
        <w:rPr>
          <w:rFonts w:ascii="Times New Roman" w:hAnsi="Times New Roman" w:cs="Times New Roman"/>
          <w:sz w:val="24"/>
          <w:szCs w:val="24"/>
        </w:rPr>
        <w:t xml:space="preserve">without any loss of pay and benefits </w:t>
      </w:r>
      <w:r w:rsidR="00BE6C41">
        <w:rPr>
          <w:rFonts w:ascii="Times New Roman" w:hAnsi="Times New Roman" w:cs="Times New Roman"/>
          <w:sz w:val="24"/>
          <w:szCs w:val="24"/>
        </w:rPr>
        <w:t xml:space="preserve">from the date of dismissal. </w:t>
      </w:r>
    </w:p>
    <w:p w14:paraId="1F543391" w14:textId="77777777" w:rsidR="004E6230" w:rsidRDefault="004E6230" w:rsidP="004E6230">
      <w:pPr>
        <w:spacing w:after="0" w:line="240" w:lineRule="auto"/>
        <w:ind w:left="720" w:hanging="720"/>
        <w:jc w:val="both"/>
        <w:rPr>
          <w:rFonts w:ascii="Times New Roman" w:hAnsi="Times New Roman" w:cs="Times New Roman"/>
          <w:sz w:val="24"/>
          <w:szCs w:val="24"/>
        </w:rPr>
      </w:pPr>
    </w:p>
    <w:p w14:paraId="7543A22F" w14:textId="63ABAF53" w:rsidR="004B43C5" w:rsidRPr="00E47452" w:rsidRDefault="004B43C5" w:rsidP="000B77F3">
      <w:pPr>
        <w:jc w:val="both"/>
        <w:rPr>
          <w:rFonts w:ascii="Times New Roman" w:hAnsi="Times New Roman" w:cs="Times New Roman"/>
          <w:b/>
          <w:bCs/>
          <w:sz w:val="24"/>
          <w:szCs w:val="24"/>
          <w:u w:val="single"/>
        </w:rPr>
      </w:pPr>
      <w:r w:rsidRPr="00E47452">
        <w:rPr>
          <w:rFonts w:ascii="Times New Roman" w:hAnsi="Times New Roman" w:cs="Times New Roman"/>
          <w:b/>
          <w:bCs/>
          <w:sz w:val="24"/>
          <w:szCs w:val="24"/>
          <w:u w:val="single"/>
        </w:rPr>
        <w:t xml:space="preserve">THE FINDINGS OF THE COURT </w:t>
      </w:r>
      <w:r w:rsidRPr="00E47452">
        <w:rPr>
          <w:rFonts w:ascii="Times New Roman" w:hAnsi="Times New Roman" w:cs="Times New Roman"/>
          <w:b/>
          <w:bCs/>
          <w:i/>
          <w:sz w:val="24"/>
          <w:szCs w:val="24"/>
          <w:u w:val="single"/>
        </w:rPr>
        <w:t>A QUO</w:t>
      </w:r>
    </w:p>
    <w:p w14:paraId="014902F7" w14:textId="2C3CBFD2" w:rsidR="003E7475" w:rsidRDefault="0052601B" w:rsidP="00AE00F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sidR="00D4352C">
        <w:rPr>
          <w:rFonts w:ascii="Times New Roman" w:hAnsi="Times New Roman" w:cs="Times New Roman"/>
          <w:sz w:val="24"/>
          <w:szCs w:val="24"/>
        </w:rPr>
        <w:t>3</w:t>
      </w:r>
      <w:r w:rsidR="000B77F3">
        <w:rPr>
          <w:rFonts w:ascii="Times New Roman" w:hAnsi="Times New Roman" w:cs="Times New Roman"/>
          <w:sz w:val="24"/>
          <w:szCs w:val="24"/>
        </w:rPr>
        <w:t>3</w:t>
      </w:r>
      <w:r w:rsidR="007B69EB">
        <w:rPr>
          <w:rFonts w:ascii="Times New Roman" w:hAnsi="Times New Roman" w:cs="Times New Roman"/>
          <w:sz w:val="24"/>
          <w:szCs w:val="24"/>
        </w:rPr>
        <w:t>]   The</w:t>
      </w:r>
      <w:r>
        <w:rPr>
          <w:rFonts w:ascii="Times New Roman" w:hAnsi="Times New Roman" w:cs="Times New Roman"/>
          <w:sz w:val="24"/>
          <w:szCs w:val="24"/>
        </w:rPr>
        <w:t xml:space="preserve"> court </w:t>
      </w:r>
      <w:r w:rsidRPr="0052601B">
        <w:rPr>
          <w:rFonts w:ascii="Times New Roman" w:hAnsi="Times New Roman" w:cs="Times New Roman"/>
          <w:i/>
          <w:iCs/>
          <w:sz w:val="24"/>
          <w:szCs w:val="24"/>
        </w:rPr>
        <w:t>a quo</w:t>
      </w:r>
      <w:r>
        <w:rPr>
          <w:rFonts w:ascii="Times New Roman" w:hAnsi="Times New Roman" w:cs="Times New Roman"/>
          <w:sz w:val="24"/>
          <w:szCs w:val="24"/>
        </w:rPr>
        <w:t xml:space="preserve"> was not impressed by</w:t>
      </w:r>
      <w:r w:rsidR="00193132">
        <w:rPr>
          <w:rFonts w:ascii="Times New Roman" w:hAnsi="Times New Roman" w:cs="Times New Roman"/>
          <w:sz w:val="24"/>
          <w:szCs w:val="24"/>
        </w:rPr>
        <w:t xml:space="preserve"> the appeal</w:t>
      </w:r>
      <w:r>
        <w:rPr>
          <w:rFonts w:ascii="Times New Roman" w:hAnsi="Times New Roman" w:cs="Times New Roman"/>
          <w:sz w:val="24"/>
          <w:szCs w:val="24"/>
        </w:rPr>
        <w:t xml:space="preserve"> </w:t>
      </w:r>
      <w:r w:rsidR="008A1479">
        <w:rPr>
          <w:rFonts w:ascii="Times New Roman" w:hAnsi="Times New Roman" w:cs="Times New Roman"/>
          <w:sz w:val="24"/>
          <w:szCs w:val="24"/>
        </w:rPr>
        <w:t xml:space="preserve">and gave short shrift to </w:t>
      </w:r>
      <w:r>
        <w:rPr>
          <w:rFonts w:ascii="Times New Roman" w:hAnsi="Times New Roman" w:cs="Times New Roman"/>
          <w:sz w:val="24"/>
          <w:szCs w:val="24"/>
        </w:rPr>
        <w:t>the appellant’s submissions.</w:t>
      </w:r>
      <w:r w:rsidR="0002692C">
        <w:rPr>
          <w:rFonts w:ascii="Times New Roman" w:hAnsi="Times New Roman" w:cs="Times New Roman"/>
          <w:sz w:val="24"/>
          <w:szCs w:val="24"/>
        </w:rPr>
        <w:t xml:space="preserve">  </w:t>
      </w:r>
      <w:r w:rsidR="008A1479">
        <w:rPr>
          <w:rFonts w:ascii="Times New Roman" w:hAnsi="Times New Roman" w:cs="Times New Roman"/>
          <w:sz w:val="24"/>
          <w:szCs w:val="24"/>
        </w:rPr>
        <w:t xml:space="preserve">By reference to each of the adverse findings of </w:t>
      </w:r>
      <w:r w:rsidR="000B77F3">
        <w:rPr>
          <w:rFonts w:ascii="Times New Roman" w:hAnsi="Times New Roman" w:cs="Times New Roman"/>
          <w:sz w:val="24"/>
          <w:szCs w:val="24"/>
        </w:rPr>
        <w:t xml:space="preserve">the </w:t>
      </w:r>
      <w:r w:rsidR="008A1479">
        <w:rPr>
          <w:rFonts w:ascii="Times New Roman" w:hAnsi="Times New Roman" w:cs="Times New Roman"/>
          <w:sz w:val="24"/>
          <w:szCs w:val="24"/>
        </w:rPr>
        <w:t xml:space="preserve">DHO against the appellant, the court </w:t>
      </w:r>
      <w:r w:rsidR="008A1479" w:rsidRPr="004E7C2A">
        <w:rPr>
          <w:rFonts w:ascii="Times New Roman" w:hAnsi="Times New Roman" w:cs="Times New Roman"/>
          <w:i/>
          <w:iCs/>
          <w:sz w:val="24"/>
          <w:szCs w:val="24"/>
        </w:rPr>
        <w:t>a quo</w:t>
      </w:r>
      <w:r w:rsidR="008A1479">
        <w:rPr>
          <w:rFonts w:ascii="Times New Roman" w:hAnsi="Times New Roman" w:cs="Times New Roman"/>
          <w:sz w:val="24"/>
          <w:szCs w:val="24"/>
        </w:rPr>
        <w:t xml:space="preserve"> held that the proved acts, conduct or omissions </w:t>
      </w:r>
      <w:r w:rsidR="004E7C2A">
        <w:rPr>
          <w:rFonts w:ascii="Times New Roman" w:hAnsi="Times New Roman" w:cs="Times New Roman"/>
          <w:sz w:val="24"/>
          <w:szCs w:val="24"/>
        </w:rPr>
        <w:t>were “in direct contradiction to what is expected of a person of your calibre</w:t>
      </w:r>
      <w:r w:rsidR="00F20128">
        <w:rPr>
          <w:rFonts w:ascii="Times New Roman" w:hAnsi="Times New Roman" w:cs="Times New Roman"/>
          <w:sz w:val="24"/>
          <w:szCs w:val="24"/>
        </w:rPr>
        <w:t xml:space="preserve"> and position in the business.”  </w:t>
      </w:r>
      <w:r w:rsidR="004E7C2A">
        <w:rPr>
          <w:rFonts w:ascii="Times New Roman" w:hAnsi="Times New Roman" w:cs="Times New Roman"/>
          <w:sz w:val="24"/>
          <w:szCs w:val="24"/>
        </w:rPr>
        <w:t xml:space="preserve">With particular reference to the first ground of appeal it found that the evidence led at the hearing established the appellant failed to complete the booking and hand it over to the virtual partner-Short Road </w:t>
      </w:r>
      <w:r w:rsidR="004923B4">
        <w:rPr>
          <w:rFonts w:ascii="Times New Roman" w:hAnsi="Times New Roman" w:cs="Times New Roman"/>
          <w:sz w:val="24"/>
          <w:szCs w:val="24"/>
        </w:rPr>
        <w:t>L</w:t>
      </w:r>
      <w:r w:rsidR="004E7C2A">
        <w:rPr>
          <w:rFonts w:ascii="Times New Roman" w:hAnsi="Times New Roman" w:cs="Times New Roman"/>
          <w:sz w:val="24"/>
          <w:szCs w:val="24"/>
        </w:rPr>
        <w:t xml:space="preserve">odge. </w:t>
      </w:r>
      <w:r w:rsidR="00F20128">
        <w:rPr>
          <w:rFonts w:ascii="Times New Roman" w:hAnsi="Times New Roman" w:cs="Times New Roman"/>
          <w:sz w:val="24"/>
          <w:szCs w:val="24"/>
        </w:rPr>
        <w:t xml:space="preserve"> </w:t>
      </w:r>
      <w:r w:rsidR="004E7C2A">
        <w:rPr>
          <w:rFonts w:ascii="Times New Roman" w:hAnsi="Times New Roman" w:cs="Times New Roman"/>
          <w:sz w:val="24"/>
          <w:szCs w:val="24"/>
        </w:rPr>
        <w:t xml:space="preserve">He failed to do so because he did not handover the booking when he went off duty. </w:t>
      </w:r>
      <w:r w:rsidR="00F20128">
        <w:rPr>
          <w:rFonts w:ascii="Times New Roman" w:hAnsi="Times New Roman" w:cs="Times New Roman"/>
          <w:sz w:val="24"/>
          <w:szCs w:val="24"/>
        </w:rPr>
        <w:t xml:space="preserve"> </w:t>
      </w:r>
      <w:r w:rsidR="004E7C2A">
        <w:rPr>
          <w:rFonts w:ascii="Times New Roman" w:hAnsi="Times New Roman" w:cs="Times New Roman"/>
          <w:sz w:val="24"/>
          <w:szCs w:val="24"/>
        </w:rPr>
        <w:t>Instead, he continued to handle the booking and</w:t>
      </w:r>
      <w:r w:rsidR="00BB7D84">
        <w:rPr>
          <w:rFonts w:ascii="Times New Roman" w:hAnsi="Times New Roman" w:cs="Times New Roman"/>
          <w:sz w:val="24"/>
          <w:szCs w:val="24"/>
        </w:rPr>
        <w:t xml:space="preserve"> inconvenienced</w:t>
      </w:r>
      <w:r w:rsidR="004E7C2A">
        <w:rPr>
          <w:rFonts w:ascii="Times New Roman" w:hAnsi="Times New Roman" w:cs="Times New Roman"/>
          <w:sz w:val="24"/>
          <w:szCs w:val="24"/>
        </w:rPr>
        <w:t xml:space="preserve"> the client by sending her an expired </w:t>
      </w:r>
      <w:r w:rsidR="004923B4">
        <w:rPr>
          <w:rFonts w:ascii="Times New Roman" w:hAnsi="Times New Roman" w:cs="Times New Roman"/>
          <w:sz w:val="24"/>
          <w:szCs w:val="24"/>
        </w:rPr>
        <w:t xml:space="preserve">tax clearance certificate which she could not use to make payment. </w:t>
      </w:r>
      <w:r w:rsidR="00F20128">
        <w:rPr>
          <w:rFonts w:ascii="Times New Roman" w:hAnsi="Times New Roman" w:cs="Times New Roman"/>
          <w:sz w:val="24"/>
          <w:szCs w:val="24"/>
        </w:rPr>
        <w:t xml:space="preserve"> </w:t>
      </w:r>
      <w:r w:rsidR="004923B4">
        <w:rPr>
          <w:rFonts w:ascii="Times New Roman" w:hAnsi="Times New Roman" w:cs="Times New Roman"/>
          <w:sz w:val="24"/>
          <w:szCs w:val="24"/>
        </w:rPr>
        <w:t>It therefore found “the quibble about details” raised by the first two grounds to be baseless.</w:t>
      </w:r>
    </w:p>
    <w:p w14:paraId="2A8D89BF" w14:textId="764F70F6" w:rsidR="00232021" w:rsidRDefault="004923B4" w:rsidP="00F61C6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D4352C">
        <w:rPr>
          <w:rFonts w:ascii="Times New Roman" w:hAnsi="Times New Roman" w:cs="Times New Roman"/>
          <w:sz w:val="24"/>
          <w:szCs w:val="24"/>
        </w:rPr>
        <w:t>3</w:t>
      </w:r>
      <w:r w:rsidR="00BB7D8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Regarding the attacks on the findings relating to the policy on the legacy debt by the </w:t>
      </w:r>
      <w:r w:rsidR="00BB7D84">
        <w:rPr>
          <w:rFonts w:ascii="Times New Roman" w:hAnsi="Times New Roman" w:cs="Times New Roman"/>
          <w:sz w:val="24"/>
          <w:szCs w:val="24"/>
        </w:rPr>
        <w:t>M</w:t>
      </w:r>
      <w:r>
        <w:rPr>
          <w:rFonts w:ascii="Times New Roman" w:hAnsi="Times New Roman" w:cs="Times New Roman"/>
          <w:sz w:val="24"/>
          <w:szCs w:val="24"/>
        </w:rPr>
        <w:t xml:space="preserve">inistry, the court </w:t>
      </w:r>
      <w:r w:rsidRPr="004923B4">
        <w:rPr>
          <w:rFonts w:ascii="Times New Roman" w:hAnsi="Times New Roman" w:cs="Times New Roman"/>
          <w:i/>
          <w:iCs/>
          <w:sz w:val="24"/>
          <w:szCs w:val="24"/>
        </w:rPr>
        <w:t>a quo</w:t>
      </w:r>
      <w:r>
        <w:rPr>
          <w:rFonts w:ascii="Times New Roman" w:hAnsi="Times New Roman" w:cs="Times New Roman"/>
          <w:sz w:val="24"/>
          <w:szCs w:val="24"/>
        </w:rPr>
        <w:t xml:space="preserve"> contrasted </w:t>
      </w:r>
      <w:r w:rsidR="00430C3F">
        <w:rPr>
          <w:rFonts w:ascii="Times New Roman" w:hAnsi="Times New Roman" w:cs="Times New Roman"/>
          <w:sz w:val="24"/>
          <w:szCs w:val="24"/>
        </w:rPr>
        <w:t xml:space="preserve">the evidence of </w:t>
      </w:r>
      <w:proofErr w:type="spellStart"/>
      <w:r w:rsidR="00430C3F">
        <w:rPr>
          <w:rFonts w:ascii="Times New Roman" w:hAnsi="Times New Roman" w:cs="Times New Roman"/>
          <w:sz w:val="24"/>
          <w:szCs w:val="24"/>
        </w:rPr>
        <w:t>Isheunesu</w:t>
      </w:r>
      <w:proofErr w:type="spellEnd"/>
      <w:r w:rsidR="00430C3F">
        <w:rPr>
          <w:rFonts w:ascii="Times New Roman" w:hAnsi="Times New Roman" w:cs="Times New Roman"/>
          <w:sz w:val="24"/>
          <w:szCs w:val="24"/>
        </w:rPr>
        <w:t xml:space="preserve"> </w:t>
      </w:r>
      <w:proofErr w:type="spellStart"/>
      <w:r w:rsidR="00430C3F">
        <w:rPr>
          <w:rFonts w:ascii="Times New Roman" w:hAnsi="Times New Roman" w:cs="Times New Roman"/>
          <w:sz w:val="24"/>
          <w:szCs w:val="24"/>
        </w:rPr>
        <w:t>Makam</w:t>
      </w:r>
      <w:r w:rsidR="00421A1F">
        <w:rPr>
          <w:rFonts w:ascii="Times New Roman" w:hAnsi="Times New Roman" w:cs="Times New Roman"/>
          <w:sz w:val="24"/>
          <w:szCs w:val="24"/>
        </w:rPr>
        <w:t>bira</w:t>
      </w:r>
      <w:proofErr w:type="spellEnd"/>
      <w:r w:rsidR="00421A1F">
        <w:rPr>
          <w:rFonts w:ascii="Times New Roman" w:hAnsi="Times New Roman" w:cs="Times New Roman"/>
          <w:sz w:val="24"/>
          <w:szCs w:val="24"/>
        </w:rPr>
        <w:t xml:space="preserve"> and that of the appellant.  </w:t>
      </w:r>
      <w:r w:rsidR="00BB7D84">
        <w:rPr>
          <w:rFonts w:ascii="Times New Roman" w:hAnsi="Times New Roman" w:cs="Times New Roman"/>
          <w:sz w:val="24"/>
          <w:szCs w:val="24"/>
        </w:rPr>
        <w:t xml:space="preserve">Isheunesu </w:t>
      </w:r>
      <w:r w:rsidR="00430C3F">
        <w:rPr>
          <w:rFonts w:ascii="Times New Roman" w:hAnsi="Times New Roman" w:cs="Times New Roman"/>
          <w:sz w:val="24"/>
          <w:szCs w:val="24"/>
        </w:rPr>
        <w:t xml:space="preserve">Makambira stated that, in a meeting </w:t>
      </w:r>
      <w:r w:rsidR="00BB7D84">
        <w:rPr>
          <w:rFonts w:ascii="Times New Roman" w:hAnsi="Times New Roman" w:cs="Times New Roman"/>
          <w:sz w:val="24"/>
          <w:szCs w:val="24"/>
        </w:rPr>
        <w:t>they both attended</w:t>
      </w:r>
      <w:r w:rsidR="00430C3F">
        <w:rPr>
          <w:rFonts w:ascii="Times New Roman" w:hAnsi="Times New Roman" w:cs="Times New Roman"/>
          <w:sz w:val="24"/>
          <w:szCs w:val="24"/>
        </w:rPr>
        <w:t>,</w:t>
      </w:r>
      <w:r w:rsidR="00000F0E">
        <w:rPr>
          <w:rFonts w:ascii="Times New Roman" w:hAnsi="Times New Roman" w:cs="Times New Roman"/>
          <w:sz w:val="24"/>
          <w:szCs w:val="24"/>
        </w:rPr>
        <w:t xml:space="preserve"> </w:t>
      </w:r>
      <w:r w:rsidR="00430C3F">
        <w:rPr>
          <w:rFonts w:ascii="Times New Roman" w:hAnsi="Times New Roman" w:cs="Times New Roman"/>
          <w:sz w:val="24"/>
          <w:szCs w:val="24"/>
        </w:rPr>
        <w:t xml:space="preserve">Tinashe </w:t>
      </w:r>
      <w:proofErr w:type="spellStart"/>
      <w:r w:rsidR="00430C3F">
        <w:rPr>
          <w:rFonts w:ascii="Times New Roman" w:hAnsi="Times New Roman" w:cs="Times New Roman"/>
          <w:sz w:val="24"/>
          <w:szCs w:val="24"/>
        </w:rPr>
        <w:t>Kuvheya</w:t>
      </w:r>
      <w:proofErr w:type="spellEnd"/>
      <w:r w:rsidR="00430C3F">
        <w:rPr>
          <w:rFonts w:ascii="Times New Roman" w:hAnsi="Times New Roman" w:cs="Times New Roman"/>
          <w:sz w:val="24"/>
          <w:szCs w:val="24"/>
        </w:rPr>
        <w:t xml:space="preserve">, who was their head of department, </w:t>
      </w:r>
      <w:r w:rsidR="00BB7D84">
        <w:rPr>
          <w:rFonts w:ascii="Times New Roman" w:hAnsi="Times New Roman" w:cs="Times New Roman"/>
          <w:sz w:val="24"/>
          <w:szCs w:val="24"/>
        </w:rPr>
        <w:t>relayed the</w:t>
      </w:r>
      <w:r w:rsidR="00430C3F">
        <w:rPr>
          <w:rFonts w:ascii="Times New Roman" w:hAnsi="Times New Roman" w:cs="Times New Roman"/>
          <w:sz w:val="24"/>
          <w:szCs w:val="24"/>
        </w:rPr>
        <w:t xml:space="preserve"> instruction from the respondent’s management. </w:t>
      </w:r>
      <w:r w:rsidR="00421A1F">
        <w:rPr>
          <w:rFonts w:ascii="Times New Roman" w:hAnsi="Times New Roman" w:cs="Times New Roman"/>
          <w:sz w:val="24"/>
          <w:szCs w:val="24"/>
        </w:rPr>
        <w:t xml:space="preserve"> </w:t>
      </w:r>
      <w:r w:rsidR="00430C3F">
        <w:rPr>
          <w:rFonts w:ascii="Times New Roman" w:hAnsi="Times New Roman" w:cs="Times New Roman"/>
          <w:sz w:val="24"/>
          <w:szCs w:val="24"/>
        </w:rPr>
        <w:t>It was that all business enquiries from</w:t>
      </w:r>
      <w:r w:rsidR="002F0BDF">
        <w:rPr>
          <w:rFonts w:ascii="Times New Roman" w:hAnsi="Times New Roman" w:cs="Times New Roman"/>
          <w:sz w:val="24"/>
          <w:szCs w:val="24"/>
        </w:rPr>
        <w:t xml:space="preserve"> large group</w:t>
      </w:r>
      <w:r w:rsidR="00430C3F">
        <w:rPr>
          <w:rFonts w:ascii="Times New Roman" w:hAnsi="Times New Roman" w:cs="Times New Roman"/>
          <w:sz w:val="24"/>
          <w:szCs w:val="24"/>
        </w:rPr>
        <w:t xml:space="preserve"> traditional clients w</w:t>
      </w:r>
      <w:r w:rsidR="00BB7D84">
        <w:rPr>
          <w:rFonts w:ascii="Times New Roman" w:hAnsi="Times New Roman" w:cs="Times New Roman"/>
          <w:sz w:val="24"/>
          <w:szCs w:val="24"/>
        </w:rPr>
        <w:t>ere</w:t>
      </w:r>
      <w:r w:rsidR="00000F0E">
        <w:rPr>
          <w:rFonts w:ascii="Times New Roman" w:hAnsi="Times New Roman" w:cs="Times New Roman"/>
          <w:sz w:val="24"/>
          <w:szCs w:val="24"/>
        </w:rPr>
        <w:t xml:space="preserve"> </w:t>
      </w:r>
      <w:r w:rsidR="00BB7D84">
        <w:rPr>
          <w:rFonts w:ascii="Times New Roman" w:hAnsi="Times New Roman" w:cs="Times New Roman"/>
          <w:sz w:val="24"/>
          <w:szCs w:val="24"/>
        </w:rPr>
        <w:t xml:space="preserve">hence forth </w:t>
      </w:r>
      <w:r w:rsidR="00000F0E">
        <w:rPr>
          <w:rFonts w:ascii="Times New Roman" w:hAnsi="Times New Roman" w:cs="Times New Roman"/>
          <w:sz w:val="24"/>
          <w:szCs w:val="24"/>
        </w:rPr>
        <w:t xml:space="preserve">to be directed to Key </w:t>
      </w:r>
      <w:r w:rsidR="00BB7D84">
        <w:rPr>
          <w:rFonts w:ascii="Times New Roman" w:hAnsi="Times New Roman" w:cs="Times New Roman"/>
          <w:sz w:val="24"/>
          <w:szCs w:val="24"/>
        </w:rPr>
        <w:t>A</w:t>
      </w:r>
      <w:r w:rsidR="00000F0E">
        <w:rPr>
          <w:rFonts w:ascii="Times New Roman" w:hAnsi="Times New Roman" w:cs="Times New Roman"/>
          <w:sz w:val="24"/>
          <w:szCs w:val="24"/>
        </w:rPr>
        <w:t xml:space="preserve">ccount </w:t>
      </w:r>
      <w:r w:rsidR="00BB7D84">
        <w:rPr>
          <w:rFonts w:ascii="Times New Roman" w:hAnsi="Times New Roman" w:cs="Times New Roman"/>
          <w:sz w:val="24"/>
          <w:szCs w:val="24"/>
        </w:rPr>
        <w:t>M</w:t>
      </w:r>
      <w:r w:rsidR="00000F0E">
        <w:rPr>
          <w:rFonts w:ascii="Times New Roman" w:hAnsi="Times New Roman" w:cs="Times New Roman"/>
          <w:sz w:val="24"/>
          <w:szCs w:val="24"/>
        </w:rPr>
        <w:t xml:space="preserve">anagers who would advise how such business was to be handled. In his testimony the appellant conceded </w:t>
      </w:r>
      <w:r w:rsidR="000317F8">
        <w:rPr>
          <w:rFonts w:ascii="Times New Roman" w:hAnsi="Times New Roman" w:cs="Times New Roman"/>
          <w:sz w:val="24"/>
          <w:szCs w:val="24"/>
        </w:rPr>
        <w:t xml:space="preserve">that such a meeting was called.  </w:t>
      </w:r>
      <w:r w:rsidR="00000F0E">
        <w:rPr>
          <w:rFonts w:ascii="Times New Roman" w:hAnsi="Times New Roman" w:cs="Times New Roman"/>
          <w:sz w:val="24"/>
          <w:szCs w:val="24"/>
        </w:rPr>
        <w:t xml:space="preserve">He referred to the instruction from his head of department as “a discussion to say if you receive big groups check to see who </w:t>
      </w:r>
      <w:proofErr w:type="gramStart"/>
      <w:r w:rsidR="00000F0E">
        <w:rPr>
          <w:rFonts w:ascii="Times New Roman" w:hAnsi="Times New Roman" w:cs="Times New Roman"/>
          <w:sz w:val="24"/>
          <w:szCs w:val="24"/>
        </w:rPr>
        <w:t>is the accounts manager to handover</w:t>
      </w:r>
      <w:proofErr w:type="gramEnd"/>
      <w:r w:rsidR="00000F0E">
        <w:rPr>
          <w:rFonts w:ascii="Times New Roman" w:hAnsi="Times New Roman" w:cs="Times New Roman"/>
          <w:sz w:val="24"/>
          <w:szCs w:val="24"/>
        </w:rPr>
        <w:t xml:space="preserve"> any booking to.” </w:t>
      </w:r>
      <w:r w:rsidR="000317F8">
        <w:rPr>
          <w:rFonts w:ascii="Times New Roman" w:hAnsi="Times New Roman" w:cs="Times New Roman"/>
          <w:sz w:val="24"/>
          <w:szCs w:val="24"/>
        </w:rPr>
        <w:t xml:space="preserve"> </w:t>
      </w:r>
      <w:r w:rsidR="00000F0E">
        <w:rPr>
          <w:rFonts w:ascii="Times New Roman" w:hAnsi="Times New Roman" w:cs="Times New Roman"/>
          <w:sz w:val="24"/>
          <w:szCs w:val="24"/>
        </w:rPr>
        <w:t xml:space="preserve">The court </w:t>
      </w:r>
      <w:r w:rsidR="00000F0E" w:rsidRPr="00000F0E">
        <w:rPr>
          <w:rFonts w:ascii="Times New Roman" w:hAnsi="Times New Roman" w:cs="Times New Roman"/>
          <w:i/>
          <w:iCs/>
          <w:sz w:val="24"/>
          <w:szCs w:val="24"/>
        </w:rPr>
        <w:t>a quo</w:t>
      </w:r>
      <w:r w:rsidR="00000F0E">
        <w:rPr>
          <w:rFonts w:ascii="Times New Roman" w:hAnsi="Times New Roman" w:cs="Times New Roman"/>
          <w:sz w:val="24"/>
          <w:szCs w:val="24"/>
        </w:rPr>
        <w:t xml:space="preserve"> held that the finding that the appellant conducted himself contrary to what was expected of him by his contract of employment was established on a preponderance of probabilities. </w:t>
      </w:r>
      <w:r w:rsidR="00301B8F">
        <w:rPr>
          <w:rFonts w:ascii="Times New Roman" w:hAnsi="Times New Roman" w:cs="Times New Roman"/>
          <w:sz w:val="24"/>
          <w:szCs w:val="24"/>
        </w:rPr>
        <w:t xml:space="preserve"> </w:t>
      </w:r>
      <w:r w:rsidR="00000F0E">
        <w:rPr>
          <w:rFonts w:ascii="Times New Roman" w:hAnsi="Times New Roman" w:cs="Times New Roman"/>
          <w:sz w:val="24"/>
          <w:szCs w:val="24"/>
        </w:rPr>
        <w:t xml:space="preserve">It could </w:t>
      </w:r>
      <w:r w:rsidR="00BB7D84">
        <w:rPr>
          <w:rFonts w:ascii="Times New Roman" w:hAnsi="Times New Roman" w:cs="Times New Roman"/>
          <w:sz w:val="24"/>
          <w:szCs w:val="24"/>
        </w:rPr>
        <w:t xml:space="preserve">therefore </w:t>
      </w:r>
      <w:r w:rsidR="00000F0E">
        <w:rPr>
          <w:rFonts w:ascii="Times New Roman" w:hAnsi="Times New Roman" w:cs="Times New Roman"/>
          <w:sz w:val="24"/>
          <w:szCs w:val="24"/>
        </w:rPr>
        <w:t xml:space="preserve">not be assailed </w:t>
      </w:r>
      <w:r w:rsidR="00232021">
        <w:rPr>
          <w:rFonts w:ascii="Times New Roman" w:hAnsi="Times New Roman" w:cs="Times New Roman"/>
          <w:sz w:val="24"/>
          <w:szCs w:val="24"/>
        </w:rPr>
        <w:t>on appeal.</w:t>
      </w:r>
    </w:p>
    <w:p w14:paraId="60AD7A89" w14:textId="77777777" w:rsidR="00301B8F" w:rsidRDefault="00301B8F" w:rsidP="00301B8F">
      <w:pPr>
        <w:spacing w:after="0" w:line="240" w:lineRule="auto"/>
        <w:ind w:left="720" w:hanging="720"/>
        <w:jc w:val="both"/>
        <w:rPr>
          <w:rFonts w:ascii="Times New Roman" w:hAnsi="Times New Roman" w:cs="Times New Roman"/>
          <w:sz w:val="24"/>
          <w:szCs w:val="24"/>
        </w:rPr>
      </w:pPr>
    </w:p>
    <w:p w14:paraId="279D8773" w14:textId="70A5137F" w:rsidR="00C8171D" w:rsidRDefault="00232021" w:rsidP="00F61C6D">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sidR="00D4352C">
        <w:rPr>
          <w:rFonts w:ascii="Times New Roman" w:hAnsi="Times New Roman" w:cs="Times New Roman"/>
          <w:sz w:val="24"/>
          <w:szCs w:val="24"/>
        </w:rPr>
        <w:t>3</w:t>
      </w:r>
      <w:r w:rsidR="00BB7D8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7E2FFC">
        <w:rPr>
          <w:rFonts w:ascii="Times New Roman" w:hAnsi="Times New Roman" w:cs="Times New Roman"/>
          <w:i/>
          <w:iCs/>
          <w:sz w:val="24"/>
          <w:szCs w:val="24"/>
        </w:rPr>
        <w:t>a quo</w:t>
      </w:r>
      <w:r w:rsidR="00BB7D84">
        <w:rPr>
          <w:rFonts w:ascii="Times New Roman" w:hAnsi="Times New Roman" w:cs="Times New Roman"/>
          <w:sz w:val="24"/>
          <w:szCs w:val="24"/>
        </w:rPr>
        <w:t xml:space="preserve"> did</w:t>
      </w:r>
      <w:r>
        <w:rPr>
          <w:rFonts w:ascii="Times New Roman" w:hAnsi="Times New Roman" w:cs="Times New Roman"/>
          <w:sz w:val="24"/>
          <w:szCs w:val="24"/>
        </w:rPr>
        <w:t xml:space="preserve"> not interfere with the penalty. </w:t>
      </w:r>
      <w:r w:rsidR="00301B8F">
        <w:rPr>
          <w:rFonts w:ascii="Times New Roman" w:hAnsi="Times New Roman" w:cs="Times New Roman"/>
          <w:sz w:val="24"/>
          <w:szCs w:val="24"/>
        </w:rPr>
        <w:t xml:space="preserve"> </w:t>
      </w:r>
      <w:r>
        <w:rPr>
          <w:rFonts w:ascii="Times New Roman" w:hAnsi="Times New Roman" w:cs="Times New Roman"/>
          <w:sz w:val="24"/>
          <w:szCs w:val="24"/>
        </w:rPr>
        <w:t xml:space="preserve">It was satisfied that the correct principle enunciated </w:t>
      </w:r>
      <w:r w:rsidR="00BB7D84">
        <w:rPr>
          <w:rFonts w:ascii="Times New Roman" w:hAnsi="Times New Roman" w:cs="Times New Roman"/>
          <w:sz w:val="24"/>
          <w:szCs w:val="24"/>
        </w:rPr>
        <w:t>in the cases of</w:t>
      </w:r>
      <w:r>
        <w:rPr>
          <w:rFonts w:ascii="Times New Roman" w:hAnsi="Times New Roman" w:cs="Times New Roman"/>
          <w:sz w:val="24"/>
          <w:szCs w:val="24"/>
        </w:rPr>
        <w:t xml:space="preserve"> </w:t>
      </w:r>
      <w:r w:rsidRPr="007E2FFC">
        <w:rPr>
          <w:rFonts w:ascii="Times New Roman" w:hAnsi="Times New Roman" w:cs="Times New Roman"/>
          <w:i/>
          <w:iCs/>
          <w:sz w:val="24"/>
          <w:szCs w:val="24"/>
        </w:rPr>
        <w:t>Standard Chartered Bank Zimbabwe Lt</w:t>
      </w:r>
      <w:r w:rsidR="00CF2F1F">
        <w:rPr>
          <w:rFonts w:ascii="Times New Roman" w:hAnsi="Times New Roman" w:cs="Times New Roman"/>
          <w:i/>
          <w:iCs/>
          <w:sz w:val="24"/>
          <w:szCs w:val="24"/>
        </w:rPr>
        <w:t>d</w:t>
      </w:r>
      <w:r w:rsidRPr="007E2FFC">
        <w:rPr>
          <w:rFonts w:ascii="Times New Roman" w:hAnsi="Times New Roman" w:cs="Times New Roman"/>
          <w:i/>
          <w:iCs/>
          <w:sz w:val="24"/>
          <w:szCs w:val="24"/>
        </w:rPr>
        <w:t xml:space="preserve"> </w:t>
      </w:r>
      <w:r w:rsidRPr="00301B8F">
        <w:rPr>
          <w:rFonts w:ascii="Times New Roman" w:hAnsi="Times New Roman" w:cs="Times New Roman"/>
          <w:iCs/>
          <w:sz w:val="24"/>
          <w:szCs w:val="24"/>
        </w:rPr>
        <w:t xml:space="preserve">v </w:t>
      </w:r>
      <w:proofErr w:type="spellStart"/>
      <w:r w:rsidRPr="007E2FFC">
        <w:rPr>
          <w:rFonts w:ascii="Times New Roman" w:hAnsi="Times New Roman" w:cs="Times New Roman"/>
          <w:i/>
          <w:iCs/>
          <w:sz w:val="24"/>
          <w:szCs w:val="24"/>
        </w:rPr>
        <w:t>Chapuka</w:t>
      </w:r>
      <w:proofErr w:type="spellEnd"/>
      <w:r w:rsidRPr="007E2FFC">
        <w:rPr>
          <w:rFonts w:ascii="Times New Roman" w:hAnsi="Times New Roman" w:cs="Times New Roman"/>
          <w:i/>
          <w:iCs/>
          <w:sz w:val="24"/>
          <w:szCs w:val="24"/>
        </w:rPr>
        <w:t xml:space="preserve"> </w:t>
      </w:r>
      <w:r>
        <w:rPr>
          <w:rFonts w:ascii="Times New Roman" w:hAnsi="Times New Roman" w:cs="Times New Roman"/>
          <w:sz w:val="24"/>
          <w:szCs w:val="24"/>
        </w:rPr>
        <w:t xml:space="preserve">SC 125/04 at p </w:t>
      </w:r>
      <w:r w:rsidR="007E2FFC">
        <w:rPr>
          <w:rFonts w:ascii="Times New Roman" w:hAnsi="Times New Roman" w:cs="Times New Roman"/>
          <w:sz w:val="24"/>
          <w:szCs w:val="24"/>
        </w:rPr>
        <w:t xml:space="preserve">8 </w:t>
      </w:r>
      <w:r w:rsidR="00A636FE">
        <w:rPr>
          <w:rFonts w:ascii="Times New Roman" w:hAnsi="Times New Roman" w:cs="Times New Roman"/>
          <w:sz w:val="24"/>
          <w:szCs w:val="24"/>
        </w:rPr>
        <w:t xml:space="preserve">and </w:t>
      </w:r>
      <w:r w:rsidR="00A636FE" w:rsidRPr="00A636FE">
        <w:rPr>
          <w:rFonts w:ascii="Times New Roman" w:hAnsi="Times New Roman" w:cs="Times New Roman"/>
          <w:i/>
          <w:sz w:val="24"/>
          <w:szCs w:val="24"/>
        </w:rPr>
        <w:t xml:space="preserve">Tobacco Sales Floors Ltd </w:t>
      </w:r>
      <w:r w:rsidR="00A636FE" w:rsidRPr="00301B8F">
        <w:rPr>
          <w:rFonts w:ascii="Times New Roman" w:hAnsi="Times New Roman" w:cs="Times New Roman"/>
          <w:sz w:val="24"/>
          <w:szCs w:val="24"/>
        </w:rPr>
        <w:t xml:space="preserve">v </w:t>
      </w:r>
      <w:r w:rsidR="00A636FE" w:rsidRPr="00A636FE">
        <w:rPr>
          <w:rFonts w:ascii="Times New Roman" w:hAnsi="Times New Roman" w:cs="Times New Roman"/>
          <w:i/>
          <w:sz w:val="24"/>
          <w:szCs w:val="24"/>
        </w:rPr>
        <w:t>Chimwala</w:t>
      </w:r>
      <w:r w:rsidR="00A636FE" w:rsidRPr="00A636FE">
        <w:rPr>
          <w:rFonts w:ascii="Times New Roman" w:hAnsi="Times New Roman" w:cs="Times New Roman"/>
          <w:sz w:val="24"/>
          <w:szCs w:val="24"/>
        </w:rPr>
        <w:t xml:space="preserve"> 1987 (2) ZLR 210 (S)</w:t>
      </w:r>
      <w:r w:rsidR="00A636FE">
        <w:rPr>
          <w:rFonts w:ascii="Times New Roman" w:hAnsi="Times New Roman" w:cs="Times New Roman"/>
          <w:sz w:val="24"/>
          <w:szCs w:val="24"/>
        </w:rPr>
        <w:t xml:space="preserve"> at </w:t>
      </w:r>
      <w:r w:rsidR="00A636FE" w:rsidRPr="00A636FE">
        <w:rPr>
          <w:rFonts w:ascii="Times New Roman" w:hAnsi="Times New Roman" w:cs="Times New Roman"/>
          <w:sz w:val="24"/>
          <w:szCs w:val="24"/>
        </w:rPr>
        <w:t>218H-219A</w:t>
      </w:r>
      <w:r w:rsidR="00A33225">
        <w:rPr>
          <w:rFonts w:ascii="Times New Roman" w:hAnsi="Times New Roman" w:cs="Times New Roman"/>
          <w:sz w:val="24"/>
          <w:szCs w:val="24"/>
        </w:rPr>
        <w:t>,</w:t>
      </w:r>
      <w:r w:rsidR="00A636FE">
        <w:t xml:space="preserve"> </w:t>
      </w:r>
      <w:r>
        <w:rPr>
          <w:rFonts w:ascii="Times New Roman" w:hAnsi="Times New Roman" w:cs="Times New Roman"/>
          <w:sz w:val="24"/>
          <w:szCs w:val="24"/>
        </w:rPr>
        <w:t xml:space="preserve">were </w:t>
      </w:r>
      <w:r w:rsidR="00A636FE">
        <w:rPr>
          <w:rFonts w:ascii="Times New Roman" w:hAnsi="Times New Roman" w:cs="Times New Roman"/>
          <w:sz w:val="24"/>
          <w:szCs w:val="24"/>
        </w:rPr>
        <w:t xml:space="preserve">properly </w:t>
      </w:r>
      <w:r>
        <w:rPr>
          <w:rFonts w:ascii="Times New Roman" w:hAnsi="Times New Roman" w:cs="Times New Roman"/>
          <w:sz w:val="24"/>
          <w:szCs w:val="24"/>
        </w:rPr>
        <w:t xml:space="preserve">applied. </w:t>
      </w:r>
    </w:p>
    <w:p w14:paraId="352852D4" w14:textId="77777777" w:rsidR="00161571" w:rsidRDefault="00161571" w:rsidP="00161571">
      <w:pPr>
        <w:spacing w:after="0" w:line="240" w:lineRule="auto"/>
        <w:ind w:left="720" w:hanging="720"/>
        <w:jc w:val="both"/>
        <w:rPr>
          <w:rFonts w:ascii="Times New Roman" w:hAnsi="Times New Roman" w:cs="Times New Roman"/>
          <w:sz w:val="24"/>
          <w:szCs w:val="24"/>
        </w:rPr>
      </w:pPr>
    </w:p>
    <w:p w14:paraId="29B88D2D" w14:textId="5A7749EE" w:rsidR="00C8171D" w:rsidRPr="00E47452" w:rsidRDefault="00C8171D" w:rsidP="00C8171D">
      <w:pPr>
        <w:jc w:val="both"/>
        <w:rPr>
          <w:rFonts w:ascii="Times New Roman" w:hAnsi="Times New Roman" w:cs="Times New Roman"/>
          <w:b/>
          <w:bCs/>
          <w:sz w:val="24"/>
          <w:szCs w:val="24"/>
          <w:u w:val="single"/>
        </w:rPr>
      </w:pPr>
      <w:r w:rsidRPr="00E47452">
        <w:rPr>
          <w:rFonts w:ascii="Times New Roman" w:hAnsi="Times New Roman" w:cs="Times New Roman"/>
          <w:b/>
          <w:bCs/>
          <w:sz w:val="24"/>
          <w:szCs w:val="24"/>
          <w:u w:val="single"/>
        </w:rPr>
        <w:t>THE GROUNDS OF APPEAL</w:t>
      </w:r>
    </w:p>
    <w:p w14:paraId="32051944" w14:textId="79F5CC48" w:rsidR="00FF71E8" w:rsidRDefault="00C8171D" w:rsidP="00587BDD">
      <w:pPr>
        <w:jc w:val="both"/>
        <w:rPr>
          <w:rFonts w:ascii="Times New Roman" w:hAnsi="Times New Roman" w:cs="Times New Roman"/>
          <w:sz w:val="24"/>
          <w:szCs w:val="24"/>
        </w:rPr>
      </w:pPr>
      <w:r>
        <w:rPr>
          <w:rFonts w:ascii="Times New Roman" w:hAnsi="Times New Roman" w:cs="Times New Roman"/>
          <w:sz w:val="24"/>
          <w:szCs w:val="24"/>
        </w:rPr>
        <w:t>[</w:t>
      </w:r>
      <w:r w:rsidR="00D4352C">
        <w:rPr>
          <w:rFonts w:ascii="Times New Roman" w:hAnsi="Times New Roman" w:cs="Times New Roman"/>
          <w:sz w:val="24"/>
          <w:szCs w:val="24"/>
        </w:rPr>
        <w:t>3</w:t>
      </w:r>
      <w:r w:rsidR="00A94C9C">
        <w:rPr>
          <w:rFonts w:ascii="Times New Roman" w:hAnsi="Times New Roman" w:cs="Times New Roman"/>
          <w:sz w:val="24"/>
          <w:szCs w:val="24"/>
        </w:rPr>
        <w:t>6</w:t>
      </w:r>
      <w:r w:rsidR="00F61C6D">
        <w:rPr>
          <w:rFonts w:ascii="Times New Roman" w:hAnsi="Times New Roman" w:cs="Times New Roman"/>
          <w:sz w:val="24"/>
          <w:szCs w:val="24"/>
        </w:rPr>
        <w:t xml:space="preserve">]   </w:t>
      </w:r>
      <w:r>
        <w:rPr>
          <w:rFonts w:ascii="Times New Roman" w:hAnsi="Times New Roman" w:cs="Times New Roman"/>
          <w:sz w:val="24"/>
          <w:szCs w:val="24"/>
        </w:rPr>
        <w:t>Aggrieved by the dismissal, the appellant appeals to this court on the following grounds.</w:t>
      </w:r>
      <w:r w:rsidR="00606A7B">
        <w:rPr>
          <w:rFonts w:ascii="Times New Roman" w:hAnsi="Times New Roman" w:cs="Times New Roman"/>
          <w:sz w:val="24"/>
          <w:szCs w:val="24"/>
        </w:rPr>
        <w:t xml:space="preserve"> </w:t>
      </w:r>
    </w:p>
    <w:p w14:paraId="455222A7" w14:textId="77777777" w:rsidR="008B16F6" w:rsidRDefault="00D13DAC" w:rsidP="0025074C">
      <w:pPr>
        <w:spacing w:line="480" w:lineRule="auto"/>
        <w:ind w:left="1620" w:hanging="450"/>
        <w:jc w:val="both"/>
        <w:rPr>
          <w:rFonts w:ascii="Times New Roman" w:hAnsi="Times New Roman" w:cs="Times New Roman"/>
          <w:sz w:val="24"/>
          <w:szCs w:val="24"/>
        </w:rPr>
      </w:pPr>
      <w:r>
        <w:rPr>
          <w:rFonts w:ascii="Times New Roman" w:hAnsi="Times New Roman" w:cs="Times New Roman"/>
          <w:sz w:val="24"/>
          <w:szCs w:val="24"/>
        </w:rPr>
        <w:t>“1.</w:t>
      </w:r>
      <w:r w:rsidR="008B16F6">
        <w:rPr>
          <w:rFonts w:ascii="Times New Roman" w:hAnsi="Times New Roman" w:cs="Times New Roman"/>
          <w:sz w:val="24"/>
          <w:szCs w:val="24"/>
        </w:rPr>
        <w:tab/>
        <w:t xml:space="preserve">The court </w:t>
      </w:r>
      <w:r w:rsidR="008B16F6" w:rsidRPr="008B16F6">
        <w:rPr>
          <w:rFonts w:ascii="Times New Roman" w:hAnsi="Times New Roman" w:cs="Times New Roman"/>
          <w:i/>
          <w:iCs/>
          <w:sz w:val="24"/>
          <w:szCs w:val="24"/>
        </w:rPr>
        <w:t>a quo</w:t>
      </w:r>
      <w:r w:rsidR="008B16F6">
        <w:rPr>
          <w:rFonts w:ascii="Times New Roman" w:hAnsi="Times New Roman" w:cs="Times New Roman"/>
          <w:sz w:val="24"/>
          <w:szCs w:val="24"/>
        </w:rPr>
        <w:t xml:space="preserve"> grossly erred and misdirected itself in failing to determine the issues raised in grounds of appeal 1.2 and 1.5 relating to the actual reason for the non-completion of the Feedmix booking and whether or not appellant had sent fictitious e-mails to a client.</w:t>
      </w:r>
    </w:p>
    <w:p w14:paraId="6468ECCB" w14:textId="393C36BA" w:rsidR="008B16F6" w:rsidRDefault="008B16F6" w:rsidP="0025074C">
      <w:pPr>
        <w:spacing w:line="480" w:lineRule="auto"/>
        <w:ind w:left="162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990278">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ab/>
        <w:t xml:space="preserve">The court </w:t>
      </w:r>
      <w:r w:rsidRPr="008B16F6">
        <w:rPr>
          <w:rFonts w:ascii="Times New Roman" w:hAnsi="Times New Roman" w:cs="Times New Roman"/>
          <w:i/>
          <w:iCs/>
          <w:sz w:val="24"/>
          <w:szCs w:val="24"/>
        </w:rPr>
        <w:t>a quo</w:t>
      </w:r>
      <w:r>
        <w:rPr>
          <w:rFonts w:ascii="Times New Roman" w:hAnsi="Times New Roman" w:cs="Times New Roman"/>
          <w:sz w:val="24"/>
          <w:szCs w:val="24"/>
        </w:rPr>
        <w:t xml:space="preserve"> erred in not interfering with the appellant’s conviction in respect of the Feedmix matter in spite of its acceptance that the allegation as framed in the charge letter and the findings of the respondent were misaligned.</w:t>
      </w:r>
    </w:p>
    <w:p w14:paraId="56AB4B26" w14:textId="37CE7C83" w:rsidR="00D43503" w:rsidRDefault="008B16F6" w:rsidP="0025074C">
      <w:pPr>
        <w:spacing w:line="480" w:lineRule="auto"/>
        <w:ind w:left="162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F802B4">
        <w:rPr>
          <w:rFonts w:ascii="Times New Roman" w:hAnsi="Times New Roman" w:cs="Times New Roman"/>
          <w:sz w:val="24"/>
          <w:szCs w:val="24"/>
        </w:rPr>
        <w:t xml:space="preserve">  </w:t>
      </w:r>
      <w:r w:rsidR="00990278">
        <w:rPr>
          <w:rFonts w:ascii="Times New Roman" w:hAnsi="Times New Roman" w:cs="Times New Roman"/>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ab/>
      </w:r>
      <w:r w:rsidR="00D453DF">
        <w:rPr>
          <w:rFonts w:ascii="Times New Roman" w:hAnsi="Times New Roman" w:cs="Times New Roman"/>
          <w:sz w:val="24"/>
          <w:szCs w:val="24"/>
        </w:rPr>
        <w:t xml:space="preserve">Having accepted that the appellant had sent a corrected tax clearance certificate to Feedmix on the same day, </w:t>
      </w:r>
      <w:r w:rsidR="00645E1C">
        <w:rPr>
          <w:rFonts w:ascii="Times New Roman" w:hAnsi="Times New Roman" w:cs="Times New Roman"/>
          <w:sz w:val="24"/>
          <w:szCs w:val="24"/>
        </w:rPr>
        <w:t xml:space="preserve">the court </w:t>
      </w:r>
      <w:r w:rsidR="00645E1C" w:rsidRPr="00645E1C">
        <w:rPr>
          <w:rFonts w:ascii="Times New Roman" w:hAnsi="Times New Roman" w:cs="Times New Roman"/>
          <w:i/>
          <w:iCs/>
          <w:sz w:val="24"/>
          <w:szCs w:val="24"/>
        </w:rPr>
        <w:t>a quo</w:t>
      </w:r>
      <w:r w:rsidR="00645E1C">
        <w:rPr>
          <w:rFonts w:ascii="Times New Roman" w:hAnsi="Times New Roman" w:cs="Times New Roman"/>
          <w:sz w:val="24"/>
          <w:szCs w:val="24"/>
        </w:rPr>
        <w:t xml:space="preserve"> grossly erred in failing to set aside the finding </w:t>
      </w:r>
      <w:r w:rsidR="00D43503">
        <w:rPr>
          <w:rFonts w:ascii="Times New Roman" w:hAnsi="Times New Roman" w:cs="Times New Roman"/>
          <w:sz w:val="24"/>
          <w:szCs w:val="24"/>
        </w:rPr>
        <w:t>that appellant was culpable for the non-completion of the booking in circumstances where client had not made a payment.</w:t>
      </w:r>
    </w:p>
    <w:p w14:paraId="45486F3E" w14:textId="03CF1BF3" w:rsidR="00D43503" w:rsidRDefault="00D43503" w:rsidP="0025074C">
      <w:pPr>
        <w:spacing w:line="480" w:lineRule="auto"/>
        <w:ind w:left="162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F802B4">
        <w:rPr>
          <w:rFonts w:ascii="Times New Roman" w:hAnsi="Times New Roman" w:cs="Times New Roman"/>
          <w:sz w:val="24"/>
          <w:szCs w:val="24"/>
        </w:rPr>
        <w:t xml:space="preserve">  </w:t>
      </w:r>
      <w:r w:rsidR="00990278">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ab/>
        <w:t xml:space="preserve">The court </w:t>
      </w:r>
      <w:r w:rsidRPr="00D43503">
        <w:rPr>
          <w:rFonts w:ascii="Times New Roman" w:hAnsi="Times New Roman" w:cs="Times New Roman"/>
          <w:i/>
          <w:iCs/>
          <w:sz w:val="24"/>
          <w:szCs w:val="24"/>
        </w:rPr>
        <w:t>a quo</w:t>
      </w:r>
      <w:r>
        <w:rPr>
          <w:rFonts w:ascii="Times New Roman" w:hAnsi="Times New Roman" w:cs="Times New Roman"/>
          <w:sz w:val="24"/>
          <w:szCs w:val="24"/>
        </w:rPr>
        <w:t xml:space="preserve"> grossly misdirected itself in failing to exonerate the appellant, in respect of the legacy debt charge, even where respondent had failed to lead any evidence on any written policy on handling legacy debt clients, its communication to appellant and the modalities of its implementation.</w:t>
      </w:r>
    </w:p>
    <w:p w14:paraId="01735859" w14:textId="2B7AB039" w:rsidR="00D13DAC" w:rsidRDefault="00D43503" w:rsidP="0025074C">
      <w:pPr>
        <w:spacing w:line="480" w:lineRule="auto"/>
        <w:ind w:left="171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872D68">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sz w:val="24"/>
          <w:szCs w:val="24"/>
        </w:rPr>
        <w:tab/>
      </w:r>
      <w:r w:rsidR="00D13DAC">
        <w:rPr>
          <w:rFonts w:ascii="Times New Roman" w:hAnsi="Times New Roman" w:cs="Times New Roman"/>
          <w:sz w:val="24"/>
          <w:szCs w:val="24"/>
        </w:rPr>
        <w:t>Having found that the legacy debt allegations were predicated upon a failure to follow standing instructions or procedures</w:t>
      </w:r>
      <w:r w:rsidR="008B16F6">
        <w:rPr>
          <w:rFonts w:ascii="Times New Roman" w:hAnsi="Times New Roman" w:cs="Times New Roman"/>
          <w:sz w:val="24"/>
          <w:szCs w:val="24"/>
        </w:rPr>
        <w:t xml:space="preserve">, the court </w:t>
      </w:r>
      <w:r w:rsidR="008B16F6" w:rsidRPr="00CE6C1B">
        <w:rPr>
          <w:rFonts w:ascii="Times New Roman" w:hAnsi="Times New Roman" w:cs="Times New Roman"/>
          <w:i/>
          <w:iCs/>
          <w:sz w:val="24"/>
          <w:szCs w:val="24"/>
        </w:rPr>
        <w:t>a quo</w:t>
      </w:r>
      <w:r w:rsidR="008B16F6">
        <w:rPr>
          <w:rFonts w:ascii="Times New Roman" w:hAnsi="Times New Roman" w:cs="Times New Roman"/>
          <w:sz w:val="24"/>
          <w:szCs w:val="24"/>
        </w:rPr>
        <w:t xml:space="preserve"> grossly misdirected itself in failing to reduce appellant’s dismissal penalty to final </w:t>
      </w:r>
      <w:r w:rsidR="008B16F6">
        <w:rPr>
          <w:rFonts w:ascii="Times New Roman" w:hAnsi="Times New Roman" w:cs="Times New Roman"/>
          <w:sz w:val="24"/>
          <w:szCs w:val="24"/>
        </w:rPr>
        <w:lastRenderedPageBreak/>
        <w:t>written warning in accordance with clause 1.2.22 as read with 1.3 (b) of the respondent’s code of conduct.</w:t>
      </w:r>
      <w:r w:rsidR="00606A7B">
        <w:rPr>
          <w:rFonts w:ascii="Times New Roman" w:hAnsi="Times New Roman" w:cs="Times New Roman"/>
          <w:sz w:val="24"/>
          <w:szCs w:val="24"/>
        </w:rPr>
        <w:t>”</w:t>
      </w:r>
    </w:p>
    <w:p w14:paraId="2FB94868" w14:textId="77777777" w:rsidR="00E47452" w:rsidRDefault="00E47452" w:rsidP="005653AB">
      <w:pPr>
        <w:spacing w:after="0" w:line="240" w:lineRule="auto"/>
        <w:ind w:left="1440" w:hanging="720"/>
        <w:jc w:val="both"/>
        <w:rPr>
          <w:rFonts w:ascii="Times New Roman" w:hAnsi="Times New Roman" w:cs="Times New Roman"/>
          <w:sz w:val="24"/>
          <w:szCs w:val="24"/>
        </w:rPr>
      </w:pPr>
    </w:p>
    <w:p w14:paraId="0DAEFFFB" w14:textId="55124FC6" w:rsidR="00EF6011" w:rsidRPr="00872D68" w:rsidRDefault="00EF6011" w:rsidP="00E47452">
      <w:pPr>
        <w:jc w:val="both"/>
        <w:rPr>
          <w:rFonts w:ascii="Times New Roman" w:hAnsi="Times New Roman" w:cs="Times New Roman"/>
          <w:b/>
          <w:bCs/>
          <w:sz w:val="24"/>
          <w:szCs w:val="24"/>
          <w:u w:val="single"/>
        </w:rPr>
      </w:pPr>
      <w:r w:rsidRPr="00872D68">
        <w:rPr>
          <w:rFonts w:ascii="Times New Roman" w:hAnsi="Times New Roman" w:cs="Times New Roman"/>
          <w:b/>
          <w:bCs/>
          <w:sz w:val="24"/>
          <w:szCs w:val="24"/>
          <w:u w:val="single"/>
        </w:rPr>
        <w:t>THE RELIEF SOUGHT</w:t>
      </w:r>
    </w:p>
    <w:p w14:paraId="145AFA46" w14:textId="30B86BD2" w:rsidR="00606A7B" w:rsidRDefault="00601A3E" w:rsidP="00F61C6D">
      <w:pPr>
        <w:tabs>
          <w:tab w:val="left" w:pos="540"/>
        </w:tabs>
        <w:jc w:val="both"/>
        <w:rPr>
          <w:rFonts w:ascii="Times New Roman" w:hAnsi="Times New Roman" w:cs="Times New Roman"/>
          <w:sz w:val="24"/>
          <w:szCs w:val="24"/>
        </w:rPr>
      </w:pPr>
      <w:r>
        <w:rPr>
          <w:rFonts w:ascii="Times New Roman" w:hAnsi="Times New Roman" w:cs="Times New Roman"/>
          <w:sz w:val="24"/>
          <w:szCs w:val="24"/>
        </w:rPr>
        <w:t>[3</w:t>
      </w:r>
      <w:r w:rsidR="00A94C9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606A7B">
        <w:rPr>
          <w:rFonts w:ascii="Times New Roman" w:hAnsi="Times New Roman" w:cs="Times New Roman"/>
          <w:sz w:val="24"/>
          <w:szCs w:val="24"/>
        </w:rPr>
        <w:t>The appellant seeks the following main and alternative relief.</w:t>
      </w:r>
    </w:p>
    <w:p w14:paraId="719FF5F2" w14:textId="34260388" w:rsidR="005C3D45" w:rsidRDefault="005C3D45" w:rsidP="00F61C6D">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WHEREFORE appellant prays that the appeal succeeds with costs and that the judgment of the court </w:t>
      </w:r>
      <w:r w:rsidRPr="00FC329D">
        <w:rPr>
          <w:rFonts w:ascii="Times New Roman" w:hAnsi="Times New Roman" w:cs="Times New Roman"/>
          <w:i/>
          <w:iCs/>
          <w:sz w:val="24"/>
          <w:szCs w:val="24"/>
        </w:rPr>
        <w:t>a quo</w:t>
      </w:r>
      <w:r>
        <w:rPr>
          <w:rFonts w:ascii="Times New Roman" w:hAnsi="Times New Roman" w:cs="Times New Roman"/>
          <w:sz w:val="24"/>
          <w:szCs w:val="24"/>
        </w:rPr>
        <w:t xml:space="preserve"> be set aside and substituted with the following:</w:t>
      </w:r>
    </w:p>
    <w:p w14:paraId="18491DAF" w14:textId="5FCDE282" w:rsidR="00FC329D" w:rsidRDefault="00E439CE" w:rsidP="00E439CE">
      <w:pPr>
        <w:spacing w:after="0"/>
        <w:ind w:left="1440" w:hanging="720"/>
        <w:jc w:val="both"/>
        <w:rPr>
          <w:rFonts w:ascii="Times New Roman" w:hAnsi="Times New Roman" w:cs="Times New Roman"/>
          <w:sz w:val="24"/>
          <w:szCs w:val="24"/>
        </w:rPr>
      </w:pPr>
      <w:r>
        <w:rPr>
          <w:rFonts w:ascii="Times New Roman" w:hAnsi="Times New Roman" w:cs="Times New Roman"/>
          <w:sz w:val="24"/>
          <w:szCs w:val="24"/>
        </w:rPr>
        <w:tab/>
      </w:r>
      <w:r w:rsidR="00191336">
        <w:rPr>
          <w:rFonts w:ascii="Times New Roman" w:hAnsi="Times New Roman" w:cs="Times New Roman"/>
          <w:sz w:val="24"/>
          <w:szCs w:val="24"/>
        </w:rPr>
        <w:t>“</w:t>
      </w:r>
      <w:proofErr w:type="spellStart"/>
      <w:r w:rsidR="00191336">
        <w:rPr>
          <w:rFonts w:ascii="Times New Roman" w:hAnsi="Times New Roman" w:cs="Times New Roman"/>
          <w:sz w:val="24"/>
          <w:szCs w:val="24"/>
        </w:rPr>
        <w:t>i</w:t>
      </w:r>
      <w:proofErr w:type="spellEnd"/>
      <w:r w:rsidR="00191336">
        <w:rPr>
          <w:rFonts w:ascii="Times New Roman" w:hAnsi="Times New Roman" w:cs="Times New Roman"/>
          <w:sz w:val="24"/>
          <w:szCs w:val="24"/>
        </w:rPr>
        <w:t xml:space="preserve">.    </w:t>
      </w:r>
      <w:r w:rsidR="00FC329D">
        <w:rPr>
          <w:rFonts w:ascii="Times New Roman" w:hAnsi="Times New Roman" w:cs="Times New Roman"/>
          <w:sz w:val="24"/>
          <w:szCs w:val="24"/>
        </w:rPr>
        <w:t>The appeal be and is hereby allowed.</w:t>
      </w:r>
    </w:p>
    <w:p w14:paraId="2B80EFAC" w14:textId="77777777" w:rsidR="00191336" w:rsidRDefault="00191336" w:rsidP="00E439CE">
      <w:pPr>
        <w:spacing w:after="0"/>
        <w:ind w:left="1440" w:hanging="720"/>
        <w:jc w:val="both"/>
        <w:rPr>
          <w:rFonts w:ascii="Times New Roman" w:hAnsi="Times New Roman" w:cs="Times New Roman"/>
          <w:sz w:val="24"/>
          <w:szCs w:val="24"/>
        </w:rPr>
      </w:pPr>
    </w:p>
    <w:p w14:paraId="5A564074" w14:textId="56D72A7E" w:rsidR="00FC329D" w:rsidRDefault="00FC329D" w:rsidP="00191336">
      <w:pPr>
        <w:ind w:left="1890" w:hanging="45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All the decisions of the appellant’s internal disciplinary and </w:t>
      </w:r>
      <w:r w:rsidR="00191336">
        <w:rPr>
          <w:rFonts w:ascii="Times New Roman" w:hAnsi="Times New Roman" w:cs="Times New Roman"/>
          <w:sz w:val="24"/>
          <w:szCs w:val="24"/>
        </w:rPr>
        <w:t>appellate authorities</w:t>
      </w:r>
      <w:r>
        <w:rPr>
          <w:rFonts w:ascii="Times New Roman" w:hAnsi="Times New Roman" w:cs="Times New Roman"/>
          <w:sz w:val="24"/>
          <w:szCs w:val="24"/>
        </w:rPr>
        <w:t xml:space="preserve"> be and are hereby set aside.</w:t>
      </w:r>
    </w:p>
    <w:p w14:paraId="479A3FC7" w14:textId="47AB84D1" w:rsidR="00FC329D" w:rsidRDefault="00FC329D" w:rsidP="00191336">
      <w:pPr>
        <w:ind w:left="1890" w:hanging="45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Appellant is hereby acquitted from all charges and is therefore reinstated to his position without loss of salary and benefits with effect from the date of his dismissal.</w:t>
      </w:r>
    </w:p>
    <w:p w14:paraId="6BD5E6F1" w14:textId="788C0F76" w:rsidR="00097016" w:rsidRDefault="00097016" w:rsidP="00191336">
      <w:pPr>
        <w:ind w:left="1800" w:hanging="36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If reinstatement is no longer possible, respondent shall pay appellant damages in lieu of reinstatement to be agreed between the parties failing which either party may approach this court for quantification.”</w:t>
      </w:r>
    </w:p>
    <w:p w14:paraId="0091AF61" w14:textId="77777777" w:rsidR="00EC42D7" w:rsidRDefault="00EC42D7" w:rsidP="00191336">
      <w:pPr>
        <w:ind w:left="1800" w:hanging="360"/>
        <w:jc w:val="both"/>
        <w:rPr>
          <w:rFonts w:ascii="Times New Roman" w:hAnsi="Times New Roman" w:cs="Times New Roman"/>
          <w:sz w:val="24"/>
          <w:szCs w:val="24"/>
        </w:rPr>
      </w:pPr>
    </w:p>
    <w:p w14:paraId="01B67454" w14:textId="01E93A5C" w:rsidR="00097016" w:rsidRDefault="00097016" w:rsidP="0043771C">
      <w:pPr>
        <w:spacing w:after="0" w:line="480" w:lineRule="auto"/>
        <w:ind w:left="1440" w:hanging="873"/>
        <w:jc w:val="both"/>
        <w:rPr>
          <w:rFonts w:ascii="Times New Roman" w:hAnsi="Times New Roman" w:cs="Times New Roman"/>
          <w:sz w:val="24"/>
          <w:szCs w:val="24"/>
        </w:rPr>
      </w:pPr>
      <w:r>
        <w:rPr>
          <w:rFonts w:ascii="Times New Roman" w:hAnsi="Times New Roman" w:cs="Times New Roman"/>
          <w:sz w:val="24"/>
          <w:szCs w:val="24"/>
        </w:rPr>
        <w:t>ALTERNATIVELY, the appeal succeeds with costs and that the following order is made:</w:t>
      </w:r>
    </w:p>
    <w:p w14:paraId="55E7F918" w14:textId="3D1D71B2" w:rsidR="00097016" w:rsidRPr="00EC42D7" w:rsidRDefault="00EC42D7" w:rsidP="0043771C">
      <w:pPr>
        <w:spacing w:after="0"/>
        <w:ind w:left="1080" w:firstLine="338"/>
        <w:jc w:val="both"/>
        <w:rPr>
          <w:rFonts w:ascii="Times New Roman" w:hAnsi="Times New Roman" w:cs="Times New Roman"/>
          <w:sz w:val="24"/>
          <w:szCs w:val="24"/>
        </w:rPr>
      </w:pPr>
      <w:r>
        <w:rPr>
          <w:rFonts w:ascii="Times New Roman" w:hAnsi="Times New Roman" w:cs="Times New Roman"/>
          <w:sz w:val="24"/>
          <w:szCs w:val="24"/>
        </w:rPr>
        <w:t xml:space="preserve">“a. </w:t>
      </w:r>
      <w:r w:rsidR="00097016" w:rsidRPr="00EC42D7">
        <w:rPr>
          <w:rFonts w:ascii="Times New Roman" w:hAnsi="Times New Roman" w:cs="Times New Roman"/>
          <w:sz w:val="24"/>
          <w:szCs w:val="24"/>
        </w:rPr>
        <w:t xml:space="preserve">The judgment of the court </w:t>
      </w:r>
      <w:r w:rsidR="00097016" w:rsidRPr="00EC42D7">
        <w:rPr>
          <w:rFonts w:ascii="Times New Roman" w:hAnsi="Times New Roman" w:cs="Times New Roman"/>
          <w:i/>
          <w:iCs/>
          <w:sz w:val="24"/>
          <w:szCs w:val="24"/>
        </w:rPr>
        <w:t>a quo</w:t>
      </w:r>
      <w:r w:rsidR="00097016" w:rsidRPr="00EC42D7">
        <w:rPr>
          <w:rFonts w:ascii="Times New Roman" w:hAnsi="Times New Roman" w:cs="Times New Roman"/>
          <w:sz w:val="24"/>
          <w:szCs w:val="24"/>
        </w:rPr>
        <w:t xml:space="preserve"> be and is hereby set aside.</w:t>
      </w:r>
    </w:p>
    <w:p w14:paraId="794F502B" w14:textId="7A498F83" w:rsidR="00097016" w:rsidRPr="00EC42D7" w:rsidRDefault="00097016" w:rsidP="0043771C">
      <w:pPr>
        <w:pStyle w:val="ListParagraph"/>
        <w:numPr>
          <w:ilvl w:val="0"/>
          <w:numId w:val="12"/>
        </w:numPr>
        <w:ind w:left="1843" w:hanging="283"/>
        <w:jc w:val="both"/>
        <w:rPr>
          <w:rFonts w:ascii="Times New Roman" w:hAnsi="Times New Roman" w:cs="Times New Roman"/>
          <w:sz w:val="24"/>
          <w:szCs w:val="24"/>
        </w:rPr>
      </w:pPr>
      <w:r w:rsidRPr="00EC42D7">
        <w:rPr>
          <w:rFonts w:ascii="Times New Roman" w:hAnsi="Times New Roman" w:cs="Times New Roman"/>
          <w:sz w:val="24"/>
          <w:szCs w:val="24"/>
        </w:rPr>
        <w:t xml:space="preserve">The matter be and is hereby remitted back to the Labour Court for a hearing </w:t>
      </w:r>
      <w:r w:rsidRPr="00EC42D7">
        <w:rPr>
          <w:rFonts w:ascii="Times New Roman" w:hAnsi="Times New Roman" w:cs="Times New Roman"/>
          <w:i/>
          <w:sz w:val="24"/>
          <w:szCs w:val="24"/>
        </w:rPr>
        <w:t xml:space="preserve">de </w:t>
      </w:r>
      <w:r w:rsidR="002306C5" w:rsidRPr="00EC42D7">
        <w:rPr>
          <w:rFonts w:ascii="Times New Roman" w:hAnsi="Times New Roman" w:cs="Times New Roman"/>
          <w:i/>
          <w:sz w:val="24"/>
          <w:szCs w:val="24"/>
        </w:rPr>
        <w:t>novo</w:t>
      </w:r>
      <w:r w:rsidR="002306C5" w:rsidRPr="00EC42D7">
        <w:rPr>
          <w:rFonts w:ascii="Times New Roman" w:hAnsi="Times New Roman" w:cs="Times New Roman"/>
          <w:sz w:val="24"/>
          <w:szCs w:val="24"/>
        </w:rPr>
        <w:t xml:space="preserve"> before a different judge.”</w:t>
      </w:r>
    </w:p>
    <w:p w14:paraId="186FF738" w14:textId="77777777" w:rsidR="00E47452" w:rsidRDefault="00E47452" w:rsidP="00EE2A42">
      <w:pPr>
        <w:pStyle w:val="ListParagraph"/>
        <w:spacing w:line="480" w:lineRule="auto"/>
        <w:ind w:left="2880"/>
        <w:jc w:val="both"/>
        <w:rPr>
          <w:rFonts w:ascii="Times New Roman" w:hAnsi="Times New Roman" w:cs="Times New Roman"/>
          <w:sz w:val="24"/>
          <w:szCs w:val="24"/>
        </w:rPr>
      </w:pPr>
    </w:p>
    <w:p w14:paraId="245E52A5" w14:textId="39120F12" w:rsidR="00852DB9" w:rsidRPr="00E47452" w:rsidRDefault="00852DB9" w:rsidP="00852DB9">
      <w:pPr>
        <w:jc w:val="both"/>
        <w:rPr>
          <w:rFonts w:ascii="Times New Roman" w:hAnsi="Times New Roman" w:cs="Times New Roman"/>
          <w:b/>
          <w:bCs/>
          <w:sz w:val="24"/>
          <w:szCs w:val="24"/>
          <w:u w:val="single"/>
        </w:rPr>
      </w:pPr>
      <w:r w:rsidRPr="00E47452">
        <w:rPr>
          <w:rFonts w:ascii="Times New Roman" w:hAnsi="Times New Roman" w:cs="Times New Roman"/>
          <w:b/>
          <w:bCs/>
          <w:sz w:val="24"/>
          <w:szCs w:val="24"/>
          <w:u w:val="single"/>
        </w:rPr>
        <w:t>THE SUBMISSIONS BEFORE THIS COURT</w:t>
      </w:r>
    </w:p>
    <w:p w14:paraId="58ADCCB8" w14:textId="77777777" w:rsidR="00A94C9C" w:rsidRDefault="00852DB9" w:rsidP="00852DB9">
      <w:pPr>
        <w:jc w:val="both"/>
        <w:rPr>
          <w:rFonts w:ascii="Times New Roman" w:hAnsi="Times New Roman" w:cs="Times New Roman"/>
          <w:b/>
          <w:bCs/>
          <w:sz w:val="24"/>
          <w:szCs w:val="24"/>
        </w:rPr>
      </w:pPr>
      <w:r w:rsidRPr="00306236">
        <w:rPr>
          <w:rFonts w:ascii="Times New Roman" w:hAnsi="Times New Roman" w:cs="Times New Roman"/>
          <w:b/>
          <w:bCs/>
          <w:sz w:val="24"/>
          <w:szCs w:val="24"/>
        </w:rPr>
        <w:t>The appellant’s submissions</w:t>
      </w:r>
    </w:p>
    <w:p w14:paraId="6229034E" w14:textId="30314AE9" w:rsidR="006B4BEF" w:rsidRPr="00A94C9C" w:rsidRDefault="00601A3E" w:rsidP="00226863">
      <w:pPr>
        <w:spacing w:line="480" w:lineRule="auto"/>
        <w:ind w:left="540" w:hanging="540"/>
        <w:jc w:val="both"/>
        <w:rPr>
          <w:rFonts w:ascii="Times New Roman" w:hAnsi="Times New Roman" w:cs="Times New Roman"/>
          <w:b/>
          <w:bCs/>
          <w:sz w:val="24"/>
          <w:szCs w:val="24"/>
        </w:rPr>
      </w:pPr>
      <w:r>
        <w:rPr>
          <w:rFonts w:ascii="Times New Roman" w:hAnsi="Times New Roman" w:cs="Times New Roman"/>
          <w:sz w:val="24"/>
          <w:szCs w:val="24"/>
        </w:rPr>
        <w:t>[3</w:t>
      </w:r>
      <w:r w:rsidR="00A94C9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6B4BEF">
        <w:rPr>
          <w:rFonts w:ascii="Times New Roman" w:hAnsi="Times New Roman" w:cs="Times New Roman"/>
          <w:sz w:val="24"/>
          <w:szCs w:val="24"/>
        </w:rPr>
        <w:t xml:space="preserve">Mr </w:t>
      </w:r>
      <w:r w:rsidR="006B4BEF" w:rsidRPr="006B4BEF">
        <w:rPr>
          <w:rFonts w:ascii="Times New Roman" w:hAnsi="Times New Roman" w:cs="Times New Roman"/>
          <w:i/>
          <w:iCs/>
          <w:sz w:val="24"/>
          <w:szCs w:val="24"/>
        </w:rPr>
        <w:t>Magogo</w:t>
      </w:r>
      <w:r w:rsidR="006B4BEF">
        <w:rPr>
          <w:rFonts w:ascii="Times New Roman" w:hAnsi="Times New Roman" w:cs="Times New Roman"/>
          <w:sz w:val="24"/>
          <w:szCs w:val="24"/>
        </w:rPr>
        <w:t xml:space="preserve"> for the appellant submitted that the court </w:t>
      </w:r>
      <w:r w:rsidR="006B4BEF" w:rsidRPr="006B4BEF">
        <w:rPr>
          <w:rFonts w:ascii="Times New Roman" w:hAnsi="Times New Roman" w:cs="Times New Roman"/>
          <w:i/>
          <w:iCs/>
          <w:sz w:val="24"/>
          <w:szCs w:val="24"/>
        </w:rPr>
        <w:t>a quo</w:t>
      </w:r>
      <w:r w:rsidR="006B4BEF">
        <w:rPr>
          <w:rFonts w:ascii="Times New Roman" w:hAnsi="Times New Roman" w:cs="Times New Roman"/>
          <w:sz w:val="24"/>
          <w:szCs w:val="24"/>
        </w:rPr>
        <w:t xml:space="preserve"> erred at law in failing to determine two critical issues placed before it. </w:t>
      </w:r>
      <w:r w:rsidR="005A256F">
        <w:rPr>
          <w:rFonts w:ascii="Times New Roman" w:hAnsi="Times New Roman" w:cs="Times New Roman"/>
          <w:sz w:val="24"/>
          <w:szCs w:val="24"/>
        </w:rPr>
        <w:t xml:space="preserve"> </w:t>
      </w:r>
      <w:r w:rsidR="006B4BEF">
        <w:rPr>
          <w:rFonts w:ascii="Times New Roman" w:hAnsi="Times New Roman" w:cs="Times New Roman"/>
          <w:sz w:val="24"/>
          <w:szCs w:val="24"/>
        </w:rPr>
        <w:t>The first was</w:t>
      </w:r>
      <w:r w:rsidR="00306236">
        <w:rPr>
          <w:rFonts w:ascii="Times New Roman" w:hAnsi="Times New Roman" w:cs="Times New Roman"/>
          <w:sz w:val="24"/>
          <w:szCs w:val="24"/>
        </w:rPr>
        <w:t xml:space="preserve"> the</w:t>
      </w:r>
      <w:r w:rsidR="006B4BEF">
        <w:rPr>
          <w:rFonts w:ascii="Times New Roman" w:hAnsi="Times New Roman" w:cs="Times New Roman"/>
          <w:sz w:val="24"/>
          <w:szCs w:val="24"/>
        </w:rPr>
        <w:t xml:space="preserve"> failure to decide whether or not the appellant forwarded ficti</w:t>
      </w:r>
      <w:r>
        <w:rPr>
          <w:rFonts w:ascii="Times New Roman" w:hAnsi="Times New Roman" w:cs="Times New Roman"/>
          <w:sz w:val="24"/>
          <w:szCs w:val="24"/>
        </w:rPr>
        <w:t>ti</w:t>
      </w:r>
      <w:r w:rsidR="006B4BEF">
        <w:rPr>
          <w:rFonts w:ascii="Times New Roman" w:hAnsi="Times New Roman" w:cs="Times New Roman"/>
          <w:sz w:val="24"/>
          <w:szCs w:val="24"/>
        </w:rPr>
        <w:t xml:space="preserve">ous emails to the ministry. </w:t>
      </w:r>
      <w:r w:rsidR="005A256F">
        <w:rPr>
          <w:rFonts w:ascii="Times New Roman" w:hAnsi="Times New Roman" w:cs="Times New Roman"/>
          <w:sz w:val="24"/>
          <w:szCs w:val="24"/>
        </w:rPr>
        <w:t xml:space="preserve"> </w:t>
      </w:r>
      <w:r w:rsidR="006B4BEF">
        <w:rPr>
          <w:rFonts w:ascii="Times New Roman" w:hAnsi="Times New Roman" w:cs="Times New Roman"/>
          <w:sz w:val="24"/>
          <w:szCs w:val="24"/>
        </w:rPr>
        <w:t>The second was whether or not the appellant was properly found guilty of conduct which is inconsistent</w:t>
      </w:r>
      <w:r w:rsidR="002D3C05">
        <w:rPr>
          <w:rFonts w:ascii="Times New Roman" w:hAnsi="Times New Roman" w:cs="Times New Roman"/>
          <w:sz w:val="24"/>
          <w:szCs w:val="24"/>
        </w:rPr>
        <w:t xml:space="preserve"> with the fulfilment of </w:t>
      </w:r>
      <w:r w:rsidR="006B4BEF">
        <w:rPr>
          <w:rFonts w:ascii="Times New Roman" w:hAnsi="Times New Roman" w:cs="Times New Roman"/>
          <w:sz w:val="24"/>
          <w:szCs w:val="24"/>
        </w:rPr>
        <w:t xml:space="preserve">the express or implied terms of his </w:t>
      </w:r>
      <w:r w:rsidR="00A94C9C">
        <w:rPr>
          <w:rFonts w:ascii="Times New Roman" w:hAnsi="Times New Roman" w:cs="Times New Roman"/>
          <w:sz w:val="24"/>
          <w:szCs w:val="24"/>
        </w:rPr>
        <w:t xml:space="preserve">contract of </w:t>
      </w:r>
      <w:r w:rsidR="006B4BEF">
        <w:rPr>
          <w:rFonts w:ascii="Times New Roman" w:hAnsi="Times New Roman" w:cs="Times New Roman"/>
          <w:sz w:val="24"/>
          <w:szCs w:val="24"/>
        </w:rPr>
        <w:t xml:space="preserve">employment. </w:t>
      </w:r>
    </w:p>
    <w:p w14:paraId="399FFAA5" w14:textId="010F49EF" w:rsidR="00601A3E" w:rsidRDefault="00601A3E" w:rsidP="0022686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w:t>
      </w:r>
      <w:r w:rsidR="00A94C9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Counsel contended that in </w:t>
      </w:r>
      <w:r w:rsidR="00A94C9C">
        <w:rPr>
          <w:rFonts w:ascii="Times New Roman" w:hAnsi="Times New Roman" w:cs="Times New Roman"/>
          <w:sz w:val="24"/>
          <w:szCs w:val="24"/>
        </w:rPr>
        <w:t>ground</w:t>
      </w:r>
      <w:r>
        <w:rPr>
          <w:rFonts w:ascii="Times New Roman" w:hAnsi="Times New Roman" w:cs="Times New Roman"/>
          <w:sz w:val="24"/>
          <w:szCs w:val="24"/>
        </w:rPr>
        <w:t xml:space="preserve"> 1.5 in the court </w:t>
      </w:r>
      <w:r w:rsidRPr="00601A3E">
        <w:rPr>
          <w:rFonts w:ascii="Times New Roman" w:hAnsi="Times New Roman" w:cs="Times New Roman"/>
          <w:i/>
          <w:iCs/>
          <w:sz w:val="24"/>
          <w:szCs w:val="24"/>
        </w:rPr>
        <w:t>a quo</w:t>
      </w:r>
      <w:r>
        <w:rPr>
          <w:rFonts w:ascii="Times New Roman" w:hAnsi="Times New Roman" w:cs="Times New Roman"/>
          <w:i/>
          <w:iCs/>
          <w:sz w:val="24"/>
          <w:szCs w:val="24"/>
        </w:rPr>
        <w:t xml:space="preserve">, </w:t>
      </w:r>
      <w:r w:rsidRPr="00601A3E">
        <w:rPr>
          <w:rFonts w:ascii="Times New Roman" w:hAnsi="Times New Roman" w:cs="Times New Roman"/>
          <w:sz w:val="24"/>
          <w:szCs w:val="24"/>
        </w:rPr>
        <w:t xml:space="preserve">the appellant impugned </w:t>
      </w:r>
      <w:r>
        <w:rPr>
          <w:rFonts w:ascii="Times New Roman" w:hAnsi="Times New Roman" w:cs="Times New Roman"/>
          <w:sz w:val="24"/>
          <w:szCs w:val="24"/>
        </w:rPr>
        <w:t>the appeals officer’s confirmation of the finding that the appellant had forwarded fictitious emails to the ministry.</w:t>
      </w:r>
      <w:r w:rsidR="00AB2748">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AB2748">
        <w:rPr>
          <w:rFonts w:ascii="Times New Roman" w:hAnsi="Times New Roman" w:cs="Times New Roman"/>
          <w:sz w:val="24"/>
          <w:szCs w:val="24"/>
        </w:rPr>
        <w:t xml:space="preserve">Mr </w:t>
      </w:r>
      <w:r w:rsidR="00AB2748" w:rsidRPr="00BD1D6B">
        <w:rPr>
          <w:rFonts w:ascii="Times New Roman" w:hAnsi="Times New Roman" w:cs="Times New Roman"/>
          <w:i/>
          <w:iCs/>
          <w:sz w:val="24"/>
          <w:szCs w:val="24"/>
        </w:rPr>
        <w:t>Magogo</w:t>
      </w:r>
      <w:r w:rsidR="00AB2748">
        <w:rPr>
          <w:rFonts w:ascii="Times New Roman" w:hAnsi="Times New Roman" w:cs="Times New Roman"/>
          <w:sz w:val="24"/>
          <w:szCs w:val="24"/>
        </w:rPr>
        <w:t xml:space="preserve"> contended that the court </w:t>
      </w:r>
      <w:r w:rsidR="00064CB3">
        <w:rPr>
          <w:rFonts w:ascii="Times New Roman" w:hAnsi="Times New Roman" w:cs="Times New Roman"/>
          <w:i/>
          <w:iCs/>
          <w:sz w:val="24"/>
          <w:szCs w:val="24"/>
        </w:rPr>
        <w:t xml:space="preserve">a quo </w:t>
      </w:r>
      <w:r w:rsidR="00AB2748">
        <w:rPr>
          <w:rFonts w:ascii="Times New Roman" w:hAnsi="Times New Roman" w:cs="Times New Roman"/>
          <w:sz w:val="24"/>
          <w:szCs w:val="24"/>
        </w:rPr>
        <w:t>did not relate to that groun</w:t>
      </w:r>
      <w:r w:rsidR="00EB3B33">
        <w:rPr>
          <w:rFonts w:ascii="Times New Roman" w:hAnsi="Times New Roman" w:cs="Times New Roman"/>
          <w:sz w:val="24"/>
          <w:szCs w:val="24"/>
        </w:rPr>
        <w:t>d</w:t>
      </w:r>
      <w:r w:rsidR="00AB2748">
        <w:rPr>
          <w:rFonts w:ascii="Times New Roman" w:hAnsi="Times New Roman" w:cs="Times New Roman"/>
          <w:sz w:val="24"/>
          <w:szCs w:val="24"/>
        </w:rPr>
        <w:t xml:space="preserve"> of appeal in its judgment.</w:t>
      </w:r>
      <w:r w:rsidR="00064CB3">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064CB3">
        <w:rPr>
          <w:rFonts w:ascii="Times New Roman" w:hAnsi="Times New Roman" w:cs="Times New Roman"/>
          <w:sz w:val="24"/>
          <w:szCs w:val="24"/>
        </w:rPr>
        <w:t>He therefore prayed that the judgment be vacated on that basis.</w:t>
      </w:r>
    </w:p>
    <w:p w14:paraId="774A6D3C" w14:textId="4D7AE908" w:rsidR="00064CB3" w:rsidRPr="00601A3E" w:rsidRDefault="00064CB3" w:rsidP="0022686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94C9C">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t xml:space="preserve">Counsel further argued that the </w:t>
      </w:r>
      <w:r w:rsidR="00520DF3">
        <w:rPr>
          <w:rFonts w:ascii="Times New Roman" w:hAnsi="Times New Roman" w:cs="Times New Roman"/>
          <w:sz w:val="24"/>
          <w:szCs w:val="24"/>
        </w:rPr>
        <w:t xml:space="preserve">confirmation by the court </w:t>
      </w:r>
      <w:r w:rsidR="00520DF3" w:rsidRPr="00520DF3">
        <w:rPr>
          <w:rFonts w:ascii="Times New Roman" w:hAnsi="Times New Roman" w:cs="Times New Roman"/>
          <w:i/>
          <w:iCs/>
          <w:sz w:val="24"/>
          <w:szCs w:val="24"/>
        </w:rPr>
        <w:t>a quo</w:t>
      </w:r>
      <w:r w:rsidR="00520DF3">
        <w:rPr>
          <w:rFonts w:ascii="Times New Roman" w:hAnsi="Times New Roman" w:cs="Times New Roman"/>
          <w:sz w:val="24"/>
          <w:szCs w:val="24"/>
        </w:rPr>
        <w:t xml:space="preserve"> of the </w:t>
      </w:r>
      <w:r>
        <w:rPr>
          <w:rFonts w:ascii="Times New Roman" w:hAnsi="Times New Roman" w:cs="Times New Roman"/>
          <w:sz w:val="24"/>
          <w:szCs w:val="24"/>
        </w:rPr>
        <w:t>conviction on the Feedmix charge was flawed.</w:t>
      </w:r>
      <w:r w:rsidR="00520DF3">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520DF3">
        <w:rPr>
          <w:rFonts w:ascii="Times New Roman" w:hAnsi="Times New Roman" w:cs="Times New Roman"/>
          <w:sz w:val="24"/>
          <w:szCs w:val="24"/>
        </w:rPr>
        <w:t xml:space="preserve">He contended that the facts upon which the charge of inconsistent conduct was premised related to the appellant’s failure to complete a booking and forward such booking to the Short Road Lodge. </w:t>
      </w:r>
      <w:r w:rsidR="005A256F">
        <w:rPr>
          <w:rFonts w:ascii="Times New Roman" w:hAnsi="Times New Roman" w:cs="Times New Roman"/>
          <w:sz w:val="24"/>
          <w:szCs w:val="24"/>
        </w:rPr>
        <w:t xml:space="preserve"> </w:t>
      </w:r>
      <w:r w:rsidR="00520DF3">
        <w:rPr>
          <w:rFonts w:ascii="Times New Roman" w:hAnsi="Times New Roman" w:cs="Times New Roman"/>
          <w:sz w:val="24"/>
          <w:szCs w:val="24"/>
        </w:rPr>
        <w:t xml:space="preserve">However, instead of convicting him on these allegations, the DHO did so on the basis that the appellant failed to conduct a handover to his superior officer or any of his associates. </w:t>
      </w:r>
      <w:r w:rsidR="005A256F">
        <w:rPr>
          <w:rFonts w:ascii="Times New Roman" w:hAnsi="Times New Roman" w:cs="Times New Roman"/>
          <w:sz w:val="24"/>
          <w:szCs w:val="24"/>
        </w:rPr>
        <w:t xml:space="preserve"> </w:t>
      </w:r>
      <w:r w:rsidR="00F53F9A">
        <w:rPr>
          <w:rFonts w:ascii="Times New Roman" w:hAnsi="Times New Roman" w:cs="Times New Roman"/>
          <w:sz w:val="24"/>
          <w:szCs w:val="24"/>
        </w:rPr>
        <w:t xml:space="preserve">Counsel contended by reference to the case of </w:t>
      </w:r>
      <w:proofErr w:type="spellStart"/>
      <w:r w:rsidR="00F53F9A" w:rsidRPr="00F53F9A">
        <w:rPr>
          <w:rFonts w:ascii="Times New Roman" w:hAnsi="Times New Roman" w:cs="Times New Roman"/>
          <w:i/>
          <w:iCs/>
          <w:sz w:val="24"/>
          <w:szCs w:val="24"/>
        </w:rPr>
        <w:t>Nyarumbu</w:t>
      </w:r>
      <w:proofErr w:type="spellEnd"/>
      <w:r w:rsidR="00F53F9A" w:rsidRPr="00F53F9A">
        <w:rPr>
          <w:rFonts w:ascii="Times New Roman" w:hAnsi="Times New Roman" w:cs="Times New Roman"/>
          <w:i/>
          <w:iCs/>
          <w:sz w:val="24"/>
          <w:szCs w:val="24"/>
        </w:rPr>
        <w:t xml:space="preserve"> </w:t>
      </w:r>
      <w:r w:rsidR="00F53F9A" w:rsidRPr="005A256F">
        <w:rPr>
          <w:rFonts w:ascii="Times New Roman" w:hAnsi="Times New Roman" w:cs="Times New Roman"/>
          <w:iCs/>
          <w:sz w:val="24"/>
          <w:szCs w:val="24"/>
        </w:rPr>
        <w:t>v</w:t>
      </w:r>
      <w:r w:rsidR="00F53F9A" w:rsidRPr="00F53F9A">
        <w:rPr>
          <w:rFonts w:ascii="Times New Roman" w:hAnsi="Times New Roman" w:cs="Times New Roman"/>
          <w:i/>
          <w:iCs/>
          <w:sz w:val="24"/>
          <w:szCs w:val="24"/>
        </w:rPr>
        <w:t xml:space="preserve"> </w:t>
      </w:r>
      <w:proofErr w:type="spellStart"/>
      <w:r w:rsidR="00F53F9A" w:rsidRPr="00F53F9A">
        <w:rPr>
          <w:rFonts w:ascii="Times New Roman" w:hAnsi="Times New Roman" w:cs="Times New Roman"/>
          <w:i/>
          <w:iCs/>
          <w:sz w:val="24"/>
          <w:szCs w:val="24"/>
        </w:rPr>
        <w:t>Sandvik</w:t>
      </w:r>
      <w:proofErr w:type="spellEnd"/>
      <w:r w:rsidR="00F53F9A" w:rsidRPr="00F53F9A">
        <w:rPr>
          <w:rFonts w:ascii="Times New Roman" w:hAnsi="Times New Roman" w:cs="Times New Roman"/>
          <w:i/>
          <w:iCs/>
          <w:sz w:val="24"/>
          <w:szCs w:val="24"/>
        </w:rPr>
        <w:t xml:space="preserve"> Mining &amp; Construction (Zimbabwe (Pvt) Ltd</w:t>
      </w:r>
      <w:r w:rsidR="00F53F9A">
        <w:rPr>
          <w:rFonts w:ascii="Times New Roman" w:hAnsi="Times New Roman" w:cs="Times New Roman"/>
          <w:sz w:val="24"/>
          <w:szCs w:val="24"/>
        </w:rPr>
        <w:t xml:space="preserve"> 2013 (2) ZLR 10 (S) at 14G</w:t>
      </w:r>
      <w:r w:rsidR="008E77F7">
        <w:rPr>
          <w:rFonts w:ascii="Times New Roman" w:hAnsi="Times New Roman" w:cs="Times New Roman"/>
          <w:sz w:val="24"/>
          <w:szCs w:val="24"/>
        </w:rPr>
        <w:t>-15B</w:t>
      </w:r>
      <w:r w:rsidR="00F53F9A">
        <w:rPr>
          <w:rFonts w:ascii="Times New Roman" w:hAnsi="Times New Roman" w:cs="Times New Roman"/>
          <w:sz w:val="24"/>
          <w:szCs w:val="24"/>
        </w:rPr>
        <w:t xml:space="preserve"> that it was unfair for the court </w:t>
      </w:r>
      <w:r w:rsidR="00F53F9A" w:rsidRPr="00A94C9C">
        <w:rPr>
          <w:rFonts w:ascii="Times New Roman" w:hAnsi="Times New Roman" w:cs="Times New Roman"/>
          <w:i/>
          <w:iCs/>
          <w:sz w:val="24"/>
          <w:szCs w:val="24"/>
        </w:rPr>
        <w:t>a quo</w:t>
      </w:r>
      <w:r w:rsidR="00F53F9A">
        <w:rPr>
          <w:rFonts w:ascii="Times New Roman" w:hAnsi="Times New Roman" w:cs="Times New Roman"/>
          <w:sz w:val="24"/>
          <w:szCs w:val="24"/>
        </w:rPr>
        <w:t xml:space="preserve"> to uphold a conviction based on facts that did not form the basis of the charge. </w:t>
      </w:r>
      <w:r w:rsidR="005840FB">
        <w:rPr>
          <w:rFonts w:ascii="Times New Roman" w:hAnsi="Times New Roman" w:cs="Times New Roman"/>
          <w:sz w:val="24"/>
          <w:szCs w:val="24"/>
        </w:rPr>
        <w:t xml:space="preserve">Counsel further argued that the finding by the court </w:t>
      </w:r>
      <w:r w:rsidR="005840FB" w:rsidRPr="005840FB">
        <w:rPr>
          <w:rFonts w:ascii="Times New Roman" w:hAnsi="Times New Roman" w:cs="Times New Roman"/>
          <w:i/>
          <w:iCs/>
          <w:sz w:val="24"/>
          <w:szCs w:val="24"/>
        </w:rPr>
        <w:t>a quo</w:t>
      </w:r>
      <w:r w:rsidR="005840FB">
        <w:rPr>
          <w:rFonts w:ascii="Times New Roman" w:hAnsi="Times New Roman" w:cs="Times New Roman"/>
          <w:sz w:val="24"/>
          <w:szCs w:val="24"/>
        </w:rPr>
        <w:t xml:space="preserve"> that the appellant was quibbling about details constituted an acceptance that the details sought to be proved were indeed different from those upon which the conviction was based. </w:t>
      </w:r>
      <w:r w:rsidR="005A256F">
        <w:rPr>
          <w:rFonts w:ascii="Times New Roman" w:hAnsi="Times New Roman" w:cs="Times New Roman"/>
          <w:sz w:val="24"/>
          <w:szCs w:val="24"/>
        </w:rPr>
        <w:t xml:space="preserve"> </w:t>
      </w:r>
      <w:r w:rsidR="005840FB">
        <w:rPr>
          <w:rFonts w:ascii="Times New Roman" w:hAnsi="Times New Roman" w:cs="Times New Roman"/>
          <w:sz w:val="24"/>
          <w:szCs w:val="24"/>
        </w:rPr>
        <w:t xml:space="preserve">Mr </w:t>
      </w:r>
      <w:r w:rsidR="005840FB" w:rsidRPr="005840FB">
        <w:rPr>
          <w:rFonts w:ascii="Times New Roman" w:hAnsi="Times New Roman" w:cs="Times New Roman"/>
          <w:i/>
          <w:iCs/>
          <w:sz w:val="24"/>
          <w:szCs w:val="24"/>
        </w:rPr>
        <w:t>Magog</w:t>
      </w:r>
      <w:r w:rsidR="005840FB">
        <w:rPr>
          <w:rFonts w:ascii="Times New Roman" w:hAnsi="Times New Roman" w:cs="Times New Roman"/>
          <w:sz w:val="24"/>
          <w:szCs w:val="24"/>
        </w:rPr>
        <w:t>o therefore submitted that,</w:t>
      </w:r>
      <w:r w:rsidR="00F53F9A">
        <w:rPr>
          <w:rFonts w:ascii="Times New Roman" w:hAnsi="Times New Roman" w:cs="Times New Roman"/>
          <w:sz w:val="24"/>
          <w:szCs w:val="24"/>
        </w:rPr>
        <w:t xml:space="preserve"> the court </w:t>
      </w:r>
      <w:r w:rsidR="00F53F9A" w:rsidRPr="00D07F42">
        <w:rPr>
          <w:rFonts w:ascii="Times New Roman" w:hAnsi="Times New Roman" w:cs="Times New Roman"/>
          <w:i/>
          <w:iCs/>
          <w:sz w:val="24"/>
          <w:szCs w:val="24"/>
        </w:rPr>
        <w:t>a quo</w:t>
      </w:r>
      <w:r w:rsidR="00F53F9A">
        <w:rPr>
          <w:rFonts w:ascii="Times New Roman" w:hAnsi="Times New Roman" w:cs="Times New Roman"/>
          <w:sz w:val="24"/>
          <w:szCs w:val="24"/>
        </w:rPr>
        <w:t xml:space="preserve"> ought</w:t>
      </w:r>
      <w:r w:rsidR="00D56EB9">
        <w:rPr>
          <w:rFonts w:ascii="Times New Roman" w:hAnsi="Times New Roman" w:cs="Times New Roman"/>
          <w:sz w:val="24"/>
          <w:szCs w:val="24"/>
        </w:rPr>
        <w:t>,</w:t>
      </w:r>
      <w:r w:rsidR="00F53F9A">
        <w:rPr>
          <w:rFonts w:ascii="Times New Roman" w:hAnsi="Times New Roman" w:cs="Times New Roman"/>
          <w:sz w:val="24"/>
          <w:szCs w:val="24"/>
        </w:rPr>
        <w:t xml:space="preserve"> for that reason</w:t>
      </w:r>
      <w:r w:rsidR="00D56EB9">
        <w:rPr>
          <w:rFonts w:ascii="Times New Roman" w:hAnsi="Times New Roman" w:cs="Times New Roman"/>
          <w:sz w:val="24"/>
          <w:szCs w:val="24"/>
        </w:rPr>
        <w:t>,</w:t>
      </w:r>
      <w:r w:rsidR="00F53F9A">
        <w:rPr>
          <w:rFonts w:ascii="Times New Roman" w:hAnsi="Times New Roman" w:cs="Times New Roman"/>
          <w:sz w:val="24"/>
          <w:szCs w:val="24"/>
        </w:rPr>
        <w:t xml:space="preserve"> to have set aside the convi</w:t>
      </w:r>
      <w:r w:rsidR="00476854">
        <w:rPr>
          <w:rFonts w:ascii="Times New Roman" w:hAnsi="Times New Roman" w:cs="Times New Roman"/>
          <w:sz w:val="24"/>
          <w:szCs w:val="24"/>
        </w:rPr>
        <w:t>c</w:t>
      </w:r>
      <w:r w:rsidR="00F53F9A">
        <w:rPr>
          <w:rFonts w:ascii="Times New Roman" w:hAnsi="Times New Roman" w:cs="Times New Roman"/>
          <w:sz w:val="24"/>
          <w:szCs w:val="24"/>
        </w:rPr>
        <w:t xml:space="preserve">tion on the Feedmix charge. </w:t>
      </w:r>
    </w:p>
    <w:p w14:paraId="4364A597" w14:textId="0BC1DBDB" w:rsidR="00900397" w:rsidRDefault="00D07F42" w:rsidP="0022686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A94C9C">
        <w:rPr>
          <w:rFonts w:ascii="Times New Roman" w:hAnsi="Times New Roman" w:cs="Times New Roman"/>
          <w:sz w:val="24"/>
          <w:szCs w:val="24"/>
        </w:rPr>
        <w:t>41</w:t>
      </w:r>
      <w:r>
        <w:rPr>
          <w:rFonts w:ascii="Times New Roman" w:hAnsi="Times New Roman" w:cs="Times New Roman"/>
          <w:sz w:val="24"/>
          <w:szCs w:val="24"/>
        </w:rPr>
        <w:t>]</w:t>
      </w:r>
      <w:r w:rsidR="00D56EB9">
        <w:rPr>
          <w:rFonts w:ascii="Times New Roman" w:hAnsi="Times New Roman" w:cs="Times New Roman"/>
          <w:sz w:val="24"/>
          <w:szCs w:val="24"/>
        </w:rPr>
        <w:tab/>
        <w:t xml:space="preserve">On the Ministry charge, counsel made the following contentions. </w:t>
      </w:r>
      <w:r w:rsidR="005A256F">
        <w:rPr>
          <w:rFonts w:ascii="Times New Roman" w:hAnsi="Times New Roman" w:cs="Times New Roman"/>
          <w:sz w:val="24"/>
          <w:szCs w:val="24"/>
        </w:rPr>
        <w:t xml:space="preserve"> </w:t>
      </w:r>
      <w:r w:rsidR="00D56EB9">
        <w:rPr>
          <w:rFonts w:ascii="Times New Roman" w:hAnsi="Times New Roman" w:cs="Times New Roman"/>
          <w:sz w:val="24"/>
          <w:szCs w:val="24"/>
        </w:rPr>
        <w:t xml:space="preserve">The witnesses called by the respondent did not establish the procedure </w:t>
      </w:r>
      <w:r w:rsidR="00A94C9C">
        <w:rPr>
          <w:rFonts w:ascii="Times New Roman" w:hAnsi="Times New Roman" w:cs="Times New Roman"/>
          <w:sz w:val="24"/>
          <w:szCs w:val="24"/>
        </w:rPr>
        <w:t xml:space="preserve">to be followed by </w:t>
      </w:r>
      <w:r w:rsidR="00D56EB9">
        <w:rPr>
          <w:rFonts w:ascii="Times New Roman" w:hAnsi="Times New Roman" w:cs="Times New Roman"/>
          <w:sz w:val="24"/>
          <w:szCs w:val="24"/>
        </w:rPr>
        <w:t xml:space="preserve">a recipient of a booking enquiry from a </w:t>
      </w:r>
      <w:r w:rsidR="002F0BDF">
        <w:rPr>
          <w:rFonts w:ascii="Times New Roman" w:hAnsi="Times New Roman" w:cs="Times New Roman"/>
          <w:sz w:val="24"/>
          <w:szCs w:val="24"/>
        </w:rPr>
        <w:t xml:space="preserve">large group </w:t>
      </w:r>
      <w:r w:rsidR="00D56EB9">
        <w:rPr>
          <w:rFonts w:ascii="Times New Roman" w:hAnsi="Times New Roman" w:cs="Times New Roman"/>
          <w:sz w:val="24"/>
          <w:szCs w:val="24"/>
        </w:rPr>
        <w:t xml:space="preserve">traditional client. </w:t>
      </w:r>
      <w:r w:rsidR="005A256F">
        <w:rPr>
          <w:rFonts w:ascii="Times New Roman" w:hAnsi="Times New Roman" w:cs="Times New Roman"/>
          <w:sz w:val="24"/>
          <w:szCs w:val="24"/>
        </w:rPr>
        <w:t xml:space="preserve"> </w:t>
      </w:r>
      <w:r w:rsidR="00D56EB9">
        <w:rPr>
          <w:rFonts w:ascii="Times New Roman" w:hAnsi="Times New Roman" w:cs="Times New Roman"/>
          <w:sz w:val="24"/>
          <w:szCs w:val="24"/>
        </w:rPr>
        <w:t xml:space="preserve">These witnesses did not specify how the appellant was supposed to relay the enquiry to the </w:t>
      </w:r>
      <w:r w:rsidR="00A94C9C">
        <w:rPr>
          <w:rFonts w:ascii="Times New Roman" w:hAnsi="Times New Roman" w:cs="Times New Roman"/>
          <w:sz w:val="24"/>
          <w:szCs w:val="24"/>
        </w:rPr>
        <w:t>K</w:t>
      </w:r>
      <w:r w:rsidR="00D56EB9">
        <w:rPr>
          <w:rFonts w:ascii="Times New Roman" w:hAnsi="Times New Roman" w:cs="Times New Roman"/>
          <w:sz w:val="24"/>
          <w:szCs w:val="24"/>
        </w:rPr>
        <w:t xml:space="preserve">ey </w:t>
      </w:r>
      <w:r w:rsidR="00A94C9C">
        <w:rPr>
          <w:rFonts w:ascii="Times New Roman" w:hAnsi="Times New Roman" w:cs="Times New Roman"/>
          <w:sz w:val="24"/>
          <w:szCs w:val="24"/>
        </w:rPr>
        <w:t>A</w:t>
      </w:r>
      <w:r w:rsidR="00D56EB9">
        <w:rPr>
          <w:rFonts w:ascii="Times New Roman" w:hAnsi="Times New Roman" w:cs="Times New Roman"/>
          <w:sz w:val="24"/>
          <w:szCs w:val="24"/>
        </w:rPr>
        <w:t xml:space="preserve">ccount </w:t>
      </w:r>
      <w:r w:rsidR="00A94C9C">
        <w:rPr>
          <w:rFonts w:ascii="Times New Roman" w:hAnsi="Times New Roman" w:cs="Times New Roman"/>
          <w:sz w:val="24"/>
          <w:szCs w:val="24"/>
        </w:rPr>
        <w:t>M</w:t>
      </w:r>
      <w:r w:rsidR="00D56EB9">
        <w:rPr>
          <w:rFonts w:ascii="Times New Roman" w:hAnsi="Times New Roman" w:cs="Times New Roman"/>
          <w:sz w:val="24"/>
          <w:szCs w:val="24"/>
        </w:rPr>
        <w:t>anager.</w:t>
      </w:r>
      <w:r w:rsidR="00CE1D6A">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CE1D6A">
        <w:rPr>
          <w:rFonts w:ascii="Times New Roman" w:hAnsi="Times New Roman" w:cs="Times New Roman"/>
          <w:sz w:val="24"/>
          <w:szCs w:val="24"/>
        </w:rPr>
        <w:t xml:space="preserve">The witness Fadzai Makuvise confirmed that appellant was not on the list of the employees who </w:t>
      </w:r>
      <w:r w:rsidR="00A94C9C">
        <w:rPr>
          <w:rFonts w:ascii="Times New Roman" w:hAnsi="Times New Roman" w:cs="Times New Roman"/>
          <w:sz w:val="24"/>
          <w:szCs w:val="24"/>
        </w:rPr>
        <w:t xml:space="preserve">received </w:t>
      </w:r>
      <w:r w:rsidR="00CE1D6A">
        <w:rPr>
          <w:rFonts w:ascii="Times New Roman" w:hAnsi="Times New Roman" w:cs="Times New Roman"/>
          <w:sz w:val="24"/>
          <w:szCs w:val="24"/>
        </w:rPr>
        <w:t>notifi</w:t>
      </w:r>
      <w:r w:rsidR="00A94C9C">
        <w:rPr>
          <w:rFonts w:ascii="Times New Roman" w:hAnsi="Times New Roman" w:cs="Times New Roman"/>
          <w:sz w:val="24"/>
          <w:szCs w:val="24"/>
        </w:rPr>
        <w:t>cation</w:t>
      </w:r>
      <w:r w:rsidR="00CE1D6A">
        <w:rPr>
          <w:rFonts w:ascii="Times New Roman" w:hAnsi="Times New Roman" w:cs="Times New Roman"/>
          <w:sz w:val="24"/>
          <w:szCs w:val="24"/>
        </w:rPr>
        <w:t xml:space="preserve"> of the legacy </w:t>
      </w:r>
      <w:r w:rsidR="00A94C9C">
        <w:rPr>
          <w:rFonts w:ascii="Times New Roman" w:hAnsi="Times New Roman" w:cs="Times New Roman"/>
          <w:sz w:val="24"/>
          <w:szCs w:val="24"/>
        </w:rPr>
        <w:t xml:space="preserve">debt </w:t>
      </w:r>
      <w:r w:rsidR="00CE1D6A">
        <w:rPr>
          <w:rFonts w:ascii="Times New Roman" w:hAnsi="Times New Roman" w:cs="Times New Roman"/>
          <w:sz w:val="24"/>
          <w:szCs w:val="24"/>
        </w:rPr>
        <w:t xml:space="preserve">policy by email on 17 March 2023. </w:t>
      </w:r>
      <w:r w:rsidR="005A256F">
        <w:rPr>
          <w:rFonts w:ascii="Times New Roman" w:hAnsi="Times New Roman" w:cs="Times New Roman"/>
          <w:sz w:val="24"/>
          <w:szCs w:val="24"/>
        </w:rPr>
        <w:t xml:space="preserve"> Further</w:t>
      </w:r>
      <w:r w:rsidR="00A94C9C">
        <w:rPr>
          <w:rFonts w:ascii="Times New Roman" w:hAnsi="Times New Roman" w:cs="Times New Roman"/>
          <w:sz w:val="24"/>
          <w:szCs w:val="24"/>
        </w:rPr>
        <w:t>,</w:t>
      </w:r>
      <w:r w:rsidR="00CE1D6A">
        <w:rPr>
          <w:rFonts w:ascii="Times New Roman" w:hAnsi="Times New Roman" w:cs="Times New Roman"/>
          <w:sz w:val="24"/>
          <w:szCs w:val="24"/>
        </w:rPr>
        <w:t xml:space="preserve"> the defence witness Mrs Nyasha Chinanga also confirmed that appellant sent her the </w:t>
      </w:r>
      <w:r w:rsidR="00CE1D6A">
        <w:rPr>
          <w:rFonts w:ascii="Times New Roman" w:hAnsi="Times New Roman" w:cs="Times New Roman"/>
          <w:sz w:val="24"/>
          <w:szCs w:val="24"/>
        </w:rPr>
        <w:lastRenderedPageBreak/>
        <w:t>email</w:t>
      </w:r>
      <w:r w:rsidR="004343FA">
        <w:rPr>
          <w:rFonts w:ascii="Times New Roman" w:hAnsi="Times New Roman" w:cs="Times New Roman"/>
          <w:sz w:val="24"/>
          <w:szCs w:val="24"/>
        </w:rPr>
        <w:t xml:space="preserve"> </w:t>
      </w:r>
      <w:r w:rsidR="00CE1D6A">
        <w:rPr>
          <w:rFonts w:ascii="Times New Roman" w:hAnsi="Times New Roman" w:cs="Times New Roman"/>
          <w:sz w:val="24"/>
          <w:szCs w:val="24"/>
        </w:rPr>
        <w:t>on 29 March 2023</w:t>
      </w:r>
      <w:r w:rsidR="004343FA">
        <w:rPr>
          <w:rFonts w:ascii="Times New Roman" w:hAnsi="Times New Roman" w:cs="Times New Roman"/>
          <w:sz w:val="24"/>
          <w:szCs w:val="24"/>
        </w:rPr>
        <w:t xml:space="preserve">, </w:t>
      </w:r>
      <w:r w:rsidR="001D55FD">
        <w:rPr>
          <w:rFonts w:ascii="Times New Roman" w:hAnsi="Times New Roman" w:cs="Times New Roman"/>
          <w:sz w:val="24"/>
          <w:szCs w:val="24"/>
        </w:rPr>
        <w:t xml:space="preserve">in </w:t>
      </w:r>
      <w:r w:rsidR="004343FA">
        <w:rPr>
          <w:rFonts w:ascii="Times New Roman" w:hAnsi="Times New Roman" w:cs="Times New Roman"/>
          <w:sz w:val="24"/>
          <w:szCs w:val="24"/>
        </w:rPr>
        <w:t xml:space="preserve">which </w:t>
      </w:r>
      <w:r w:rsidR="001D55FD">
        <w:rPr>
          <w:rFonts w:ascii="Times New Roman" w:hAnsi="Times New Roman" w:cs="Times New Roman"/>
          <w:sz w:val="24"/>
          <w:szCs w:val="24"/>
        </w:rPr>
        <w:t>the appellant stated</w:t>
      </w:r>
      <w:r w:rsidR="00CE1D6A">
        <w:rPr>
          <w:rFonts w:ascii="Times New Roman" w:hAnsi="Times New Roman" w:cs="Times New Roman"/>
          <w:sz w:val="24"/>
          <w:szCs w:val="24"/>
        </w:rPr>
        <w:t xml:space="preserve"> </w:t>
      </w:r>
      <w:r w:rsidR="004343FA">
        <w:rPr>
          <w:rFonts w:ascii="Times New Roman" w:hAnsi="Times New Roman" w:cs="Times New Roman"/>
          <w:sz w:val="24"/>
          <w:szCs w:val="24"/>
        </w:rPr>
        <w:t xml:space="preserve">that her </w:t>
      </w:r>
      <w:r w:rsidR="00CE1D6A">
        <w:rPr>
          <w:rFonts w:ascii="Times New Roman" w:hAnsi="Times New Roman" w:cs="Times New Roman"/>
          <w:sz w:val="24"/>
          <w:szCs w:val="24"/>
        </w:rPr>
        <w:t>delegates</w:t>
      </w:r>
      <w:r w:rsidR="004343FA">
        <w:rPr>
          <w:rFonts w:ascii="Times New Roman" w:hAnsi="Times New Roman" w:cs="Times New Roman"/>
          <w:sz w:val="24"/>
          <w:szCs w:val="24"/>
        </w:rPr>
        <w:t xml:space="preserve"> would not be a</w:t>
      </w:r>
      <w:r w:rsidR="003309C2">
        <w:rPr>
          <w:rFonts w:ascii="Times New Roman" w:hAnsi="Times New Roman" w:cs="Times New Roman"/>
          <w:sz w:val="24"/>
          <w:szCs w:val="24"/>
        </w:rPr>
        <w:t>llowed</w:t>
      </w:r>
      <w:r w:rsidR="004343FA">
        <w:rPr>
          <w:rFonts w:ascii="Times New Roman" w:hAnsi="Times New Roman" w:cs="Times New Roman"/>
          <w:sz w:val="24"/>
          <w:szCs w:val="24"/>
        </w:rPr>
        <w:t xml:space="preserve"> to check in unless </w:t>
      </w:r>
      <w:r w:rsidR="00A94C9C">
        <w:rPr>
          <w:rFonts w:ascii="Times New Roman" w:hAnsi="Times New Roman" w:cs="Times New Roman"/>
          <w:sz w:val="24"/>
          <w:szCs w:val="24"/>
        </w:rPr>
        <w:t xml:space="preserve">the </w:t>
      </w:r>
      <w:r w:rsidR="00CE1D6A">
        <w:rPr>
          <w:rFonts w:ascii="Times New Roman" w:hAnsi="Times New Roman" w:cs="Times New Roman"/>
          <w:sz w:val="24"/>
          <w:szCs w:val="24"/>
        </w:rPr>
        <w:t>outstanding legacy debt of ZWL44 312 563</w:t>
      </w:r>
      <w:r w:rsidR="004343FA">
        <w:rPr>
          <w:rFonts w:ascii="Times New Roman" w:hAnsi="Times New Roman" w:cs="Times New Roman"/>
          <w:sz w:val="24"/>
          <w:szCs w:val="24"/>
        </w:rPr>
        <w:t xml:space="preserve"> was settled before hand</w:t>
      </w:r>
      <w:r w:rsidR="00CE1D6A">
        <w:rPr>
          <w:rFonts w:ascii="Times New Roman" w:hAnsi="Times New Roman" w:cs="Times New Roman"/>
          <w:sz w:val="24"/>
          <w:szCs w:val="24"/>
        </w:rPr>
        <w:t>.</w:t>
      </w:r>
      <w:r w:rsidR="005A256F">
        <w:rPr>
          <w:rFonts w:ascii="Times New Roman" w:hAnsi="Times New Roman" w:cs="Times New Roman"/>
          <w:sz w:val="24"/>
          <w:szCs w:val="24"/>
        </w:rPr>
        <w:t xml:space="preserve">  </w:t>
      </w:r>
      <w:r w:rsidR="00900397">
        <w:rPr>
          <w:rFonts w:ascii="Times New Roman" w:hAnsi="Times New Roman" w:cs="Times New Roman"/>
          <w:sz w:val="24"/>
          <w:szCs w:val="24"/>
        </w:rPr>
        <w:t>Counsel therefore argued that as the appellant was demonstrably unaware of the policy, he was improperly convicted of the second count.</w:t>
      </w:r>
    </w:p>
    <w:p w14:paraId="597D81D3" w14:textId="4468708B" w:rsidR="00A62A05" w:rsidRDefault="00900397" w:rsidP="0022686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A94C9C">
        <w:rPr>
          <w:rFonts w:ascii="Times New Roman" w:hAnsi="Times New Roman" w:cs="Times New Roman"/>
          <w:sz w:val="24"/>
          <w:szCs w:val="24"/>
        </w:rPr>
        <w:t>2</w:t>
      </w:r>
      <w:r>
        <w:rPr>
          <w:rFonts w:ascii="Times New Roman" w:hAnsi="Times New Roman" w:cs="Times New Roman"/>
          <w:sz w:val="24"/>
          <w:szCs w:val="24"/>
        </w:rPr>
        <w:t xml:space="preserve">] </w:t>
      </w:r>
      <w:r w:rsidR="00A94C9C">
        <w:rPr>
          <w:rFonts w:ascii="Times New Roman" w:hAnsi="Times New Roman" w:cs="Times New Roman"/>
          <w:sz w:val="24"/>
          <w:szCs w:val="24"/>
        </w:rPr>
        <w:tab/>
      </w:r>
      <w:r>
        <w:rPr>
          <w:rFonts w:ascii="Times New Roman" w:hAnsi="Times New Roman" w:cs="Times New Roman"/>
          <w:sz w:val="24"/>
          <w:szCs w:val="24"/>
        </w:rPr>
        <w:t xml:space="preserve">Mr </w:t>
      </w:r>
      <w:r w:rsidRPr="00900397">
        <w:rPr>
          <w:rFonts w:ascii="Times New Roman" w:hAnsi="Times New Roman" w:cs="Times New Roman"/>
          <w:i/>
          <w:iCs/>
          <w:sz w:val="24"/>
          <w:szCs w:val="24"/>
        </w:rPr>
        <w:t>Magog</w:t>
      </w:r>
      <w:r>
        <w:rPr>
          <w:rFonts w:ascii="Times New Roman" w:hAnsi="Times New Roman" w:cs="Times New Roman"/>
          <w:sz w:val="24"/>
          <w:szCs w:val="24"/>
        </w:rPr>
        <w:t xml:space="preserve">o </w:t>
      </w:r>
      <w:r w:rsidR="00A62A05">
        <w:rPr>
          <w:rFonts w:ascii="Times New Roman" w:hAnsi="Times New Roman" w:cs="Times New Roman"/>
          <w:sz w:val="24"/>
          <w:szCs w:val="24"/>
        </w:rPr>
        <w:t>further a</w:t>
      </w:r>
      <w:r>
        <w:rPr>
          <w:rFonts w:ascii="Times New Roman" w:hAnsi="Times New Roman" w:cs="Times New Roman"/>
          <w:sz w:val="24"/>
          <w:szCs w:val="24"/>
        </w:rPr>
        <w:t xml:space="preserve">rgued that, the conviction based on the submission of unsent emails to the appellant’s head office during the investigation of the legacy debt charge, should be set aside on the basis that the court </w:t>
      </w:r>
      <w:r w:rsidRPr="001D55FD">
        <w:rPr>
          <w:rFonts w:ascii="Times New Roman" w:hAnsi="Times New Roman" w:cs="Times New Roman"/>
          <w:i/>
          <w:iCs/>
          <w:sz w:val="24"/>
          <w:szCs w:val="24"/>
        </w:rPr>
        <w:t>a quo</w:t>
      </w:r>
      <w:r>
        <w:rPr>
          <w:rFonts w:ascii="Times New Roman" w:hAnsi="Times New Roman" w:cs="Times New Roman"/>
          <w:sz w:val="24"/>
          <w:szCs w:val="24"/>
        </w:rPr>
        <w:t xml:space="preserve"> did not relate to it. </w:t>
      </w:r>
    </w:p>
    <w:p w14:paraId="12B695D7" w14:textId="14834B98" w:rsidR="00B976CD" w:rsidRDefault="00A62A05" w:rsidP="00226863">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865AF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On the penalty, he argued that the court </w:t>
      </w:r>
      <w:r w:rsidRPr="003309C2">
        <w:rPr>
          <w:rFonts w:ascii="Times New Roman" w:hAnsi="Times New Roman" w:cs="Times New Roman"/>
          <w:i/>
          <w:iCs/>
          <w:sz w:val="24"/>
          <w:szCs w:val="24"/>
        </w:rPr>
        <w:t>a quo</w:t>
      </w:r>
      <w:r>
        <w:rPr>
          <w:rFonts w:ascii="Times New Roman" w:hAnsi="Times New Roman" w:cs="Times New Roman"/>
          <w:sz w:val="24"/>
          <w:szCs w:val="24"/>
        </w:rPr>
        <w:t xml:space="preserve"> misdirected itself by failing to reduce the penalty. </w:t>
      </w:r>
      <w:r w:rsidR="005A256F">
        <w:rPr>
          <w:rFonts w:ascii="Times New Roman" w:hAnsi="Times New Roman" w:cs="Times New Roman"/>
          <w:sz w:val="24"/>
          <w:szCs w:val="24"/>
        </w:rPr>
        <w:t xml:space="preserve"> </w:t>
      </w:r>
      <w:r>
        <w:rPr>
          <w:rFonts w:ascii="Times New Roman" w:hAnsi="Times New Roman" w:cs="Times New Roman"/>
          <w:sz w:val="24"/>
          <w:szCs w:val="24"/>
        </w:rPr>
        <w:t>The contention was premised on the fact that before the 10 May 2023, the respondent intended to charge the appellant with a l</w:t>
      </w:r>
      <w:r w:rsidR="00B61DD0">
        <w:rPr>
          <w:rFonts w:ascii="Times New Roman" w:hAnsi="Times New Roman" w:cs="Times New Roman"/>
          <w:sz w:val="24"/>
          <w:szCs w:val="24"/>
        </w:rPr>
        <w:t>ess</w:t>
      </w:r>
      <w:r>
        <w:rPr>
          <w:rFonts w:ascii="Times New Roman" w:hAnsi="Times New Roman" w:cs="Times New Roman"/>
          <w:sz w:val="24"/>
          <w:szCs w:val="24"/>
        </w:rPr>
        <w:t>er charge of failing to follow standing instructions or established procedures</w:t>
      </w:r>
      <w:r w:rsidR="003309C2">
        <w:rPr>
          <w:rFonts w:ascii="Times New Roman" w:hAnsi="Times New Roman" w:cs="Times New Roman"/>
          <w:sz w:val="24"/>
          <w:szCs w:val="24"/>
        </w:rPr>
        <w:t xml:space="preserve"> under clause 1.2.22 of the code of conduct</w:t>
      </w:r>
      <w:r>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Pr>
          <w:rFonts w:ascii="Times New Roman" w:hAnsi="Times New Roman" w:cs="Times New Roman"/>
          <w:sz w:val="24"/>
          <w:szCs w:val="24"/>
        </w:rPr>
        <w:t xml:space="preserve">This lower charge attracts a penalty of a final written warning for a first infraction. </w:t>
      </w:r>
      <w:r w:rsidR="007C6BC2">
        <w:rPr>
          <w:rFonts w:ascii="Times New Roman" w:hAnsi="Times New Roman" w:cs="Times New Roman"/>
          <w:sz w:val="24"/>
          <w:szCs w:val="24"/>
        </w:rPr>
        <w:t>D</w:t>
      </w:r>
      <w:r>
        <w:rPr>
          <w:rFonts w:ascii="Times New Roman" w:hAnsi="Times New Roman" w:cs="Times New Roman"/>
          <w:sz w:val="24"/>
          <w:szCs w:val="24"/>
        </w:rPr>
        <w:t>espite the elevation of the charge to</w:t>
      </w:r>
      <w:r w:rsidR="007C6BC2">
        <w:rPr>
          <w:rFonts w:ascii="Times New Roman" w:hAnsi="Times New Roman" w:cs="Times New Roman"/>
          <w:sz w:val="24"/>
          <w:szCs w:val="24"/>
        </w:rPr>
        <w:t xml:space="preserve"> conduct inconsistent with the fulfilment of the express or implied conditions of his contract of employment</w:t>
      </w:r>
      <w:r>
        <w:rPr>
          <w:rFonts w:ascii="Times New Roman" w:hAnsi="Times New Roman" w:cs="Times New Roman"/>
          <w:sz w:val="24"/>
          <w:szCs w:val="24"/>
        </w:rPr>
        <w:t xml:space="preserve">, so argued counsel, the appellant should rightly have </w:t>
      </w:r>
      <w:r w:rsidR="007C6BC2">
        <w:rPr>
          <w:rFonts w:ascii="Times New Roman" w:hAnsi="Times New Roman" w:cs="Times New Roman"/>
          <w:sz w:val="24"/>
          <w:szCs w:val="24"/>
        </w:rPr>
        <w:t xml:space="preserve">been </w:t>
      </w:r>
      <w:r>
        <w:rPr>
          <w:rFonts w:ascii="Times New Roman" w:hAnsi="Times New Roman" w:cs="Times New Roman"/>
          <w:sz w:val="24"/>
          <w:szCs w:val="24"/>
        </w:rPr>
        <w:t>sentenced to the lower penalty.</w:t>
      </w:r>
    </w:p>
    <w:p w14:paraId="6CA22416" w14:textId="2DEDB373" w:rsidR="00852DB9" w:rsidRDefault="00B976CD" w:rsidP="008563B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865AF1">
        <w:rPr>
          <w:rFonts w:ascii="Times New Roman" w:hAnsi="Times New Roman" w:cs="Times New Roman"/>
          <w:sz w:val="24"/>
          <w:szCs w:val="24"/>
        </w:rPr>
        <w:t>4</w:t>
      </w:r>
      <w:r>
        <w:rPr>
          <w:rFonts w:ascii="Times New Roman" w:hAnsi="Times New Roman" w:cs="Times New Roman"/>
          <w:sz w:val="24"/>
          <w:szCs w:val="24"/>
        </w:rPr>
        <w:t xml:space="preserve">] </w:t>
      </w:r>
      <w:r w:rsidR="00865AF1">
        <w:rPr>
          <w:rFonts w:ascii="Times New Roman" w:hAnsi="Times New Roman" w:cs="Times New Roman"/>
          <w:sz w:val="24"/>
          <w:szCs w:val="24"/>
        </w:rPr>
        <w:tab/>
      </w:r>
      <w:r>
        <w:rPr>
          <w:rFonts w:ascii="Times New Roman" w:hAnsi="Times New Roman" w:cs="Times New Roman"/>
          <w:sz w:val="24"/>
          <w:szCs w:val="24"/>
        </w:rPr>
        <w:t xml:space="preserve">In engagement with the Court, he </w:t>
      </w:r>
      <w:r w:rsidR="002D4852">
        <w:rPr>
          <w:rFonts w:ascii="Times New Roman" w:hAnsi="Times New Roman" w:cs="Times New Roman"/>
          <w:sz w:val="24"/>
          <w:szCs w:val="24"/>
        </w:rPr>
        <w:t xml:space="preserve">submitted that, where the facts pertaining to the breach could found both a lesser and a higher charge, the </w:t>
      </w:r>
      <w:r w:rsidR="00FC4249">
        <w:rPr>
          <w:rFonts w:ascii="Times New Roman" w:hAnsi="Times New Roman" w:cs="Times New Roman"/>
          <w:sz w:val="24"/>
          <w:szCs w:val="24"/>
        </w:rPr>
        <w:t>very presence</w:t>
      </w:r>
      <w:r w:rsidR="002D4852">
        <w:rPr>
          <w:rFonts w:ascii="Times New Roman" w:hAnsi="Times New Roman" w:cs="Times New Roman"/>
          <w:sz w:val="24"/>
          <w:szCs w:val="24"/>
        </w:rPr>
        <w:t xml:space="preserve"> of a lesser charge in the code of conduct disentitled the employer from preferring </w:t>
      </w:r>
      <w:r w:rsidR="00FC4249">
        <w:rPr>
          <w:rFonts w:ascii="Times New Roman" w:hAnsi="Times New Roman" w:cs="Times New Roman"/>
          <w:sz w:val="24"/>
          <w:szCs w:val="24"/>
        </w:rPr>
        <w:t>the higher</w:t>
      </w:r>
      <w:r w:rsidR="002D4852">
        <w:rPr>
          <w:rFonts w:ascii="Times New Roman" w:hAnsi="Times New Roman" w:cs="Times New Roman"/>
          <w:sz w:val="24"/>
          <w:szCs w:val="24"/>
        </w:rPr>
        <w:t xml:space="preserve"> charge</w:t>
      </w:r>
      <w:r w:rsidR="00FC4249">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523E3A">
        <w:rPr>
          <w:rFonts w:ascii="Times New Roman" w:hAnsi="Times New Roman" w:cs="Times New Roman"/>
          <w:sz w:val="24"/>
          <w:szCs w:val="24"/>
        </w:rPr>
        <w:t xml:space="preserve">Counsel, however, conceded that, being the </w:t>
      </w:r>
      <w:r w:rsidR="00523E3A" w:rsidRPr="00523E3A">
        <w:rPr>
          <w:rFonts w:ascii="Times New Roman" w:hAnsi="Times New Roman" w:cs="Times New Roman"/>
          <w:i/>
          <w:iCs/>
          <w:sz w:val="24"/>
          <w:szCs w:val="24"/>
        </w:rPr>
        <w:t>dominus litis</w:t>
      </w:r>
      <w:r w:rsidR="00523E3A">
        <w:rPr>
          <w:rFonts w:ascii="Times New Roman" w:hAnsi="Times New Roman" w:cs="Times New Roman"/>
          <w:sz w:val="24"/>
          <w:szCs w:val="24"/>
        </w:rPr>
        <w:t xml:space="preserve">, </w:t>
      </w:r>
      <w:r w:rsidR="006F685C">
        <w:rPr>
          <w:rFonts w:ascii="Times New Roman" w:hAnsi="Times New Roman" w:cs="Times New Roman"/>
          <w:sz w:val="24"/>
          <w:szCs w:val="24"/>
        </w:rPr>
        <w:t xml:space="preserve">the employer </w:t>
      </w:r>
      <w:r w:rsidR="00DE2AB4">
        <w:rPr>
          <w:rFonts w:ascii="Times New Roman" w:hAnsi="Times New Roman" w:cs="Times New Roman"/>
          <w:sz w:val="24"/>
          <w:szCs w:val="24"/>
        </w:rPr>
        <w:t>had the discretion to prefer the charge it deemed fit</w:t>
      </w:r>
      <w:r w:rsidR="007E7D6F">
        <w:rPr>
          <w:rFonts w:ascii="Times New Roman" w:hAnsi="Times New Roman" w:cs="Times New Roman"/>
          <w:sz w:val="24"/>
          <w:szCs w:val="24"/>
        </w:rPr>
        <w:t>.</w:t>
      </w:r>
      <w:r w:rsidR="002D7CD5">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2D7CD5">
        <w:rPr>
          <w:rFonts w:ascii="Times New Roman" w:hAnsi="Times New Roman" w:cs="Times New Roman"/>
          <w:sz w:val="24"/>
          <w:szCs w:val="24"/>
        </w:rPr>
        <w:t>It became clear in answers to further questions</w:t>
      </w:r>
      <w:r w:rsidR="006428E3">
        <w:rPr>
          <w:rFonts w:ascii="Times New Roman" w:hAnsi="Times New Roman" w:cs="Times New Roman"/>
          <w:sz w:val="24"/>
          <w:szCs w:val="24"/>
        </w:rPr>
        <w:t xml:space="preserve"> from</w:t>
      </w:r>
      <w:r w:rsidR="002D7CD5">
        <w:rPr>
          <w:rFonts w:ascii="Times New Roman" w:hAnsi="Times New Roman" w:cs="Times New Roman"/>
          <w:sz w:val="24"/>
          <w:szCs w:val="24"/>
        </w:rPr>
        <w:t xml:space="preserve"> the Court that counsel was in reality not attacking the propriety of the conviction but the penalty. </w:t>
      </w:r>
      <w:r w:rsidR="005A256F">
        <w:rPr>
          <w:rFonts w:ascii="Times New Roman" w:hAnsi="Times New Roman" w:cs="Times New Roman"/>
          <w:sz w:val="24"/>
          <w:szCs w:val="24"/>
        </w:rPr>
        <w:t xml:space="preserve"> </w:t>
      </w:r>
      <w:r w:rsidR="002D7CD5">
        <w:rPr>
          <w:rFonts w:ascii="Times New Roman" w:hAnsi="Times New Roman" w:cs="Times New Roman"/>
          <w:sz w:val="24"/>
          <w:szCs w:val="24"/>
        </w:rPr>
        <w:t>This was on the basis that the appellant’s conduct did not go to the root of his employment contract.</w:t>
      </w:r>
    </w:p>
    <w:p w14:paraId="51E212C4" w14:textId="77777777" w:rsidR="00EE2A42" w:rsidRDefault="00EE2A42" w:rsidP="0043771C">
      <w:pPr>
        <w:spacing w:after="0"/>
        <w:jc w:val="both"/>
        <w:rPr>
          <w:rFonts w:ascii="Times New Roman" w:hAnsi="Times New Roman" w:cs="Times New Roman"/>
          <w:b/>
          <w:bCs/>
          <w:sz w:val="24"/>
          <w:szCs w:val="24"/>
        </w:rPr>
      </w:pPr>
    </w:p>
    <w:p w14:paraId="34756F28" w14:textId="21AFC4D7" w:rsidR="00852DB9" w:rsidRPr="006428E3" w:rsidRDefault="00852DB9" w:rsidP="00954E40">
      <w:pPr>
        <w:jc w:val="both"/>
        <w:rPr>
          <w:rFonts w:ascii="Times New Roman" w:hAnsi="Times New Roman" w:cs="Times New Roman"/>
          <w:b/>
          <w:bCs/>
          <w:sz w:val="24"/>
          <w:szCs w:val="24"/>
        </w:rPr>
      </w:pPr>
      <w:r w:rsidRPr="006428E3">
        <w:rPr>
          <w:rFonts w:ascii="Times New Roman" w:hAnsi="Times New Roman" w:cs="Times New Roman"/>
          <w:b/>
          <w:bCs/>
          <w:sz w:val="24"/>
          <w:szCs w:val="24"/>
        </w:rPr>
        <w:t>The respondent’s submissions</w:t>
      </w:r>
      <w:r w:rsidR="00587BDD" w:rsidRPr="006428E3">
        <w:rPr>
          <w:rFonts w:ascii="Times New Roman" w:hAnsi="Times New Roman" w:cs="Times New Roman"/>
          <w:b/>
          <w:bCs/>
          <w:sz w:val="24"/>
          <w:szCs w:val="24"/>
        </w:rPr>
        <w:t xml:space="preserve"> </w:t>
      </w:r>
    </w:p>
    <w:p w14:paraId="53A05FD4" w14:textId="7956E900" w:rsidR="00587BDD" w:rsidRDefault="00954E40" w:rsidP="008563B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[4</w:t>
      </w:r>
      <w:r w:rsidR="006428E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Mr </w:t>
      </w:r>
      <w:r w:rsidRPr="00954E40">
        <w:rPr>
          <w:rFonts w:ascii="Times New Roman" w:hAnsi="Times New Roman" w:cs="Times New Roman"/>
          <w:i/>
          <w:iCs/>
          <w:sz w:val="24"/>
          <w:szCs w:val="24"/>
        </w:rPr>
        <w:t>Banda</w:t>
      </w:r>
      <w:r>
        <w:rPr>
          <w:rFonts w:ascii="Times New Roman" w:hAnsi="Times New Roman" w:cs="Times New Roman"/>
          <w:sz w:val="24"/>
          <w:szCs w:val="24"/>
        </w:rPr>
        <w:t xml:space="preserve"> for the respondent submitted that the appeal ought to be dismissed for lack of merit.</w:t>
      </w:r>
      <w:r w:rsidR="00FD4C81">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FD4C81">
        <w:rPr>
          <w:rFonts w:ascii="Times New Roman" w:hAnsi="Times New Roman" w:cs="Times New Roman"/>
          <w:sz w:val="24"/>
          <w:szCs w:val="24"/>
        </w:rPr>
        <w:t xml:space="preserve">Counsel </w:t>
      </w:r>
      <w:r>
        <w:rPr>
          <w:rFonts w:ascii="Times New Roman" w:hAnsi="Times New Roman" w:cs="Times New Roman"/>
          <w:sz w:val="24"/>
          <w:szCs w:val="24"/>
        </w:rPr>
        <w:t>contended that the appellant</w:t>
      </w:r>
      <w:r w:rsidR="00146EBB">
        <w:rPr>
          <w:rFonts w:ascii="Times New Roman" w:hAnsi="Times New Roman" w:cs="Times New Roman"/>
          <w:sz w:val="24"/>
          <w:szCs w:val="24"/>
        </w:rPr>
        <w:t xml:space="preserve"> </w:t>
      </w:r>
      <w:r w:rsidR="00FD5E01">
        <w:rPr>
          <w:rFonts w:ascii="Times New Roman" w:hAnsi="Times New Roman" w:cs="Times New Roman"/>
          <w:sz w:val="24"/>
          <w:szCs w:val="24"/>
        </w:rPr>
        <w:t xml:space="preserve">was charged </w:t>
      </w:r>
      <w:r w:rsidR="00146EBB">
        <w:rPr>
          <w:rFonts w:ascii="Times New Roman" w:hAnsi="Times New Roman" w:cs="Times New Roman"/>
          <w:sz w:val="24"/>
          <w:szCs w:val="24"/>
        </w:rPr>
        <w:t>with conduct inconsistent with his duties,</w:t>
      </w:r>
      <w:r>
        <w:rPr>
          <w:rFonts w:ascii="Times New Roman" w:hAnsi="Times New Roman" w:cs="Times New Roman"/>
          <w:sz w:val="24"/>
          <w:szCs w:val="24"/>
        </w:rPr>
        <w:t xml:space="preserve"> </w:t>
      </w:r>
      <w:r w:rsidR="00F146F2">
        <w:rPr>
          <w:rFonts w:ascii="Times New Roman" w:hAnsi="Times New Roman" w:cs="Times New Roman"/>
          <w:sz w:val="24"/>
          <w:szCs w:val="24"/>
        </w:rPr>
        <w:t xml:space="preserve">which bound him </w:t>
      </w:r>
      <w:r>
        <w:rPr>
          <w:rFonts w:ascii="Times New Roman" w:hAnsi="Times New Roman" w:cs="Times New Roman"/>
          <w:sz w:val="24"/>
          <w:szCs w:val="24"/>
        </w:rPr>
        <w:t>as the accommodation channel manager, to facilitate the booking</w:t>
      </w:r>
      <w:r w:rsidR="00FD5E01">
        <w:rPr>
          <w:rFonts w:ascii="Times New Roman" w:hAnsi="Times New Roman" w:cs="Times New Roman"/>
          <w:sz w:val="24"/>
          <w:szCs w:val="24"/>
        </w:rPr>
        <w:t>, firstly,</w:t>
      </w:r>
      <w:r>
        <w:rPr>
          <w:rFonts w:ascii="Times New Roman" w:hAnsi="Times New Roman" w:cs="Times New Roman"/>
          <w:sz w:val="24"/>
          <w:szCs w:val="24"/>
        </w:rPr>
        <w:t xml:space="preserve"> of the client, Feedmix.</w:t>
      </w:r>
      <w:r w:rsidR="00FD5E01">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FD5E01">
        <w:rPr>
          <w:rFonts w:ascii="Times New Roman" w:hAnsi="Times New Roman" w:cs="Times New Roman"/>
          <w:sz w:val="24"/>
          <w:szCs w:val="24"/>
        </w:rPr>
        <w:t>Secondly, of the</w:t>
      </w:r>
      <w:r w:rsidR="002F0BDF">
        <w:rPr>
          <w:rFonts w:ascii="Times New Roman" w:hAnsi="Times New Roman" w:cs="Times New Roman"/>
          <w:sz w:val="24"/>
          <w:szCs w:val="24"/>
        </w:rPr>
        <w:t xml:space="preserve"> large group</w:t>
      </w:r>
      <w:r w:rsidR="00FD5E01">
        <w:rPr>
          <w:rFonts w:ascii="Times New Roman" w:hAnsi="Times New Roman" w:cs="Times New Roman"/>
          <w:sz w:val="24"/>
          <w:szCs w:val="24"/>
        </w:rPr>
        <w:t xml:space="preserve"> traditional client with a legacy debt, the Ministry in compliance with the standing instructions that related to legacy debtors.</w:t>
      </w:r>
      <w:r w:rsidR="00125F93">
        <w:rPr>
          <w:rFonts w:ascii="Times New Roman" w:hAnsi="Times New Roman" w:cs="Times New Roman"/>
          <w:sz w:val="24"/>
          <w:szCs w:val="24"/>
        </w:rPr>
        <w:t xml:space="preserve"> </w:t>
      </w:r>
      <w:r w:rsidR="005A256F">
        <w:rPr>
          <w:rFonts w:ascii="Times New Roman" w:hAnsi="Times New Roman" w:cs="Times New Roman"/>
          <w:sz w:val="24"/>
          <w:szCs w:val="24"/>
        </w:rPr>
        <w:t xml:space="preserve"> </w:t>
      </w:r>
      <w:r w:rsidR="00125F93">
        <w:rPr>
          <w:rFonts w:ascii="Times New Roman" w:hAnsi="Times New Roman" w:cs="Times New Roman"/>
          <w:sz w:val="24"/>
          <w:szCs w:val="24"/>
        </w:rPr>
        <w:t xml:space="preserve">Counsel contended that the DHO enumerated the facts, which had not only been alleged in respondent’s summary of facts but had also been proven in </w:t>
      </w:r>
      <w:r w:rsidR="005A256F">
        <w:rPr>
          <w:rFonts w:ascii="Times New Roman" w:hAnsi="Times New Roman" w:cs="Times New Roman"/>
          <w:sz w:val="24"/>
          <w:szCs w:val="24"/>
        </w:rPr>
        <w:t>evidence that</w:t>
      </w:r>
      <w:r w:rsidR="006428E3">
        <w:rPr>
          <w:rFonts w:ascii="Times New Roman" w:hAnsi="Times New Roman" w:cs="Times New Roman"/>
          <w:sz w:val="24"/>
          <w:szCs w:val="24"/>
        </w:rPr>
        <w:t xml:space="preserve"> </w:t>
      </w:r>
      <w:r w:rsidR="00125F93">
        <w:rPr>
          <w:rFonts w:ascii="Times New Roman" w:hAnsi="Times New Roman" w:cs="Times New Roman"/>
          <w:sz w:val="24"/>
          <w:szCs w:val="24"/>
        </w:rPr>
        <w:t xml:space="preserve">satisfied the charges.  </w:t>
      </w:r>
      <w:r w:rsidR="005A256F">
        <w:rPr>
          <w:rFonts w:ascii="Times New Roman" w:hAnsi="Times New Roman" w:cs="Times New Roman"/>
          <w:sz w:val="24"/>
          <w:szCs w:val="24"/>
        </w:rPr>
        <w:t xml:space="preserve"> </w:t>
      </w:r>
      <w:r w:rsidR="00195F28">
        <w:rPr>
          <w:rFonts w:ascii="Times New Roman" w:hAnsi="Times New Roman" w:cs="Times New Roman"/>
          <w:sz w:val="24"/>
          <w:szCs w:val="24"/>
        </w:rPr>
        <w:t xml:space="preserve">The established facts in relation to Feedmix were that the appellant, firstly left his station without completing the booking. Secondly, he forwarded a wrong tax certificate which incapacitated the client from making the required payment. </w:t>
      </w:r>
      <w:r w:rsidR="00096351">
        <w:rPr>
          <w:rFonts w:ascii="Times New Roman" w:hAnsi="Times New Roman" w:cs="Times New Roman"/>
          <w:sz w:val="24"/>
          <w:szCs w:val="24"/>
        </w:rPr>
        <w:t xml:space="preserve"> </w:t>
      </w:r>
      <w:r w:rsidR="00195F28">
        <w:rPr>
          <w:rFonts w:ascii="Times New Roman" w:hAnsi="Times New Roman" w:cs="Times New Roman"/>
          <w:sz w:val="24"/>
          <w:szCs w:val="24"/>
        </w:rPr>
        <w:t>Thirdly, he left without conducting a hand over of the incomplete booking, which handover would have ensured the completion of the booking.</w:t>
      </w:r>
    </w:p>
    <w:p w14:paraId="11F32187" w14:textId="047D8195" w:rsidR="0042264A" w:rsidRDefault="0042264A" w:rsidP="008563B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6428E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5D2A10">
        <w:rPr>
          <w:rFonts w:ascii="Times New Roman" w:hAnsi="Times New Roman" w:cs="Times New Roman"/>
          <w:sz w:val="24"/>
          <w:szCs w:val="24"/>
        </w:rPr>
        <w:t>Counsel further contended that the appellant could not</w:t>
      </w:r>
      <w:r w:rsidR="00F146F2">
        <w:rPr>
          <w:rFonts w:ascii="Times New Roman" w:hAnsi="Times New Roman" w:cs="Times New Roman"/>
          <w:sz w:val="24"/>
          <w:szCs w:val="24"/>
        </w:rPr>
        <w:t>,</w:t>
      </w:r>
      <w:r w:rsidRPr="005D2A10">
        <w:rPr>
          <w:rFonts w:ascii="Times New Roman" w:hAnsi="Times New Roman" w:cs="Times New Roman"/>
          <w:sz w:val="24"/>
          <w:szCs w:val="24"/>
        </w:rPr>
        <w:t xml:space="preserve"> without contradiction</w:t>
      </w:r>
      <w:r w:rsidR="00EB6873">
        <w:rPr>
          <w:rFonts w:ascii="Times New Roman" w:hAnsi="Times New Roman" w:cs="Times New Roman"/>
          <w:sz w:val="24"/>
          <w:szCs w:val="24"/>
        </w:rPr>
        <w:t>,</w:t>
      </w:r>
      <w:r w:rsidRPr="005D2A10">
        <w:rPr>
          <w:rFonts w:ascii="Times New Roman" w:hAnsi="Times New Roman" w:cs="Times New Roman"/>
          <w:sz w:val="24"/>
          <w:szCs w:val="24"/>
        </w:rPr>
        <w:t xml:space="preserve"> argue that he failed to complete the booking because the client did not pay when the non-payment resulted from his admitted </w:t>
      </w:r>
      <w:r w:rsidR="004C6D9D" w:rsidRPr="005D2A10">
        <w:rPr>
          <w:rFonts w:ascii="Times New Roman" w:hAnsi="Times New Roman" w:cs="Times New Roman"/>
          <w:sz w:val="24"/>
          <w:szCs w:val="24"/>
        </w:rPr>
        <w:t>provision of an expired and invalid tax</w:t>
      </w:r>
      <w:r w:rsidRPr="005D2A10">
        <w:rPr>
          <w:rFonts w:ascii="Times New Roman" w:hAnsi="Times New Roman" w:cs="Times New Roman"/>
          <w:sz w:val="24"/>
          <w:szCs w:val="24"/>
        </w:rPr>
        <w:t xml:space="preserve"> certificate to the client.</w:t>
      </w:r>
      <w:r>
        <w:rPr>
          <w:rFonts w:ascii="Times New Roman" w:hAnsi="Times New Roman" w:cs="Times New Roman"/>
          <w:sz w:val="24"/>
          <w:szCs w:val="24"/>
        </w:rPr>
        <w:t xml:space="preserve"> </w:t>
      </w:r>
      <w:r w:rsidR="00096351">
        <w:rPr>
          <w:rFonts w:ascii="Times New Roman" w:hAnsi="Times New Roman" w:cs="Times New Roman"/>
          <w:sz w:val="24"/>
          <w:szCs w:val="24"/>
        </w:rPr>
        <w:t xml:space="preserve"> </w:t>
      </w:r>
      <w:r w:rsidR="00830C2A">
        <w:rPr>
          <w:rFonts w:ascii="Times New Roman" w:hAnsi="Times New Roman" w:cs="Times New Roman"/>
          <w:sz w:val="24"/>
          <w:szCs w:val="24"/>
        </w:rPr>
        <w:t xml:space="preserve">He therefore submitted that, the further finding by the court </w:t>
      </w:r>
      <w:r w:rsidR="00830C2A" w:rsidRPr="00830C2A">
        <w:rPr>
          <w:rFonts w:ascii="Times New Roman" w:hAnsi="Times New Roman" w:cs="Times New Roman"/>
          <w:i/>
          <w:iCs/>
          <w:sz w:val="24"/>
          <w:szCs w:val="24"/>
        </w:rPr>
        <w:t>a quo</w:t>
      </w:r>
      <w:r w:rsidR="00830C2A">
        <w:rPr>
          <w:rFonts w:ascii="Times New Roman" w:hAnsi="Times New Roman" w:cs="Times New Roman"/>
          <w:sz w:val="24"/>
          <w:szCs w:val="24"/>
        </w:rPr>
        <w:t xml:space="preserve"> that the failure to complete a booking was a direct result of the submission of the invalid tax clearance certificate was unassailable. </w:t>
      </w:r>
    </w:p>
    <w:p w14:paraId="3C50C949" w14:textId="25573776" w:rsidR="00562A3C" w:rsidRDefault="00562A3C" w:rsidP="008563B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6428E3">
        <w:rPr>
          <w:rFonts w:ascii="Times New Roman" w:hAnsi="Times New Roman" w:cs="Times New Roman"/>
          <w:sz w:val="24"/>
          <w:szCs w:val="24"/>
        </w:rPr>
        <w:t>7</w:t>
      </w:r>
      <w:r>
        <w:rPr>
          <w:rFonts w:ascii="Times New Roman" w:hAnsi="Times New Roman" w:cs="Times New Roman"/>
          <w:sz w:val="24"/>
          <w:szCs w:val="24"/>
        </w:rPr>
        <w:t xml:space="preserve">] </w:t>
      </w:r>
      <w:r w:rsidR="006428E3">
        <w:rPr>
          <w:rFonts w:ascii="Times New Roman" w:hAnsi="Times New Roman" w:cs="Times New Roman"/>
          <w:sz w:val="24"/>
          <w:szCs w:val="24"/>
        </w:rPr>
        <w:tab/>
      </w:r>
      <w:r>
        <w:rPr>
          <w:rFonts w:ascii="Times New Roman" w:hAnsi="Times New Roman" w:cs="Times New Roman"/>
          <w:sz w:val="24"/>
          <w:szCs w:val="24"/>
        </w:rPr>
        <w:t xml:space="preserve">On the legacy debtor, Mr </w:t>
      </w:r>
      <w:r w:rsidRPr="006428E3">
        <w:rPr>
          <w:rFonts w:ascii="Times New Roman" w:hAnsi="Times New Roman" w:cs="Times New Roman"/>
          <w:i/>
          <w:iCs/>
          <w:sz w:val="24"/>
          <w:szCs w:val="24"/>
        </w:rPr>
        <w:t>Banda</w:t>
      </w:r>
      <w:r>
        <w:rPr>
          <w:rFonts w:ascii="Times New Roman" w:hAnsi="Times New Roman" w:cs="Times New Roman"/>
          <w:sz w:val="24"/>
          <w:szCs w:val="24"/>
        </w:rPr>
        <w:t xml:space="preserve"> </w:t>
      </w:r>
      <w:r w:rsidR="002F0BDF">
        <w:rPr>
          <w:rFonts w:ascii="Times New Roman" w:hAnsi="Times New Roman" w:cs="Times New Roman"/>
          <w:sz w:val="24"/>
          <w:szCs w:val="24"/>
        </w:rPr>
        <w:t xml:space="preserve">made the following contentions. </w:t>
      </w:r>
      <w:r w:rsidR="00096351">
        <w:rPr>
          <w:rFonts w:ascii="Times New Roman" w:hAnsi="Times New Roman" w:cs="Times New Roman"/>
          <w:sz w:val="24"/>
          <w:szCs w:val="24"/>
        </w:rPr>
        <w:t xml:space="preserve"> </w:t>
      </w:r>
      <w:r w:rsidR="002F0BDF">
        <w:rPr>
          <w:rFonts w:ascii="Times New Roman" w:hAnsi="Times New Roman" w:cs="Times New Roman"/>
          <w:sz w:val="24"/>
          <w:szCs w:val="24"/>
        </w:rPr>
        <w:t xml:space="preserve">The appellant conceded the existence of the legacy debtor policy. </w:t>
      </w:r>
      <w:r w:rsidR="00096351">
        <w:rPr>
          <w:rFonts w:ascii="Times New Roman" w:hAnsi="Times New Roman" w:cs="Times New Roman"/>
          <w:sz w:val="24"/>
          <w:szCs w:val="24"/>
        </w:rPr>
        <w:t xml:space="preserve"> </w:t>
      </w:r>
      <w:r w:rsidR="002F0BDF">
        <w:rPr>
          <w:rFonts w:ascii="Times New Roman" w:hAnsi="Times New Roman" w:cs="Times New Roman"/>
          <w:sz w:val="24"/>
          <w:szCs w:val="24"/>
        </w:rPr>
        <w:t xml:space="preserve">He further conceded receiving the instruction. </w:t>
      </w:r>
      <w:r w:rsidR="00096351">
        <w:rPr>
          <w:rFonts w:ascii="Times New Roman" w:hAnsi="Times New Roman" w:cs="Times New Roman"/>
          <w:sz w:val="24"/>
          <w:szCs w:val="24"/>
        </w:rPr>
        <w:t xml:space="preserve"> </w:t>
      </w:r>
      <w:r w:rsidR="002F0BDF">
        <w:rPr>
          <w:rFonts w:ascii="Times New Roman" w:hAnsi="Times New Roman" w:cs="Times New Roman"/>
          <w:sz w:val="24"/>
          <w:szCs w:val="24"/>
        </w:rPr>
        <w:t xml:space="preserve">His contention before this Court was now that the identities of specific legacy debtors were not availed to him.  </w:t>
      </w:r>
      <w:r w:rsidR="00096351">
        <w:rPr>
          <w:rFonts w:ascii="Times New Roman" w:hAnsi="Times New Roman" w:cs="Times New Roman"/>
          <w:sz w:val="24"/>
          <w:szCs w:val="24"/>
        </w:rPr>
        <w:t xml:space="preserve"> </w:t>
      </w:r>
      <w:r w:rsidR="002F0BDF">
        <w:rPr>
          <w:rFonts w:ascii="Times New Roman" w:hAnsi="Times New Roman" w:cs="Times New Roman"/>
          <w:sz w:val="24"/>
          <w:szCs w:val="24"/>
        </w:rPr>
        <w:t>Counsel argued that the instruction indeed did not identify specific legacy debtors but it directed all frontline office</w:t>
      </w:r>
      <w:r w:rsidR="006428E3">
        <w:rPr>
          <w:rFonts w:ascii="Times New Roman" w:hAnsi="Times New Roman" w:cs="Times New Roman"/>
          <w:sz w:val="24"/>
          <w:szCs w:val="24"/>
        </w:rPr>
        <w:t>r</w:t>
      </w:r>
      <w:r w:rsidR="002F0BDF">
        <w:rPr>
          <w:rFonts w:ascii="Times New Roman" w:hAnsi="Times New Roman" w:cs="Times New Roman"/>
          <w:sz w:val="24"/>
          <w:szCs w:val="24"/>
        </w:rPr>
        <w:t>s to communicate with key account manag</w:t>
      </w:r>
      <w:r w:rsidR="00FA0353">
        <w:rPr>
          <w:rFonts w:ascii="Times New Roman" w:hAnsi="Times New Roman" w:cs="Times New Roman"/>
          <w:sz w:val="24"/>
          <w:szCs w:val="24"/>
        </w:rPr>
        <w:t>ers once they received business enquiries from l</w:t>
      </w:r>
      <w:r w:rsidR="00EA52AE">
        <w:rPr>
          <w:rFonts w:ascii="Times New Roman" w:hAnsi="Times New Roman" w:cs="Times New Roman"/>
          <w:sz w:val="24"/>
          <w:szCs w:val="24"/>
        </w:rPr>
        <w:t xml:space="preserve">arge group traditional clients. </w:t>
      </w:r>
      <w:r w:rsidR="00FA0353">
        <w:rPr>
          <w:rFonts w:ascii="Times New Roman" w:hAnsi="Times New Roman" w:cs="Times New Roman"/>
          <w:sz w:val="24"/>
          <w:szCs w:val="24"/>
        </w:rPr>
        <w:t xml:space="preserve">The appellant conceded that he had previously dealt with the </w:t>
      </w:r>
      <w:r w:rsidR="006428E3">
        <w:rPr>
          <w:rFonts w:ascii="Times New Roman" w:hAnsi="Times New Roman" w:cs="Times New Roman"/>
          <w:sz w:val="24"/>
          <w:szCs w:val="24"/>
        </w:rPr>
        <w:t>M</w:t>
      </w:r>
      <w:r w:rsidR="00FA0353">
        <w:rPr>
          <w:rFonts w:ascii="Times New Roman" w:hAnsi="Times New Roman" w:cs="Times New Roman"/>
          <w:sz w:val="24"/>
          <w:szCs w:val="24"/>
        </w:rPr>
        <w:t xml:space="preserve">inistry of </w:t>
      </w:r>
      <w:r w:rsidR="00FA0353">
        <w:rPr>
          <w:rFonts w:ascii="Times New Roman" w:hAnsi="Times New Roman" w:cs="Times New Roman"/>
          <w:sz w:val="24"/>
          <w:szCs w:val="24"/>
        </w:rPr>
        <w:lastRenderedPageBreak/>
        <w:t xml:space="preserve">Agriculture before the instruction was issued. </w:t>
      </w:r>
      <w:r w:rsidR="00EA52AE">
        <w:rPr>
          <w:rFonts w:ascii="Times New Roman" w:hAnsi="Times New Roman" w:cs="Times New Roman"/>
          <w:sz w:val="24"/>
          <w:szCs w:val="24"/>
        </w:rPr>
        <w:t xml:space="preserve"> </w:t>
      </w:r>
      <w:r w:rsidR="00FA0353">
        <w:rPr>
          <w:rFonts w:ascii="Times New Roman" w:hAnsi="Times New Roman" w:cs="Times New Roman"/>
          <w:sz w:val="24"/>
          <w:szCs w:val="24"/>
        </w:rPr>
        <w:t xml:space="preserve">He also admitted that the </w:t>
      </w:r>
      <w:r w:rsidR="006428E3">
        <w:rPr>
          <w:rFonts w:ascii="Times New Roman" w:hAnsi="Times New Roman" w:cs="Times New Roman"/>
          <w:sz w:val="24"/>
          <w:szCs w:val="24"/>
        </w:rPr>
        <w:t>M</w:t>
      </w:r>
      <w:r w:rsidR="00FA0353">
        <w:rPr>
          <w:rFonts w:ascii="Times New Roman" w:hAnsi="Times New Roman" w:cs="Times New Roman"/>
          <w:sz w:val="24"/>
          <w:szCs w:val="24"/>
        </w:rPr>
        <w:t>inistry was a large traditional client. Counsel further argued that,</w:t>
      </w:r>
      <w:r w:rsidR="006428E3">
        <w:rPr>
          <w:rFonts w:ascii="Times New Roman" w:hAnsi="Times New Roman" w:cs="Times New Roman"/>
          <w:sz w:val="24"/>
          <w:szCs w:val="24"/>
        </w:rPr>
        <w:t xml:space="preserve"> </w:t>
      </w:r>
      <w:r w:rsidR="00FA0353">
        <w:rPr>
          <w:rFonts w:ascii="Times New Roman" w:hAnsi="Times New Roman" w:cs="Times New Roman"/>
          <w:sz w:val="24"/>
          <w:szCs w:val="24"/>
        </w:rPr>
        <w:t xml:space="preserve">in these circumstances he ought to have referred the business inquiry to the key account manager before facilitating the booking. He did not need to do so after he had facilitated the booking. His admitted conduct constituted a breach of the standing policy and met the full requirements of the charge. </w:t>
      </w:r>
    </w:p>
    <w:p w14:paraId="57B6DD6D" w14:textId="39066523" w:rsidR="00FA0353" w:rsidRDefault="00FA0353" w:rsidP="008563B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6428E3">
        <w:rPr>
          <w:rFonts w:ascii="Times New Roman" w:hAnsi="Times New Roman" w:cs="Times New Roman"/>
          <w:sz w:val="24"/>
          <w:szCs w:val="24"/>
        </w:rPr>
        <w:t>8</w:t>
      </w:r>
      <w:r>
        <w:rPr>
          <w:rFonts w:ascii="Times New Roman" w:hAnsi="Times New Roman" w:cs="Times New Roman"/>
          <w:sz w:val="24"/>
          <w:szCs w:val="24"/>
        </w:rPr>
        <w:t>]</w:t>
      </w:r>
      <w:r w:rsidR="006428E3">
        <w:rPr>
          <w:rFonts w:ascii="Times New Roman" w:hAnsi="Times New Roman" w:cs="Times New Roman"/>
          <w:sz w:val="24"/>
          <w:szCs w:val="24"/>
        </w:rPr>
        <w:tab/>
      </w:r>
      <w:r>
        <w:rPr>
          <w:rFonts w:ascii="Times New Roman" w:hAnsi="Times New Roman" w:cs="Times New Roman"/>
          <w:sz w:val="24"/>
          <w:szCs w:val="24"/>
        </w:rPr>
        <w:t xml:space="preserve">Mr </w:t>
      </w:r>
      <w:r w:rsidRPr="006428E3">
        <w:rPr>
          <w:rFonts w:ascii="Times New Roman" w:hAnsi="Times New Roman" w:cs="Times New Roman"/>
          <w:i/>
          <w:iCs/>
          <w:sz w:val="24"/>
          <w:szCs w:val="24"/>
        </w:rPr>
        <w:t>Banda</w:t>
      </w:r>
      <w:r>
        <w:rPr>
          <w:rFonts w:ascii="Times New Roman" w:hAnsi="Times New Roman" w:cs="Times New Roman"/>
          <w:sz w:val="24"/>
          <w:szCs w:val="24"/>
        </w:rPr>
        <w:t xml:space="preserve">, </w:t>
      </w:r>
      <w:r w:rsidR="006428E3">
        <w:rPr>
          <w:rFonts w:ascii="Times New Roman" w:hAnsi="Times New Roman" w:cs="Times New Roman"/>
          <w:sz w:val="24"/>
          <w:szCs w:val="24"/>
        </w:rPr>
        <w:t xml:space="preserve">also </w:t>
      </w:r>
      <w:r w:rsidR="00AB037E">
        <w:rPr>
          <w:rFonts w:ascii="Times New Roman" w:hAnsi="Times New Roman" w:cs="Times New Roman"/>
          <w:sz w:val="24"/>
          <w:szCs w:val="24"/>
        </w:rPr>
        <w:t>contended</w:t>
      </w:r>
      <w:r>
        <w:rPr>
          <w:rFonts w:ascii="Times New Roman" w:hAnsi="Times New Roman" w:cs="Times New Roman"/>
          <w:sz w:val="24"/>
          <w:szCs w:val="24"/>
        </w:rPr>
        <w:t xml:space="preserve"> that the charges based on the Feedmix and Ministry of Agricu</w:t>
      </w:r>
      <w:r w:rsidR="00AB037E">
        <w:rPr>
          <w:rFonts w:ascii="Times New Roman" w:hAnsi="Times New Roman" w:cs="Times New Roman"/>
          <w:sz w:val="24"/>
          <w:szCs w:val="24"/>
        </w:rPr>
        <w:t>lture factu</w:t>
      </w:r>
      <w:r w:rsidR="00EA52AE">
        <w:rPr>
          <w:rFonts w:ascii="Times New Roman" w:hAnsi="Times New Roman" w:cs="Times New Roman"/>
          <w:sz w:val="24"/>
          <w:szCs w:val="24"/>
        </w:rPr>
        <w:t xml:space="preserve">al conspectus were established.  </w:t>
      </w:r>
      <w:r w:rsidR="00AB037E">
        <w:rPr>
          <w:rFonts w:ascii="Times New Roman" w:hAnsi="Times New Roman" w:cs="Times New Roman"/>
          <w:sz w:val="24"/>
          <w:szCs w:val="24"/>
        </w:rPr>
        <w:t>He therefore submitted that the appellant could not successfully impugn his convi</w:t>
      </w:r>
      <w:r w:rsidR="00562A76">
        <w:rPr>
          <w:rFonts w:ascii="Times New Roman" w:hAnsi="Times New Roman" w:cs="Times New Roman"/>
          <w:sz w:val="24"/>
          <w:szCs w:val="24"/>
        </w:rPr>
        <w:t>c</w:t>
      </w:r>
      <w:r w:rsidR="00AB037E">
        <w:rPr>
          <w:rFonts w:ascii="Times New Roman" w:hAnsi="Times New Roman" w:cs="Times New Roman"/>
          <w:sz w:val="24"/>
          <w:szCs w:val="24"/>
        </w:rPr>
        <w:t>tions.</w:t>
      </w:r>
    </w:p>
    <w:p w14:paraId="318E9DCB" w14:textId="32C09400" w:rsidR="00C14C5F" w:rsidRDefault="009F0158" w:rsidP="008563B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[4</w:t>
      </w:r>
      <w:r w:rsidR="006428E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5D7768">
        <w:rPr>
          <w:rFonts w:ascii="Times New Roman" w:hAnsi="Times New Roman" w:cs="Times New Roman"/>
          <w:sz w:val="24"/>
          <w:szCs w:val="24"/>
        </w:rPr>
        <w:t xml:space="preserve">On penalty, </w:t>
      </w:r>
      <w:r w:rsidR="002F069F">
        <w:rPr>
          <w:rFonts w:ascii="Times New Roman" w:hAnsi="Times New Roman" w:cs="Times New Roman"/>
          <w:sz w:val="24"/>
          <w:szCs w:val="24"/>
        </w:rPr>
        <w:t>by reference to</w:t>
      </w:r>
      <w:r w:rsidR="006428E3">
        <w:rPr>
          <w:rFonts w:ascii="Times New Roman" w:hAnsi="Times New Roman" w:cs="Times New Roman"/>
          <w:sz w:val="24"/>
          <w:szCs w:val="24"/>
        </w:rPr>
        <w:t xml:space="preserve"> the </w:t>
      </w:r>
      <w:r w:rsidR="002F069F">
        <w:rPr>
          <w:rFonts w:ascii="Times New Roman" w:hAnsi="Times New Roman" w:cs="Times New Roman"/>
          <w:sz w:val="24"/>
          <w:szCs w:val="24"/>
        </w:rPr>
        <w:t>cases</w:t>
      </w:r>
      <w:r w:rsidR="006428E3">
        <w:rPr>
          <w:rFonts w:ascii="Times New Roman" w:hAnsi="Times New Roman" w:cs="Times New Roman"/>
          <w:sz w:val="24"/>
          <w:szCs w:val="24"/>
        </w:rPr>
        <w:t xml:space="preserve"> of</w:t>
      </w:r>
      <w:r w:rsidR="002F069F">
        <w:rPr>
          <w:rFonts w:ascii="Times New Roman" w:hAnsi="Times New Roman" w:cs="Times New Roman"/>
          <w:sz w:val="24"/>
          <w:szCs w:val="24"/>
        </w:rPr>
        <w:t xml:space="preserve"> </w:t>
      </w:r>
      <w:r w:rsidR="002F069F" w:rsidRPr="002F069F">
        <w:rPr>
          <w:rFonts w:ascii="Times New Roman" w:hAnsi="Times New Roman" w:cs="Times New Roman"/>
          <w:i/>
          <w:iCs/>
          <w:sz w:val="24"/>
          <w:szCs w:val="24"/>
        </w:rPr>
        <w:t xml:space="preserve">Toyota Zimbabwe (Pvt) Ltd </w:t>
      </w:r>
      <w:r w:rsidR="002F069F" w:rsidRPr="0012611E">
        <w:rPr>
          <w:rFonts w:ascii="Times New Roman" w:hAnsi="Times New Roman" w:cs="Times New Roman"/>
          <w:iCs/>
          <w:sz w:val="24"/>
          <w:szCs w:val="24"/>
        </w:rPr>
        <w:t>v</w:t>
      </w:r>
      <w:r w:rsidR="002F069F" w:rsidRPr="002F069F">
        <w:rPr>
          <w:rFonts w:ascii="Times New Roman" w:hAnsi="Times New Roman" w:cs="Times New Roman"/>
          <w:i/>
          <w:iCs/>
          <w:sz w:val="24"/>
          <w:szCs w:val="24"/>
        </w:rPr>
        <w:t xml:space="preserve"> Posi</w:t>
      </w:r>
      <w:r w:rsidR="002F069F">
        <w:rPr>
          <w:rFonts w:ascii="Times New Roman" w:hAnsi="Times New Roman" w:cs="Times New Roman"/>
          <w:sz w:val="24"/>
          <w:szCs w:val="24"/>
        </w:rPr>
        <w:t xml:space="preserve"> 2008 (1) ZLR 173 (S) and </w:t>
      </w:r>
      <w:proofErr w:type="spellStart"/>
      <w:r w:rsidR="002F069F" w:rsidRPr="002F069F">
        <w:rPr>
          <w:rFonts w:ascii="Times New Roman" w:hAnsi="Times New Roman" w:cs="Times New Roman"/>
          <w:i/>
          <w:iCs/>
          <w:sz w:val="24"/>
          <w:szCs w:val="24"/>
        </w:rPr>
        <w:t>Malimanji</w:t>
      </w:r>
      <w:proofErr w:type="spellEnd"/>
      <w:r w:rsidR="002F069F" w:rsidRPr="002F069F">
        <w:rPr>
          <w:rFonts w:ascii="Times New Roman" w:hAnsi="Times New Roman" w:cs="Times New Roman"/>
          <w:i/>
          <w:iCs/>
          <w:sz w:val="24"/>
          <w:szCs w:val="24"/>
        </w:rPr>
        <w:t xml:space="preserve"> </w:t>
      </w:r>
      <w:r w:rsidR="002F069F" w:rsidRPr="0012611E">
        <w:rPr>
          <w:rFonts w:ascii="Times New Roman" w:hAnsi="Times New Roman" w:cs="Times New Roman"/>
          <w:iCs/>
          <w:sz w:val="24"/>
          <w:szCs w:val="24"/>
        </w:rPr>
        <w:t>v</w:t>
      </w:r>
      <w:r w:rsidR="002F069F" w:rsidRPr="002F069F">
        <w:rPr>
          <w:rFonts w:ascii="Times New Roman" w:hAnsi="Times New Roman" w:cs="Times New Roman"/>
          <w:i/>
          <w:iCs/>
          <w:sz w:val="24"/>
          <w:szCs w:val="24"/>
        </w:rPr>
        <w:t xml:space="preserve"> CABS</w:t>
      </w:r>
      <w:r w:rsidR="002F069F">
        <w:rPr>
          <w:rFonts w:ascii="Times New Roman" w:hAnsi="Times New Roman" w:cs="Times New Roman"/>
          <w:sz w:val="24"/>
          <w:szCs w:val="24"/>
        </w:rPr>
        <w:t xml:space="preserve"> 2007 (</w:t>
      </w:r>
      <w:r w:rsidR="00D864B2">
        <w:rPr>
          <w:rFonts w:ascii="Times New Roman" w:hAnsi="Times New Roman" w:cs="Times New Roman"/>
          <w:sz w:val="24"/>
          <w:szCs w:val="24"/>
        </w:rPr>
        <w:t>2</w:t>
      </w:r>
      <w:r w:rsidR="002F069F">
        <w:rPr>
          <w:rFonts w:ascii="Times New Roman" w:hAnsi="Times New Roman" w:cs="Times New Roman"/>
          <w:sz w:val="24"/>
          <w:szCs w:val="24"/>
        </w:rPr>
        <w:t>) ZLR 77 (S)</w:t>
      </w:r>
      <w:r w:rsidR="00D864B2">
        <w:rPr>
          <w:rFonts w:ascii="Times New Roman" w:hAnsi="Times New Roman" w:cs="Times New Roman"/>
          <w:sz w:val="24"/>
          <w:szCs w:val="24"/>
        </w:rPr>
        <w:t xml:space="preserve"> at 80C</w:t>
      </w:r>
      <w:r w:rsidR="002F069F">
        <w:rPr>
          <w:rFonts w:ascii="Times New Roman" w:hAnsi="Times New Roman" w:cs="Times New Roman"/>
          <w:sz w:val="24"/>
          <w:szCs w:val="24"/>
        </w:rPr>
        <w:t xml:space="preserve">, </w:t>
      </w:r>
      <w:r w:rsidR="005D7768">
        <w:rPr>
          <w:rFonts w:ascii="Times New Roman" w:hAnsi="Times New Roman" w:cs="Times New Roman"/>
          <w:sz w:val="24"/>
          <w:szCs w:val="24"/>
        </w:rPr>
        <w:t xml:space="preserve">counsel submitted </w:t>
      </w:r>
      <w:r w:rsidR="00D864B2">
        <w:rPr>
          <w:rFonts w:ascii="Times New Roman" w:hAnsi="Times New Roman" w:cs="Times New Roman"/>
          <w:sz w:val="24"/>
          <w:szCs w:val="24"/>
        </w:rPr>
        <w:t>th</w:t>
      </w:r>
      <w:r w:rsidR="006428E3">
        <w:rPr>
          <w:rFonts w:ascii="Times New Roman" w:hAnsi="Times New Roman" w:cs="Times New Roman"/>
          <w:sz w:val="24"/>
          <w:szCs w:val="24"/>
        </w:rPr>
        <w:t>at th</w:t>
      </w:r>
      <w:r w:rsidR="00D864B2">
        <w:rPr>
          <w:rFonts w:ascii="Times New Roman" w:hAnsi="Times New Roman" w:cs="Times New Roman"/>
          <w:sz w:val="24"/>
          <w:szCs w:val="24"/>
        </w:rPr>
        <w:t xml:space="preserve">e court </w:t>
      </w:r>
      <w:r w:rsidR="00D864B2" w:rsidRPr="006428E3">
        <w:rPr>
          <w:rFonts w:ascii="Times New Roman" w:hAnsi="Times New Roman" w:cs="Times New Roman"/>
          <w:i/>
          <w:iCs/>
          <w:sz w:val="24"/>
          <w:szCs w:val="24"/>
        </w:rPr>
        <w:t>a quo</w:t>
      </w:r>
      <w:r w:rsidR="00D864B2">
        <w:rPr>
          <w:rFonts w:ascii="Times New Roman" w:hAnsi="Times New Roman" w:cs="Times New Roman"/>
          <w:sz w:val="24"/>
          <w:szCs w:val="24"/>
        </w:rPr>
        <w:t xml:space="preserve"> could not interfere with the sentencing discretion of the internal hearing officers in the absence of gross misdirection. </w:t>
      </w:r>
      <w:r w:rsidR="00197317">
        <w:rPr>
          <w:rFonts w:ascii="Times New Roman" w:hAnsi="Times New Roman" w:cs="Times New Roman"/>
          <w:sz w:val="24"/>
          <w:szCs w:val="24"/>
        </w:rPr>
        <w:t xml:space="preserve"> </w:t>
      </w:r>
      <w:r w:rsidR="00D864B2">
        <w:rPr>
          <w:rFonts w:ascii="Times New Roman" w:hAnsi="Times New Roman" w:cs="Times New Roman"/>
          <w:sz w:val="24"/>
          <w:szCs w:val="24"/>
        </w:rPr>
        <w:t>He a</w:t>
      </w:r>
      <w:r w:rsidR="00C14C5F">
        <w:rPr>
          <w:rFonts w:ascii="Times New Roman" w:hAnsi="Times New Roman" w:cs="Times New Roman"/>
          <w:sz w:val="24"/>
          <w:szCs w:val="24"/>
        </w:rPr>
        <w:t>lso a</w:t>
      </w:r>
      <w:r w:rsidR="00D864B2">
        <w:rPr>
          <w:rFonts w:ascii="Times New Roman" w:hAnsi="Times New Roman" w:cs="Times New Roman"/>
          <w:sz w:val="24"/>
          <w:szCs w:val="24"/>
        </w:rPr>
        <w:t xml:space="preserve">rgued that </w:t>
      </w:r>
      <w:r w:rsidR="00C14C5F">
        <w:rPr>
          <w:rFonts w:ascii="Times New Roman" w:hAnsi="Times New Roman" w:cs="Times New Roman"/>
          <w:sz w:val="24"/>
          <w:szCs w:val="24"/>
        </w:rPr>
        <w:t xml:space="preserve">the appellant failed to persuade the court </w:t>
      </w:r>
      <w:r w:rsidR="00C14C5F" w:rsidRPr="006428E3">
        <w:rPr>
          <w:rFonts w:ascii="Times New Roman" w:hAnsi="Times New Roman" w:cs="Times New Roman"/>
          <w:i/>
          <w:iCs/>
          <w:sz w:val="24"/>
          <w:szCs w:val="24"/>
        </w:rPr>
        <w:t>a quo</w:t>
      </w:r>
      <w:r w:rsidR="00C14C5F">
        <w:rPr>
          <w:rFonts w:ascii="Times New Roman" w:hAnsi="Times New Roman" w:cs="Times New Roman"/>
          <w:sz w:val="24"/>
          <w:szCs w:val="24"/>
        </w:rPr>
        <w:t xml:space="preserve"> that his infractions </w:t>
      </w:r>
      <w:r w:rsidR="005D7768">
        <w:rPr>
          <w:rFonts w:ascii="Times New Roman" w:hAnsi="Times New Roman" w:cs="Times New Roman"/>
          <w:sz w:val="24"/>
          <w:szCs w:val="24"/>
        </w:rPr>
        <w:t>were excusable, trivial or inadvertent</w:t>
      </w:r>
      <w:r w:rsidR="00C14C5F">
        <w:rPr>
          <w:rFonts w:ascii="Times New Roman" w:hAnsi="Times New Roman" w:cs="Times New Roman"/>
          <w:sz w:val="24"/>
          <w:szCs w:val="24"/>
        </w:rPr>
        <w:t xml:space="preserve"> and thus liable to a lesser penalty</w:t>
      </w:r>
      <w:r w:rsidR="005D7768">
        <w:rPr>
          <w:rFonts w:ascii="Times New Roman" w:hAnsi="Times New Roman" w:cs="Times New Roman"/>
          <w:sz w:val="24"/>
          <w:szCs w:val="24"/>
        </w:rPr>
        <w:t>.</w:t>
      </w:r>
      <w:r w:rsidR="00FF099F">
        <w:rPr>
          <w:rFonts w:ascii="Times New Roman" w:hAnsi="Times New Roman" w:cs="Times New Roman"/>
          <w:sz w:val="24"/>
          <w:szCs w:val="24"/>
        </w:rPr>
        <w:t xml:space="preserve"> </w:t>
      </w:r>
      <w:r w:rsidR="00C14C5F">
        <w:rPr>
          <w:rFonts w:ascii="Times New Roman" w:hAnsi="Times New Roman" w:cs="Times New Roman"/>
          <w:sz w:val="24"/>
          <w:szCs w:val="24"/>
        </w:rPr>
        <w:t xml:space="preserve">On the authority of </w:t>
      </w:r>
      <w:r w:rsidR="00C14C5F" w:rsidRPr="003B5728">
        <w:rPr>
          <w:rFonts w:ascii="Times New Roman" w:hAnsi="Times New Roman" w:cs="Times New Roman"/>
          <w:i/>
          <w:color w:val="231F20"/>
          <w:sz w:val="24"/>
          <w:szCs w:val="24"/>
        </w:rPr>
        <w:t xml:space="preserve">Barros &amp; Anor </w:t>
      </w:r>
      <w:r w:rsidR="00C14C5F" w:rsidRPr="005506D3">
        <w:rPr>
          <w:rFonts w:ascii="Times New Roman" w:hAnsi="Times New Roman" w:cs="Times New Roman"/>
          <w:color w:val="231F20"/>
          <w:sz w:val="24"/>
          <w:szCs w:val="24"/>
        </w:rPr>
        <w:t>v</w:t>
      </w:r>
      <w:r w:rsidR="00C14C5F" w:rsidRPr="003B5728">
        <w:rPr>
          <w:rFonts w:ascii="Times New Roman" w:hAnsi="Times New Roman" w:cs="Times New Roman"/>
          <w:i/>
          <w:color w:val="231F20"/>
          <w:sz w:val="24"/>
          <w:szCs w:val="24"/>
        </w:rPr>
        <w:t xml:space="preserve"> </w:t>
      </w:r>
      <w:proofErr w:type="spellStart"/>
      <w:r w:rsidR="00C14C5F" w:rsidRPr="003B5728">
        <w:rPr>
          <w:rFonts w:ascii="Times New Roman" w:hAnsi="Times New Roman" w:cs="Times New Roman"/>
          <w:i/>
          <w:color w:val="231F20"/>
          <w:sz w:val="24"/>
          <w:szCs w:val="24"/>
        </w:rPr>
        <w:t>Chimphonda</w:t>
      </w:r>
      <w:proofErr w:type="spellEnd"/>
      <w:r w:rsidR="00C14C5F" w:rsidRPr="003B5728">
        <w:rPr>
          <w:rFonts w:ascii="Times New Roman" w:hAnsi="Times New Roman" w:cs="Times New Roman"/>
          <w:color w:val="231F20"/>
          <w:sz w:val="24"/>
          <w:szCs w:val="24"/>
        </w:rPr>
        <w:t xml:space="preserve"> 1999 (1) ZLR 58 (S) at </w:t>
      </w:r>
      <w:r w:rsidR="00C14C5F">
        <w:rPr>
          <w:rFonts w:ascii="Times New Roman" w:hAnsi="Times New Roman" w:cs="Times New Roman"/>
          <w:color w:val="231F20"/>
          <w:sz w:val="24"/>
          <w:szCs w:val="24"/>
        </w:rPr>
        <w:t>62G-63A</w:t>
      </w:r>
      <w:r w:rsidR="006428E3">
        <w:rPr>
          <w:rFonts w:ascii="Times New Roman" w:hAnsi="Times New Roman" w:cs="Times New Roman"/>
          <w:color w:val="231F20"/>
          <w:sz w:val="24"/>
          <w:szCs w:val="24"/>
        </w:rPr>
        <w:t xml:space="preserve">, </w:t>
      </w:r>
      <w:r w:rsidR="00C14C5F">
        <w:rPr>
          <w:rFonts w:ascii="Times New Roman" w:hAnsi="Times New Roman" w:cs="Times New Roman"/>
          <w:sz w:val="24"/>
          <w:szCs w:val="24"/>
        </w:rPr>
        <w:t>counsel submitted that the requisite threshold</w:t>
      </w:r>
      <w:r w:rsidR="006428E3">
        <w:rPr>
          <w:rFonts w:ascii="Times New Roman" w:hAnsi="Times New Roman" w:cs="Times New Roman"/>
          <w:sz w:val="24"/>
          <w:szCs w:val="24"/>
        </w:rPr>
        <w:t xml:space="preserve"> for</w:t>
      </w:r>
      <w:r w:rsidR="00C14C5F">
        <w:rPr>
          <w:rFonts w:ascii="Times New Roman" w:hAnsi="Times New Roman" w:cs="Times New Roman"/>
          <w:sz w:val="24"/>
          <w:szCs w:val="24"/>
        </w:rPr>
        <w:t xml:space="preserve"> interference with the sentencing discretion of the court </w:t>
      </w:r>
      <w:r w:rsidR="00C14C5F" w:rsidRPr="00C14C5F">
        <w:rPr>
          <w:rFonts w:ascii="Times New Roman" w:hAnsi="Times New Roman" w:cs="Times New Roman"/>
          <w:i/>
          <w:iCs/>
          <w:sz w:val="24"/>
          <w:szCs w:val="24"/>
        </w:rPr>
        <w:t>a quo</w:t>
      </w:r>
      <w:r w:rsidR="00C14C5F">
        <w:rPr>
          <w:rFonts w:ascii="Times New Roman" w:hAnsi="Times New Roman" w:cs="Times New Roman"/>
          <w:sz w:val="24"/>
          <w:szCs w:val="24"/>
        </w:rPr>
        <w:t xml:space="preserve"> and the lower tribunals was not met. </w:t>
      </w:r>
    </w:p>
    <w:p w14:paraId="7F906FEC" w14:textId="271845D7" w:rsidR="00C14C5F" w:rsidRDefault="00C14C5F" w:rsidP="00C14C5F">
      <w:pPr>
        <w:jc w:val="both"/>
        <w:rPr>
          <w:rFonts w:ascii="Times New Roman" w:hAnsi="Times New Roman" w:cs="Times New Roman"/>
          <w:sz w:val="24"/>
          <w:szCs w:val="24"/>
        </w:rPr>
      </w:pPr>
      <w:r>
        <w:rPr>
          <w:rFonts w:ascii="Times New Roman" w:hAnsi="Times New Roman" w:cs="Times New Roman"/>
          <w:sz w:val="24"/>
          <w:szCs w:val="24"/>
        </w:rPr>
        <w:t>[</w:t>
      </w:r>
      <w:r w:rsidR="005513E3">
        <w:rPr>
          <w:rFonts w:ascii="Times New Roman" w:hAnsi="Times New Roman" w:cs="Times New Roman"/>
          <w:sz w:val="24"/>
          <w:szCs w:val="24"/>
        </w:rPr>
        <w:t>50</w:t>
      </w:r>
      <w:r w:rsidR="006B3470">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6428E3">
        <w:rPr>
          <w:rFonts w:ascii="Times New Roman" w:hAnsi="Times New Roman" w:cs="Times New Roman"/>
          <w:i/>
          <w:iCs/>
          <w:sz w:val="24"/>
          <w:szCs w:val="24"/>
        </w:rPr>
        <w:t>Banda</w:t>
      </w:r>
      <w:r>
        <w:rPr>
          <w:rFonts w:ascii="Times New Roman" w:hAnsi="Times New Roman" w:cs="Times New Roman"/>
          <w:sz w:val="24"/>
          <w:szCs w:val="24"/>
        </w:rPr>
        <w:t xml:space="preserve"> therefore prayed for the dismissal of the appeal.</w:t>
      </w:r>
    </w:p>
    <w:p w14:paraId="0D21BD12" w14:textId="77777777" w:rsidR="00574CA1" w:rsidRDefault="00574CA1" w:rsidP="00C14C5F">
      <w:pPr>
        <w:jc w:val="both"/>
        <w:rPr>
          <w:rFonts w:ascii="Times New Roman" w:hAnsi="Times New Roman" w:cs="Times New Roman"/>
          <w:sz w:val="24"/>
          <w:szCs w:val="24"/>
        </w:rPr>
      </w:pPr>
    </w:p>
    <w:p w14:paraId="0570043F" w14:textId="39E461F2" w:rsidR="00C14C5F" w:rsidRPr="00574CA1" w:rsidRDefault="00C14C5F" w:rsidP="00C14C5F">
      <w:pPr>
        <w:jc w:val="both"/>
        <w:rPr>
          <w:rFonts w:ascii="Times New Roman" w:hAnsi="Times New Roman" w:cs="Times New Roman"/>
          <w:b/>
          <w:bCs/>
          <w:sz w:val="24"/>
          <w:szCs w:val="24"/>
          <w:u w:val="single"/>
        </w:rPr>
      </w:pPr>
      <w:r w:rsidRPr="00574CA1">
        <w:rPr>
          <w:rFonts w:ascii="Times New Roman" w:hAnsi="Times New Roman" w:cs="Times New Roman"/>
          <w:b/>
          <w:bCs/>
          <w:sz w:val="24"/>
          <w:szCs w:val="24"/>
          <w:u w:val="single"/>
        </w:rPr>
        <w:t>THE ISSUE</w:t>
      </w:r>
      <w:r w:rsidR="006428E3" w:rsidRPr="00574CA1">
        <w:rPr>
          <w:rFonts w:ascii="Times New Roman" w:hAnsi="Times New Roman" w:cs="Times New Roman"/>
          <w:b/>
          <w:bCs/>
          <w:sz w:val="24"/>
          <w:szCs w:val="24"/>
          <w:u w:val="single"/>
        </w:rPr>
        <w:t>S</w:t>
      </w:r>
    </w:p>
    <w:p w14:paraId="0A3C7C7C" w14:textId="34B7EC8B" w:rsidR="00BE34EA" w:rsidRDefault="00C14C5F" w:rsidP="00EE2A4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513E3">
        <w:rPr>
          <w:rFonts w:ascii="Times New Roman" w:hAnsi="Times New Roman" w:cs="Times New Roman"/>
          <w:sz w:val="24"/>
          <w:szCs w:val="24"/>
        </w:rPr>
        <w:t>51</w:t>
      </w:r>
      <w:r>
        <w:rPr>
          <w:rFonts w:ascii="Times New Roman" w:hAnsi="Times New Roman" w:cs="Times New Roman"/>
          <w:sz w:val="24"/>
          <w:szCs w:val="24"/>
        </w:rPr>
        <w:t>]</w:t>
      </w:r>
      <w:r w:rsidR="00BE34EA">
        <w:rPr>
          <w:rFonts w:ascii="Times New Roman" w:hAnsi="Times New Roman" w:cs="Times New Roman"/>
          <w:sz w:val="24"/>
          <w:szCs w:val="24"/>
        </w:rPr>
        <w:t xml:space="preserve"> </w:t>
      </w:r>
      <w:r w:rsidR="006B3470">
        <w:rPr>
          <w:rFonts w:ascii="Times New Roman" w:hAnsi="Times New Roman" w:cs="Times New Roman"/>
          <w:sz w:val="24"/>
          <w:szCs w:val="24"/>
        </w:rPr>
        <w:t xml:space="preserve">   </w:t>
      </w:r>
      <w:r w:rsidR="00BE34EA">
        <w:rPr>
          <w:rFonts w:ascii="Times New Roman" w:hAnsi="Times New Roman" w:cs="Times New Roman"/>
          <w:sz w:val="24"/>
          <w:szCs w:val="24"/>
        </w:rPr>
        <w:t>The issues that arise from the grounds of appeal and submissions before this Court are the following</w:t>
      </w:r>
      <w:r w:rsidR="00A33225">
        <w:rPr>
          <w:rFonts w:ascii="Times New Roman" w:hAnsi="Times New Roman" w:cs="Times New Roman"/>
          <w:sz w:val="24"/>
          <w:szCs w:val="24"/>
        </w:rPr>
        <w:t>:</w:t>
      </w:r>
    </w:p>
    <w:p w14:paraId="4ECD9E8C" w14:textId="4A177684" w:rsidR="008F788C" w:rsidRDefault="00BE34EA" w:rsidP="00EE2A42">
      <w:pPr>
        <w:ind w:left="993" w:hanging="273"/>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or not the </w:t>
      </w:r>
      <w:r w:rsidR="008F788C">
        <w:rPr>
          <w:rFonts w:ascii="Times New Roman" w:hAnsi="Times New Roman" w:cs="Times New Roman"/>
          <w:sz w:val="24"/>
          <w:szCs w:val="24"/>
        </w:rPr>
        <w:t xml:space="preserve">court </w:t>
      </w:r>
      <w:r w:rsidR="008F788C" w:rsidRPr="008F788C">
        <w:rPr>
          <w:rFonts w:ascii="Times New Roman" w:hAnsi="Times New Roman" w:cs="Times New Roman"/>
          <w:i/>
          <w:iCs/>
          <w:sz w:val="24"/>
          <w:szCs w:val="24"/>
        </w:rPr>
        <w:t>a quo</w:t>
      </w:r>
      <w:r w:rsidR="008F788C">
        <w:rPr>
          <w:rFonts w:ascii="Times New Roman" w:hAnsi="Times New Roman" w:cs="Times New Roman"/>
          <w:sz w:val="24"/>
          <w:szCs w:val="24"/>
        </w:rPr>
        <w:t xml:space="preserve"> dealt with all the issues before it.</w:t>
      </w:r>
    </w:p>
    <w:p w14:paraId="3834139A" w14:textId="6FB33C26" w:rsidR="00BE34EA" w:rsidRDefault="008F788C" w:rsidP="00EE2A42">
      <w:pPr>
        <w:ind w:left="993" w:hanging="27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Whether or not the </w:t>
      </w:r>
      <w:r w:rsidR="00BE34EA">
        <w:rPr>
          <w:rFonts w:ascii="Times New Roman" w:hAnsi="Times New Roman" w:cs="Times New Roman"/>
          <w:sz w:val="24"/>
          <w:szCs w:val="24"/>
        </w:rPr>
        <w:t>appellant was guilty of conduct inconsistent with his contract of employment</w:t>
      </w:r>
      <w:r>
        <w:rPr>
          <w:rFonts w:ascii="Times New Roman" w:hAnsi="Times New Roman" w:cs="Times New Roman"/>
          <w:sz w:val="24"/>
          <w:szCs w:val="24"/>
        </w:rPr>
        <w:t>.</w:t>
      </w:r>
    </w:p>
    <w:p w14:paraId="0DBC9791" w14:textId="56EAC6CA" w:rsidR="00574CA1" w:rsidRDefault="00815D20" w:rsidP="0043771C">
      <w:pPr>
        <w:ind w:left="993" w:hanging="273"/>
        <w:jc w:val="both"/>
        <w:rPr>
          <w:rFonts w:ascii="Times New Roman" w:hAnsi="Times New Roman" w:cs="Times New Roman"/>
          <w:sz w:val="24"/>
          <w:szCs w:val="24"/>
        </w:rPr>
      </w:pPr>
      <w:r>
        <w:rPr>
          <w:rFonts w:ascii="Times New Roman" w:hAnsi="Times New Roman" w:cs="Times New Roman"/>
          <w:sz w:val="24"/>
          <w:szCs w:val="24"/>
        </w:rPr>
        <w:t>3.</w:t>
      </w:r>
      <w:r w:rsidR="00BE34EA">
        <w:rPr>
          <w:rFonts w:ascii="Times New Roman" w:hAnsi="Times New Roman" w:cs="Times New Roman"/>
          <w:sz w:val="24"/>
          <w:szCs w:val="24"/>
        </w:rPr>
        <w:tab/>
        <w:t xml:space="preserve">Whether the court </w:t>
      </w:r>
      <w:r w:rsidR="00BE34EA" w:rsidRPr="00BE34EA">
        <w:rPr>
          <w:rFonts w:ascii="Times New Roman" w:hAnsi="Times New Roman" w:cs="Times New Roman"/>
          <w:i/>
          <w:iCs/>
          <w:sz w:val="24"/>
          <w:szCs w:val="24"/>
        </w:rPr>
        <w:t>a quo</w:t>
      </w:r>
      <w:r w:rsidR="00BE34EA">
        <w:rPr>
          <w:rFonts w:ascii="Times New Roman" w:hAnsi="Times New Roman" w:cs="Times New Roman"/>
          <w:sz w:val="24"/>
          <w:szCs w:val="24"/>
        </w:rPr>
        <w:t xml:space="preserve"> was correct in upholding the penalty of dismissal.</w:t>
      </w:r>
    </w:p>
    <w:p w14:paraId="03391384" w14:textId="295F63A0" w:rsidR="00C14C5F" w:rsidRPr="00574CA1" w:rsidRDefault="00C14C5F" w:rsidP="00C14C5F">
      <w:pPr>
        <w:jc w:val="both"/>
        <w:rPr>
          <w:rFonts w:ascii="Times New Roman" w:hAnsi="Times New Roman" w:cs="Times New Roman"/>
          <w:b/>
          <w:bCs/>
          <w:sz w:val="24"/>
          <w:szCs w:val="24"/>
          <w:u w:val="single"/>
        </w:rPr>
      </w:pPr>
      <w:r w:rsidRPr="00574CA1">
        <w:rPr>
          <w:rFonts w:ascii="Times New Roman" w:hAnsi="Times New Roman" w:cs="Times New Roman"/>
          <w:b/>
          <w:bCs/>
          <w:sz w:val="24"/>
          <w:szCs w:val="24"/>
          <w:u w:val="single"/>
        </w:rPr>
        <w:lastRenderedPageBreak/>
        <w:t>ANALYSIS</w:t>
      </w:r>
    </w:p>
    <w:p w14:paraId="6C2645FD" w14:textId="09A465F3" w:rsidR="00815D20" w:rsidRPr="00815D20" w:rsidRDefault="00815D20" w:rsidP="00815D20">
      <w:pPr>
        <w:jc w:val="both"/>
        <w:rPr>
          <w:rFonts w:ascii="Times New Roman" w:hAnsi="Times New Roman" w:cs="Times New Roman"/>
          <w:b/>
          <w:bCs/>
          <w:sz w:val="24"/>
          <w:szCs w:val="24"/>
        </w:rPr>
      </w:pPr>
      <w:r w:rsidRPr="00815D20">
        <w:rPr>
          <w:rFonts w:ascii="Times New Roman" w:hAnsi="Times New Roman" w:cs="Times New Roman"/>
          <w:b/>
          <w:bCs/>
          <w:sz w:val="24"/>
          <w:szCs w:val="24"/>
        </w:rPr>
        <w:t xml:space="preserve">Whether or not the court </w:t>
      </w:r>
      <w:r w:rsidRPr="00815D20">
        <w:rPr>
          <w:rFonts w:ascii="Times New Roman" w:hAnsi="Times New Roman" w:cs="Times New Roman"/>
          <w:b/>
          <w:bCs/>
          <w:i/>
          <w:iCs/>
          <w:sz w:val="24"/>
          <w:szCs w:val="24"/>
        </w:rPr>
        <w:t>a quo</w:t>
      </w:r>
      <w:r w:rsidRPr="00815D20">
        <w:rPr>
          <w:rFonts w:ascii="Times New Roman" w:hAnsi="Times New Roman" w:cs="Times New Roman"/>
          <w:b/>
          <w:bCs/>
          <w:sz w:val="24"/>
          <w:szCs w:val="24"/>
        </w:rPr>
        <w:t xml:space="preserve"> dealt with all the issues before it.</w:t>
      </w:r>
    </w:p>
    <w:p w14:paraId="611B3AB5" w14:textId="20C68798" w:rsidR="00650720" w:rsidRDefault="006F100A" w:rsidP="006B3470">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5513E3">
        <w:rPr>
          <w:rFonts w:ascii="Times New Roman" w:hAnsi="Times New Roman" w:cs="Times New Roman"/>
          <w:sz w:val="24"/>
          <w:szCs w:val="24"/>
        </w:rPr>
        <w:t>52</w:t>
      </w:r>
      <w:r>
        <w:rPr>
          <w:rFonts w:ascii="Times New Roman" w:hAnsi="Times New Roman" w:cs="Times New Roman"/>
          <w:sz w:val="24"/>
          <w:szCs w:val="24"/>
        </w:rPr>
        <w:t>]</w:t>
      </w:r>
      <w:r>
        <w:rPr>
          <w:rFonts w:ascii="Times New Roman" w:hAnsi="Times New Roman" w:cs="Times New Roman"/>
          <w:sz w:val="24"/>
          <w:szCs w:val="24"/>
        </w:rPr>
        <w:tab/>
      </w:r>
      <w:r w:rsidR="007A66D1">
        <w:rPr>
          <w:rFonts w:ascii="Times New Roman" w:hAnsi="Times New Roman" w:cs="Times New Roman"/>
          <w:sz w:val="24"/>
          <w:szCs w:val="24"/>
        </w:rPr>
        <w:t xml:space="preserve">The first ground of appeal impugns the alleged failure by the court </w:t>
      </w:r>
      <w:r w:rsidR="007A66D1" w:rsidRPr="007A66D1">
        <w:rPr>
          <w:rFonts w:ascii="Times New Roman" w:hAnsi="Times New Roman" w:cs="Times New Roman"/>
          <w:i/>
          <w:iCs/>
          <w:sz w:val="24"/>
          <w:szCs w:val="24"/>
        </w:rPr>
        <w:t>a quo</w:t>
      </w:r>
      <w:r w:rsidR="007A66D1">
        <w:rPr>
          <w:rFonts w:ascii="Times New Roman" w:hAnsi="Times New Roman" w:cs="Times New Roman"/>
          <w:sz w:val="24"/>
          <w:szCs w:val="24"/>
        </w:rPr>
        <w:t xml:space="preserve"> to relate to grounds 1.2 and 1.5 in the notice of appeal before it. </w:t>
      </w:r>
      <w:r w:rsidR="00197317">
        <w:rPr>
          <w:rFonts w:ascii="Times New Roman" w:hAnsi="Times New Roman" w:cs="Times New Roman"/>
          <w:sz w:val="24"/>
          <w:szCs w:val="24"/>
        </w:rPr>
        <w:t xml:space="preserve"> </w:t>
      </w:r>
      <w:r w:rsidR="00F660A6">
        <w:rPr>
          <w:rFonts w:ascii="Times New Roman" w:hAnsi="Times New Roman" w:cs="Times New Roman"/>
          <w:sz w:val="24"/>
          <w:szCs w:val="24"/>
        </w:rPr>
        <w:t xml:space="preserve">The first concerns the failure to advert to the reason advanced by the appellant for the non-completion of the Feedmix booking. </w:t>
      </w:r>
      <w:r w:rsidR="00197317">
        <w:rPr>
          <w:rFonts w:ascii="Times New Roman" w:hAnsi="Times New Roman" w:cs="Times New Roman"/>
          <w:sz w:val="24"/>
          <w:szCs w:val="24"/>
        </w:rPr>
        <w:t xml:space="preserve"> </w:t>
      </w:r>
      <w:r w:rsidR="00F660A6">
        <w:rPr>
          <w:rFonts w:ascii="Times New Roman" w:hAnsi="Times New Roman" w:cs="Times New Roman"/>
          <w:sz w:val="24"/>
          <w:szCs w:val="24"/>
        </w:rPr>
        <w:t xml:space="preserve">The second relates to the emails attached to the appellant’s initial response on 28 April 2023, to the investigations of the legacy debt. </w:t>
      </w:r>
      <w:r w:rsidR="00197317">
        <w:rPr>
          <w:rFonts w:ascii="Times New Roman" w:hAnsi="Times New Roman" w:cs="Times New Roman"/>
          <w:sz w:val="24"/>
          <w:szCs w:val="24"/>
        </w:rPr>
        <w:t xml:space="preserve"> </w:t>
      </w:r>
      <w:r w:rsidR="00650720">
        <w:rPr>
          <w:rFonts w:ascii="Times New Roman" w:hAnsi="Times New Roman" w:cs="Times New Roman"/>
          <w:sz w:val="24"/>
          <w:szCs w:val="24"/>
        </w:rPr>
        <w:t xml:space="preserve">The court </w:t>
      </w:r>
      <w:r w:rsidR="00650720" w:rsidRPr="008F788C">
        <w:rPr>
          <w:rFonts w:ascii="Times New Roman" w:hAnsi="Times New Roman" w:cs="Times New Roman"/>
          <w:i/>
          <w:iCs/>
          <w:sz w:val="24"/>
          <w:szCs w:val="24"/>
        </w:rPr>
        <w:t>a quo</w:t>
      </w:r>
      <w:r w:rsidR="00650720">
        <w:rPr>
          <w:rFonts w:ascii="Times New Roman" w:hAnsi="Times New Roman" w:cs="Times New Roman"/>
          <w:sz w:val="24"/>
          <w:szCs w:val="24"/>
        </w:rPr>
        <w:t xml:space="preserve"> found that </w:t>
      </w:r>
      <w:r w:rsidR="005513E3">
        <w:rPr>
          <w:rFonts w:ascii="Times New Roman" w:hAnsi="Times New Roman" w:cs="Times New Roman"/>
          <w:sz w:val="24"/>
          <w:szCs w:val="24"/>
        </w:rPr>
        <w:t xml:space="preserve">the </w:t>
      </w:r>
      <w:r w:rsidR="00650720">
        <w:rPr>
          <w:rFonts w:ascii="Times New Roman" w:hAnsi="Times New Roman" w:cs="Times New Roman"/>
          <w:sz w:val="24"/>
          <w:szCs w:val="24"/>
        </w:rPr>
        <w:t xml:space="preserve">charge </w:t>
      </w:r>
      <w:r w:rsidR="00AA5A03">
        <w:rPr>
          <w:rFonts w:ascii="Times New Roman" w:hAnsi="Times New Roman" w:cs="Times New Roman"/>
          <w:sz w:val="24"/>
          <w:szCs w:val="24"/>
        </w:rPr>
        <w:t xml:space="preserve">in </w:t>
      </w:r>
      <w:r w:rsidR="00650720">
        <w:rPr>
          <w:rFonts w:ascii="Times New Roman" w:hAnsi="Times New Roman" w:cs="Times New Roman"/>
          <w:sz w:val="24"/>
          <w:szCs w:val="24"/>
        </w:rPr>
        <w:t>respect of the failure to complete the Feedmix booking was on the evidence proved and that</w:t>
      </w:r>
      <w:r w:rsidR="005513E3">
        <w:rPr>
          <w:rFonts w:ascii="Times New Roman" w:hAnsi="Times New Roman" w:cs="Times New Roman"/>
          <w:sz w:val="24"/>
          <w:szCs w:val="24"/>
        </w:rPr>
        <w:t xml:space="preserve"> the appellant’s</w:t>
      </w:r>
      <w:r w:rsidR="00650720">
        <w:rPr>
          <w:rFonts w:ascii="Times New Roman" w:hAnsi="Times New Roman" w:cs="Times New Roman"/>
          <w:sz w:val="24"/>
          <w:szCs w:val="24"/>
        </w:rPr>
        <w:t xml:space="preserve"> objections about the details of the charge were baseless. </w:t>
      </w:r>
    </w:p>
    <w:p w14:paraId="20924724" w14:textId="03FBC18A" w:rsidR="00E17AE4" w:rsidRDefault="006F100A" w:rsidP="00A91114">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5513E3">
        <w:rPr>
          <w:rFonts w:ascii="Times New Roman" w:hAnsi="Times New Roman" w:cs="Times New Roman"/>
          <w:sz w:val="24"/>
          <w:szCs w:val="24"/>
        </w:rPr>
        <w:t>53</w:t>
      </w:r>
      <w:r>
        <w:rPr>
          <w:rFonts w:ascii="Times New Roman" w:hAnsi="Times New Roman" w:cs="Times New Roman"/>
          <w:sz w:val="24"/>
          <w:szCs w:val="24"/>
        </w:rPr>
        <w:t>]</w:t>
      </w:r>
      <w:r>
        <w:rPr>
          <w:rFonts w:ascii="Times New Roman" w:hAnsi="Times New Roman" w:cs="Times New Roman"/>
          <w:sz w:val="24"/>
          <w:szCs w:val="24"/>
        </w:rPr>
        <w:tab/>
      </w:r>
      <w:r w:rsidR="00E17AE4">
        <w:rPr>
          <w:rFonts w:ascii="Times New Roman" w:hAnsi="Times New Roman" w:cs="Times New Roman"/>
          <w:sz w:val="24"/>
          <w:szCs w:val="24"/>
        </w:rPr>
        <w:t xml:space="preserve">In dealing with the contention on </w:t>
      </w:r>
      <w:r w:rsidR="005513E3">
        <w:rPr>
          <w:rFonts w:ascii="Times New Roman" w:hAnsi="Times New Roman" w:cs="Times New Roman"/>
          <w:sz w:val="24"/>
          <w:szCs w:val="24"/>
        </w:rPr>
        <w:t xml:space="preserve">the purported </w:t>
      </w:r>
      <w:r w:rsidR="00E17AE4">
        <w:rPr>
          <w:rFonts w:ascii="Times New Roman" w:hAnsi="Times New Roman" w:cs="Times New Roman"/>
          <w:sz w:val="24"/>
          <w:szCs w:val="24"/>
        </w:rPr>
        <w:t>factual misalign</w:t>
      </w:r>
      <w:r w:rsidR="005513E3">
        <w:rPr>
          <w:rFonts w:ascii="Times New Roman" w:hAnsi="Times New Roman" w:cs="Times New Roman"/>
          <w:sz w:val="24"/>
          <w:szCs w:val="24"/>
        </w:rPr>
        <w:t>ment covered in</w:t>
      </w:r>
      <w:r w:rsidR="00E17AE4">
        <w:rPr>
          <w:rFonts w:ascii="Times New Roman" w:hAnsi="Times New Roman" w:cs="Times New Roman"/>
          <w:sz w:val="24"/>
          <w:szCs w:val="24"/>
        </w:rPr>
        <w:t xml:space="preserve"> ground 1.2, </w:t>
      </w:r>
      <w:r w:rsidR="0030103B">
        <w:rPr>
          <w:rFonts w:ascii="Times New Roman" w:hAnsi="Times New Roman" w:cs="Times New Roman"/>
          <w:sz w:val="24"/>
          <w:szCs w:val="24"/>
        </w:rPr>
        <w:t xml:space="preserve">the court </w:t>
      </w:r>
      <w:r w:rsidR="0030103B" w:rsidRPr="0030103B">
        <w:rPr>
          <w:rFonts w:ascii="Times New Roman" w:hAnsi="Times New Roman" w:cs="Times New Roman"/>
          <w:i/>
          <w:iCs/>
          <w:sz w:val="24"/>
          <w:szCs w:val="24"/>
        </w:rPr>
        <w:t>a quo</w:t>
      </w:r>
      <w:r w:rsidR="0030103B">
        <w:rPr>
          <w:rFonts w:ascii="Times New Roman" w:hAnsi="Times New Roman" w:cs="Times New Roman"/>
          <w:sz w:val="24"/>
          <w:szCs w:val="24"/>
        </w:rPr>
        <w:t xml:space="preserve"> juxtaposed </w:t>
      </w:r>
      <w:proofErr w:type="spellStart"/>
      <w:r w:rsidR="0030103B">
        <w:rPr>
          <w:rFonts w:ascii="Times New Roman" w:hAnsi="Times New Roman" w:cs="Times New Roman"/>
          <w:sz w:val="24"/>
          <w:szCs w:val="24"/>
        </w:rPr>
        <w:t>Feedmi</w:t>
      </w:r>
      <w:r w:rsidR="005513E3">
        <w:rPr>
          <w:rFonts w:ascii="Times New Roman" w:hAnsi="Times New Roman" w:cs="Times New Roman"/>
          <w:sz w:val="24"/>
          <w:szCs w:val="24"/>
        </w:rPr>
        <w:t>x’s</w:t>
      </w:r>
      <w:proofErr w:type="spellEnd"/>
      <w:r w:rsidR="0030103B">
        <w:rPr>
          <w:rFonts w:ascii="Times New Roman" w:hAnsi="Times New Roman" w:cs="Times New Roman"/>
          <w:sz w:val="24"/>
          <w:szCs w:val="24"/>
        </w:rPr>
        <w:t xml:space="preserve"> complaint </w:t>
      </w:r>
      <w:r>
        <w:rPr>
          <w:rFonts w:ascii="Times New Roman" w:hAnsi="Times New Roman" w:cs="Times New Roman"/>
          <w:sz w:val="24"/>
          <w:szCs w:val="24"/>
        </w:rPr>
        <w:t xml:space="preserve">in respect of the expired tax clearance certificate </w:t>
      </w:r>
      <w:r w:rsidR="0030103B">
        <w:rPr>
          <w:rFonts w:ascii="Times New Roman" w:hAnsi="Times New Roman" w:cs="Times New Roman"/>
          <w:sz w:val="24"/>
          <w:szCs w:val="24"/>
        </w:rPr>
        <w:t>against the appellant’s admission and made the following finding.</w:t>
      </w:r>
    </w:p>
    <w:p w14:paraId="093D44AA" w14:textId="77777777" w:rsidR="006F100A" w:rsidRDefault="00E17AE4" w:rsidP="007F420C">
      <w:pPr>
        <w:spacing w:after="0"/>
        <w:ind w:left="1418"/>
        <w:jc w:val="both"/>
        <w:rPr>
          <w:rFonts w:ascii="Times New Roman" w:hAnsi="Times New Roman" w:cs="Times New Roman"/>
          <w:sz w:val="24"/>
          <w:szCs w:val="24"/>
        </w:rPr>
      </w:pPr>
      <w:r>
        <w:rPr>
          <w:rFonts w:ascii="Times New Roman" w:hAnsi="Times New Roman" w:cs="Times New Roman"/>
          <w:sz w:val="24"/>
          <w:szCs w:val="24"/>
        </w:rPr>
        <w:t xml:space="preserve">“The details which emerged from the hearing spoke to the same charge involving the same customer Feedmix. Appellant’s conduct in serving the customer was found inconsistent with the terms of his employment contract. Appellant acknowledged the disservice in the hearing </w:t>
      </w:r>
      <w:r w:rsidR="00BD792F">
        <w:rPr>
          <w:rFonts w:ascii="Times New Roman" w:hAnsi="Times New Roman" w:cs="Times New Roman"/>
          <w:sz w:val="24"/>
          <w:szCs w:val="24"/>
        </w:rPr>
        <w:t>[of sending an expired tax clearance certificate to the client].</w:t>
      </w:r>
    </w:p>
    <w:p w14:paraId="7C0DADDD" w14:textId="77777777" w:rsidR="00995A5A" w:rsidRDefault="00995A5A" w:rsidP="00197317">
      <w:pPr>
        <w:spacing w:after="0"/>
        <w:ind w:left="1440"/>
        <w:jc w:val="both"/>
        <w:rPr>
          <w:rFonts w:ascii="Times New Roman" w:hAnsi="Times New Roman" w:cs="Times New Roman"/>
          <w:sz w:val="24"/>
          <w:szCs w:val="24"/>
        </w:rPr>
      </w:pPr>
    </w:p>
    <w:p w14:paraId="02608723" w14:textId="513CC627" w:rsidR="00E17AE4" w:rsidRDefault="006F100A" w:rsidP="007F420C">
      <w:pPr>
        <w:ind w:left="1418"/>
        <w:jc w:val="both"/>
        <w:rPr>
          <w:rFonts w:ascii="Times New Roman" w:hAnsi="Times New Roman" w:cs="Times New Roman"/>
          <w:sz w:val="24"/>
          <w:szCs w:val="24"/>
        </w:rPr>
      </w:pPr>
      <w:r>
        <w:rPr>
          <w:rFonts w:ascii="Times New Roman" w:hAnsi="Times New Roman" w:cs="Times New Roman"/>
          <w:sz w:val="24"/>
          <w:szCs w:val="24"/>
        </w:rPr>
        <w:t xml:space="preserve">This Court is satisfied that the charge was failure to complete a booking </w:t>
      </w:r>
      <w:r w:rsidR="006B3470">
        <w:rPr>
          <w:rFonts w:ascii="Times New Roman" w:hAnsi="Times New Roman" w:cs="Times New Roman"/>
          <w:sz w:val="24"/>
          <w:szCs w:val="24"/>
        </w:rPr>
        <w:t>which was</w:t>
      </w:r>
      <w:r>
        <w:rPr>
          <w:rFonts w:ascii="Times New Roman" w:hAnsi="Times New Roman" w:cs="Times New Roman"/>
          <w:sz w:val="24"/>
          <w:szCs w:val="24"/>
        </w:rPr>
        <w:t xml:space="preserve"> proved on the evidence provided. The quibble about details of the charge is baseless.</w:t>
      </w:r>
      <w:r w:rsidR="00BD792F">
        <w:rPr>
          <w:rFonts w:ascii="Times New Roman" w:hAnsi="Times New Roman" w:cs="Times New Roman"/>
          <w:sz w:val="24"/>
          <w:szCs w:val="24"/>
        </w:rPr>
        <w:t>”</w:t>
      </w:r>
    </w:p>
    <w:p w14:paraId="3450644A" w14:textId="329A88C2" w:rsidR="00E17AE4" w:rsidRDefault="00E17AE4" w:rsidP="006F100A">
      <w:pPr>
        <w:jc w:val="both"/>
        <w:rPr>
          <w:rFonts w:ascii="Times New Roman" w:hAnsi="Times New Roman" w:cs="Times New Roman"/>
          <w:sz w:val="24"/>
          <w:szCs w:val="24"/>
        </w:rPr>
      </w:pPr>
    </w:p>
    <w:p w14:paraId="4BF48068" w14:textId="075F6382" w:rsidR="00E17AE4" w:rsidRDefault="006F100A" w:rsidP="00070E7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5513E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position is that the charge concerned the appellant’s failure to abide by the conditions of his employment. </w:t>
      </w:r>
      <w:r w:rsidR="00686D65">
        <w:rPr>
          <w:rFonts w:ascii="Times New Roman" w:hAnsi="Times New Roman" w:cs="Times New Roman"/>
          <w:sz w:val="24"/>
          <w:szCs w:val="24"/>
        </w:rPr>
        <w:t xml:space="preserve"> </w:t>
      </w:r>
      <w:r>
        <w:rPr>
          <w:rFonts w:ascii="Times New Roman" w:hAnsi="Times New Roman" w:cs="Times New Roman"/>
          <w:sz w:val="24"/>
          <w:szCs w:val="24"/>
        </w:rPr>
        <w:t xml:space="preserve">The facts which informed the Feedmix charge were </w:t>
      </w:r>
      <w:r w:rsidR="00B12520">
        <w:rPr>
          <w:rFonts w:ascii="Times New Roman" w:hAnsi="Times New Roman" w:cs="Times New Roman"/>
          <w:sz w:val="24"/>
          <w:szCs w:val="24"/>
        </w:rPr>
        <w:t xml:space="preserve">the common cause facts that, firstly, the appellant did not complete the booking process initiated by Feedmix. </w:t>
      </w:r>
      <w:r w:rsidR="00686D65">
        <w:rPr>
          <w:rFonts w:ascii="Times New Roman" w:hAnsi="Times New Roman" w:cs="Times New Roman"/>
          <w:sz w:val="24"/>
          <w:szCs w:val="24"/>
        </w:rPr>
        <w:t xml:space="preserve"> </w:t>
      </w:r>
      <w:r w:rsidR="00B12520">
        <w:rPr>
          <w:rFonts w:ascii="Times New Roman" w:hAnsi="Times New Roman" w:cs="Times New Roman"/>
          <w:sz w:val="24"/>
          <w:szCs w:val="24"/>
        </w:rPr>
        <w:t xml:space="preserve">Secondly, he did not submit any proof of payment to the virtual partner, which would have obliged the virtual partner to reserve accommodation for Feedmix personnel. </w:t>
      </w:r>
      <w:r w:rsidR="00686D65">
        <w:rPr>
          <w:rFonts w:ascii="Times New Roman" w:hAnsi="Times New Roman" w:cs="Times New Roman"/>
          <w:sz w:val="24"/>
          <w:szCs w:val="24"/>
        </w:rPr>
        <w:t xml:space="preserve"> </w:t>
      </w:r>
      <w:r w:rsidR="00B12520">
        <w:rPr>
          <w:rFonts w:ascii="Times New Roman" w:hAnsi="Times New Roman" w:cs="Times New Roman"/>
          <w:sz w:val="24"/>
          <w:szCs w:val="24"/>
        </w:rPr>
        <w:t xml:space="preserve">Thirdly, he could not complete the booking because he submitted the wrong tax clearance certificate to Feedmix. </w:t>
      </w:r>
      <w:r w:rsidR="00686D65">
        <w:rPr>
          <w:rFonts w:ascii="Times New Roman" w:hAnsi="Times New Roman" w:cs="Times New Roman"/>
          <w:sz w:val="24"/>
          <w:szCs w:val="24"/>
        </w:rPr>
        <w:t xml:space="preserve"> </w:t>
      </w:r>
      <w:r w:rsidR="00B12520">
        <w:rPr>
          <w:rFonts w:ascii="Times New Roman" w:hAnsi="Times New Roman" w:cs="Times New Roman"/>
          <w:sz w:val="24"/>
          <w:szCs w:val="24"/>
        </w:rPr>
        <w:t xml:space="preserve">Fourthly, the provision of the wrong tax certificate disabled </w:t>
      </w:r>
      <w:r w:rsidR="00B12520">
        <w:rPr>
          <w:rFonts w:ascii="Times New Roman" w:hAnsi="Times New Roman" w:cs="Times New Roman"/>
          <w:sz w:val="24"/>
          <w:szCs w:val="24"/>
        </w:rPr>
        <w:lastRenderedPageBreak/>
        <w:t xml:space="preserve">Feedmix from making payment.  Fifthly, the appellant </w:t>
      </w:r>
      <w:r w:rsidR="00B7084A">
        <w:rPr>
          <w:rFonts w:ascii="Times New Roman" w:hAnsi="Times New Roman" w:cs="Times New Roman"/>
          <w:sz w:val="24"/>
          <w:szCs w:val="24"/>
        </w:rPr>
        <w:t xml:space="preserve">did not </w:t>
      </w:r>
      <w:r w:rsidR="00B12520">
        <w:rPr>
          <w:rFonts w:ascii="Times New Roman" w:hAnsi="Times New Roman" w:cs="Times New Roman"/>
          <w:sz w:val="24"/>
          <w:szCs w:val="24"/>
        </w:rPr>
        <w:t>hand over the Feedmix booking to his immediate head or any of his associates</w:t>
      </w:r>
      <w:r w:rsidR="00B7084A">
        <w:rPr>
          <w:rFonts w:ascii="Times New Roman" w:hAnsi="Times New Roman" w:cs="Times New Roman"/>
          <w:sz w:val="24"/>
          <w:szCs w:val="24"/>
        </w:rPr>
        <w:t>,</w:t>
      </w:r>
      <w:r w:rsidR="00B12520">
        <w:rPr>
          <w:rFonts w:ascii="Times New Roman" w:hAnsi="Times New Roman" w:cs="Times New Roman"/>
          <w:sz w:val="24"/>
          <w:szCs w:val="24"/>
        </w:rPr>
        <w:t xml:space="preserve"> as he was required to do by the terms of his contract</w:t>
      </w:r>
      <w:r w:rsidR="00B7084A">
        <w:rPr>
          <w:rFonts w:ascii="Times New Roman" w:hAnsi="Times New Roman" w:cs="Times New Roman"/>
          <w:sz w:val="24"/>
          <w:szCs w:val="24"/>
        </w:rPr>
        <w:t>,</w:t>
      </w:r>
      <w:r w:rsidR="00B12520">
        <w:rPr>
          <w:rFonts w:ascii="Times New Roman" w:hAnsi="Times New Roman" w:cs="Times New Roman"/>
          <w:sz w:val="24"/>
          <w:szCs w:val="24"/>
        </w:rPr>
        <w:t xml:space="preserve"> before he took emergency medical leave</w:t>
      </w:r>
      <w:r w:rsidR="00B7084A">
        <w:rPr>
          <w:rFonts w:ascii="Times New Roman" w:hAnsi="Times New Roman" w:cs="Times New Roman"/>
          <w:sz w:val="24"/>
          <w:szCs w:val="24"/>
        </w:rPr>
        <w:t>. Lastly, had he handed over and not clung to the booking</w:t>
      </w:r>
      <w:r w:rsidR="00B12520">
        <w:rPr>
          <w:rFonts w:ascii="Times New Roman" w:hAnsi="Times New Roman" w:cs="Times New Roman"/>
          <w:sz w:val="24"/>
          <w:szCs w:val="24"/>
        </w:rPr>
        <w:t xml:space="preserve">, the </w:t>
      </w:r>
      <w:r w:rsidR="00B7084A">
        <w:rPr>
          <w:rFonts w:ascii="Times New Roman" w:hAnsi="Times New Roman" w:cs="Times New Roman"/>
          <w:sz w:val="24"/>
          <w:szCs w:val="24"/>
        </w:rPr>
        <w:t xml:space="preserve">tax clearance fiasco would have been averted by a fresh mind and the booking would have been completed. </w:t>
      </w:r>
      <w:r w:rsidR="00FB18A4">
        <w:rPr>
          <w:rFonts w:ascii="Times New Roman" w:hAnsi="Times New Roman" w:cs="Times New Roman"/>
          <w:sz w:val="24"/>
          <w:szCs w:val="24"/>
        </w:rPr>
        <w:t xml:space="preserve"> </w:t>
      </w:r>
    </w:p>
    <w:p w14:paraId="7B1339CF" w14:textId="2E87E570" w:rsidR="00FC2C37" w:rsidRDefault="00070E71" w:rsidP="00070E71">
      <w:pPr>
        <w:spacing w:line="480" w:lineRule="auto"/>
        <w:ind w:left="54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B7084A">
        <w:rPr>
          <w:rFonts w:ascii="Times New Roman" w:hAnsi="Times New Roman" w:cs="Times New Roman"/>
          <w:sz w:val="24"/>
          <w:szCs w:val="24"/>
        </w:rPr>
        <w:t>[5</w:t>
      </w:r>
      <w:r w:rsidR="005513E3">
        <w:rPr>
          <w:rFonts w:ascii="Times New Roman" w:hAnsi="Times New Roman" w:cs="Times New Roman"/>
          <w:sz w:val="24"/>
          <w:szCs w:val="24"/>
        </w:rPr>
        <w:t>5</w:t>
      </w:r>
      <w:r w:rsidR="00B7084A">
        <w:rPr>
          <w:rFonts w:ascii="Times New Roman" w:hAnsi="Times New Roman" w:cs="Times New Roman"/>
          <w:sz w:val="24"/>
          <w:szCs w:val="24"/>
        </w:rPr>
        <w:t>]</w:t>
      </w:r>
      <w:r w:rsidR="00B7084A">
        <w:rPr>
          <w:rFonts w:ascii="Times New Roman" w:hAnsi="Times New Roman" w:cs="Times New Roman"/>
          <w:sz w:val="24"/>
          <w:szCs w:val="24"/>
        </w:rPr>
        <w:tab/>
        <w:t>These int</w:t>
      </w:r>
      <w:r w:rsidR="00686D65">
        <w:rPr>
          <w:rFonts w:ascii="Times New Roman" w:hAnsi="Times New Roman" w:cs="Times New Roman"/>
          <w:sz w:val="24"/>
          <w:szCs w:val="24"/>
        </w:rPr>
        <w:t xml:space="preserve">ertwined facts were all proved.  </w:t>
      </w:r>
      <w:r w:rsidR="00B7084A">
        <w:rPr>
          <w:rFonts w:ascii="Times New Roman" w:hAnsi="Times New Roman" w:cs="Times New Roman"/>
          <w:sz w:val="24"/>
          <w:szCs w:val="24"/>
        </w:rPr>
        <w:t xml:space="preserve">They all constituted the Feedmix charge. </w:t>
      </w:r>
      <w:r w:rsidR="00686D65">
        <w:rPr>
          <w:rFonts w:ascii="Times New Roman" w:hAnsi="Times New Roman" w:cs="Times New Roman"/>
          <w:sz w:val="24"/>
          <w:szCs w:val="24"/>
        </w:rPr>
        <w:t xml:space="preserve"> </w:t>
      </w:r>
      <w:r w:rsidR="00B7084A">
        <w:rPr>
          <w:rFonts w:ascii="Times New Roman" w:hAnsi="Times New Roman" w:cs="Times New Roman"/>
          <w:sz w:val="24"/>
          <w:szCs w:val="24"/>
        </w:rPr>
        <w:t xml:space="preserve">It was therefore remiss of the appellant to attempt to delink the incomplete booking from the failure to handover the booking. </w:t>
      </w:r>
      <w:r w:rsidR="00686D65">
        <w:rPr>
          <w:rFonts w:ascii="Times New Roman" w:hAnsi="Times New Roman" w:cs="Times New Roman"/>
          <w:sz w:val="24"/>
          <w:szCs w:val="24"/>
        </w:rPr>
        <w:t xml:space="preserve"> </w:t>
      </w:r>
      <w:r w:rsidR="00B7084A">
        <w:rPr>
          <w:rFonts w:ascii="Times New Roman" w:hAnsi="Times New Roman" w:cs="Times New Roman"/>
          <w:sz w:val="24"/>
          <w:szCs w:val="24"/>
        </w:rPr>
        <w:t>The c</w:t>
      </w:r>
      <w:r w:rsidR="00FC2C37">
        <w:rPr>
          <w:rFonts w:ascii="Times New Roman" w:hAnsi="Times New Roman" w:cs="Times New Roman"/>
          <w:sz w:val="24"/>
          <w:szCs w:val="24"/>
        </w:rPr>
        <w:t xml:space="preserve">ourt </w:t>
      </w:r>
      <w:r w:rsidR="00FC2C37" w:rsidRPr="00FC2C37">
        <w:rPr>
          <w:rFonts w:ascii="Times New Roman" w:hAnsi="Times New Roman" w:cs="Times New Roman"/>
          <w:i/>
          <w:iCs/>
          <w:sz w:val="24"/>
          <w:szCs w:val="24"/>
        </w:rPr>
        <w:t>a quo</w:t>
      </w:r>
      <w:r w:rsidR="00FC2C37">
        <w:rPr>
          <w:rFonts w:ascii="Times New Roman" w:hAnsi="Times New Roman" w:cs="Times New Roman"/>
          <w:sz w:val="24"/>
          <w:szCs w:val="24"/>
        </w:rPr>
        <w:t xml:space="preserve"> thus related to ground 1.2. </w:t>
      </w:r>
      <w:r w:rsidR="00686D65">
        <w:rPr>
          <w:rFonts w:ascii="Times New Roman" w:hAnsi="Times New Roman" w:cs="Times New Roman"/>
          <w:sz w:val="24"/>
          <w:szCs w:val="24"/>
        </w:rPr>
        <w:t xml:space="preserve"> </w:t>
      </w:r>
      <w:r w:rsidR="00FC2C37">
        <w:rPr>
          <w:rFonts w:ascii="Times New Roman" w:hAnsi="Times New Roman" w:cs="Times New Roman"/>
          <w:sz w:val="24"/>
          <w:szCs w:val="24"/>
        </w:rPr>
        <w:t xml:space="preserve">In doing so it essentially made the correct observation that the appellant was missing </w:t>
      </w:r>
      <w:r w:rsidR="005513E3">
        <w:rPr>
          <w:rFonts w:ascii="Times New Roman" w:hAnsi="Times New Roman" w:cs="Times New Roman"/>
          <w:sz w:val="24"/>
          <w:szCs w:val="24"/>
        </w:rPr>
        <w:t xml:space="preserve">the </w:t>
      </w:r>
      <w:r w:rsidR="00FC2C37">
        <w:rPr>
          <w:rFonts w:ascii="Times New Roman" w:hAnsi="Times New Roman" w:cs="Times New Roman"/>
          <w:sz w:val="24"/>
          <w:szCs w:val="24"/>
        </w:rPr>
        <w:t xml:space="preserve">forest for the trees by quibbling over small details. </w:t>
      </w:r>
      <w:r w:rsidR="00686D65">
        <w:rPr>
          <w:rFonts w:ascii="Times New Roman" w:hAnsi="Times New Roman" w:cs="Times New Roman"/>
          <w:sz w:val="24"/>
          <w:szCs w:val="24"/>
        </w:rPr>
        <w:t xml:space="preserve"> </w:t>
      </w:r>
      <w:r w:rsidR="00FC2C37">
        <w:rPr>
          <w:rFonts w:ascii="Times New Roman" w:hAnsi="Times New Roman" w:cs="Times New Roman"/>
          <w:sz w:val="24"/>
          <w:szCs w:val="24"/>
        </w:rPr>
        <w:t xml:space="preserve">Put differently, the court </w:t>
      </w:r>
      <w:r w:rsidR="00FC2C37" w:rsidRPr="00FC2C37">
        <w:rPr>
          <w:rFonts w:ascii="Times New Roman" w:hAnsi="Times New Roman" w:cs="Times New Roman"/>
          <w:i/>
          <w:iCs/>
          <w:sz w:val="24"/>
          <w:szCs w:val="24"/>
        </w:rPr>
        <w:t>a quo</w:t>
      </w:r>
      <w:r w:rsidR="00FC2C37">
        <w:rPr>
          <w:rFonts w:ascii="Times New Roman" w:hAnsi="Times New Roman" w:cs="Times New Roman"/>
          <w:sz w:val="24"/>
          <w:szCs w:val="24"/>
        </w:rPr>
        <w:t xml:space="preserve"> correctly found that the charge of failing to complete the Feedmix booking had been proved by the evidence led before the DHO. </w:t>
      </w:r>
    </w:p>
    <w:p w14:paraId="5A06E1B4" w14:textId="1F777EB0" w:rsidR="009A3218" w:rsidRDefault="00FC2C37" w:rsidP="00032DAF">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5513E3">
        <w:rPr>
          <w:rFonts w:ascii="Times New Roman" w:hAnsi="Times New Roman" w:cs="Times New Roman"/>
          <w:sz w:val="24"/>
          <w:szCs w:val="24"/>
        </w:rPr>
        <w:t>6</w:t>
      </w:r>
      <w:r>
        <w:rPr>
          <w:rFonts w:ascii="Times New Roman" w:hAnsi="Times New Roman" w:cs="Times New Roman"/>
          <w:sz w:val="24"/>
          <w:szCs w:val="24"/>
        </w:rPr>
        <w:t>]</w:t>
      </w:r>
      <w:r w:rsidR="005513E3">
        <w:rPr>
          <w:rFonts w:ascii="Times New Roman" w:hAnsi="Times New Roman" w:cs="Times New Roman"/>
          <w:sz w:val="24"/>
          <w:szCs w:val="24"/>
        </w:rPr>
        <w:tab/>
      </w:r>
      <w:r w:rsidR="00525580">
        <w:rPr>
          <w:rFonts w:ascii="Times New Roman" w:hAnsi="Times New Roman" w:cs="Times New Roman"/>
          <w:sz w:val="24"/>
          <w:szCs w:val="24"/>
        </w:rPr>
        <w:t xml:space="preserve">It is correct that the court </w:t>
      </w:r>
      <w:r w:rsidR="00525580" w:rsidRPr="00003A09">
        <w:rPr>
          <w:rFonts w:ascii="Times New Roman" w:hAnsi="Times New Roman" w:cs="Times New Roman"/>
          <w:i/>
          <w:iCs/>
          <w:sz w:val="24"/>
          <w:szCs w:val="24"/>
        </w:rPr>
        <w:t>a quo</w:t>
      </w:r>
      <w:r w:rsidR="00525580">
        <w:rPr>
          <w:rFonts w:ascii="Times New Roman" w:hAnsi="Times New Roman" w:cs="Times New Roman"/>
          <w:sz w:val="24"/>
          <w:szCs w:val="24"/>
        </w:rPr>
        <w:t xml:space="preserve"> did not deal with ground 1.5 in its judgment</w:t>
      </w:r>
      <w:r w:rsidR="00003A09">
        <w:rPr>
          <w:rFonts w:ascii="Times New Roman" w:hAnsi="Times New Roman" w:cs="Times New Roman"/>
          <w:sz w:val="24"/>
          <w:szCs w:val="24"/>
        </w:rPr>
        <w:t>.</w:t>
      </w:r>
      <w:r>
        <w:rPr>
          <w:rFonts w:ascii="Times New Roman" w:hAnsi="Times New Roman" w:cs="Times New Roman"/>
          <w:sz w:val="24"/>
          <w:szCs w:val="24"/>
        </w:rPr>
        <w:t xml:space="preserve"> </w:t>
      </w:r>
      <w:r w:rsidR="00686D65">
        <w:rPr>
          <w:rFonts w:ascii="Times New Roman" w:hAnsi="Times New Roman" w:cs="Times New Roman"/>
          <w:sz w:val="24"/>
          <w:szCs w:val="24"/>
        </w:rPr>
        <w:t xml:space="preserve"> </w:t>
      </w:r>
      <w:r w:rsidR="00003A09">
        <w:rPr>
          <w:rFonts w:ascii="Times New Roman" w:hAnsi="Times New Roman" w:cs="Times New Roman"/>
          <w:sz w:val="24"/>
          <w:szCs w:val="24"/>
        </w:rPr>
        <w:t>It is also correct that it is a misdirection for a court to fail to advert to all issues before it</w:t>
      </w:r>
      <w:r w:rsidR="00795758">
        <w:rPr>
          <w:rFonts w:ascii="Times New Roman" w:hAnsi="Times New Roman" w:cs="Times New Roman"/>
          <w:sz w:val="24"/>
          <w:szCs w:val="24"/>
        </w:rPr>
        <w:t xml:space="preserve"> unless the issues so determined </w:t>
      </w:r>
      <w:r w:rsidR="0078034D">
        <w:rPr>
          <w:rFonts w:ascii="Times New Roman" w:hAnsi="Times New Roman" w:cs="Times New Roman"/>
          <w:sz w:val="24"/>
          <w:szCs w:val="24"/>
        </w:rPr>
        <w:t xml:space="preserve">are dispositive of the case. </w:t>
      </w:r>
      <w:r w:rsidR="00686D65">
        <w:rPr>
          <w:rFonts w:ascii="Times New Roman" w:hAnsi="Times New Roman" w:cs="Times New Roman"/>
          <w:sz w:val="24"/>
          <w:szCs w:val="24"/>
        </w:rPr>
        <w:t xml:space="preserve"> </w:t>
      </w:r>
      <w:r w:rsidR="00003A09">
        <w:rPr>
          <w:rFonts w:ascii="Times New Roman" w:hAnsi="Times New Roman" w:cs="Times New Roman"/>
          <w:sz w:val="24"/>
          <w:szCs w:val="24"/>
        </w:rPr>
        <w:t xml:space="preserve">See </w:t>
      </w:r>
      <w:r w:rsidR="0078034D" w:rsidRPr="0078034D">
        <w:rPr>
          <w:rFonts w:ascii="Times New Roman" w:hAnsi="Times New Roman" w:cs="Times New Roman"/>
          <w:i/>
          <w:sz w:val="24"/>
          <w:szCs w:val="24"/>
        </w:rPr>
        <w:t xml:space="preserve">Gwaradzimba NO </w:t>
      </w:r>
      <w:r w:rsidR="0078034D" w:rsidRPr="00686D65">
        <w:rPr>
          <w:rFonts w:ascii="Times New Roman" w:hAnsi="Times New Roman" w:cs="Times New Roman"/>
          <w:sz w:val="24"/>
          <w:szCs w:val="24"/>
        </w:rPr>
        <w:t>v</w:t>
      </w:r>
      <w:r w:rsidR="0078034D" w:rsidRPr="0078034D">
        <w:rPr>
          <w:rFonts w:ascii="Times New Roman" w:hAnsi="Times New Roman" w:cs="Times New Roman"/>
          <w:i/>
          <w:sz w:val="24"/>
          <w:szCs w:val="24"/>
        </w:rPr>
        <w:t xml:space="preserve"> CJ Petrow &amp; Co (Pty) Ltd</w:t>
      </w:r>
      <w:r w:rsidR="0078034D" w:rsidRPr="0078034D">
        <w:rPr>
          <w:rFonts w:ascii="Times New Roman" w:hAnsi="Times New Roman" w:cs="Times New Roman"/>
          <w:sz w:val="24"/>
          <w:szCs w:val="24"/>
        </w:rPr>
        <w:t xml:space="preserve"> </w:t>
      </w:r>
      <w:r w:rsidR="00613D1E" w:rsidRPr="00613D1E">
        <w:rPr>
          <w:rFonts w:ascii="Times New Roman" w:hAnsi="Times New Roman" w:cs="Times New Roman"/>
          <w:sz w:val="24"/>
          <w:szCs w:val="24"/>
        </w:rPr>
        <w:t>2016 (1) ZLR 28 (S)</w:t>
      </w:r>
      <w:r w:rsidR="00613D1E">
        <w:t xml:space="preserve"> at</w:t>
      </w:r>
      <w:r w:rsidR="0078034D" w:rsidRPr="0078034D">
        <w:rPr>
          <w:rFonts w:ascii="Times New Roman" w:hAnsi="Times New Roman" w:cs="Times New Roman"/>
          <w:sz w:val="24"/>
          <w:szCs w:val="24"/>
        </w:rPr>
        <w:t xml:space="preserve"> para [23]-[24]</w:t>
      </w:r>
      <w:r w:rsidR="00613D1E">
        <w:rPr>
          <w:rFonts w:ascii="Times New Roman" w:hAnsi="Times New Roman" w:cs="Times New Roman"/>
          <w:sz w:val="24"/>
          <w:szCs w:val="24"/>
        </w:rPr>
        <w:t xml:space="preserve">, </w:t>
      </w:r>
      <w:r w:rsidR="00613D1E" w:rsidRPr="00003BE7">
        <w:rPr>
          <w:rFonts w:ascii="Times New Roman" w:hAnsi="Times New Roman" w:cs="Times New Roman"/>
          <w:i/>
          <w:sz w:val="24"/>
          <w:szCs w:val="24"/>
        </w:rPr>
        <w:t xml:space="preserve">PG Industries (Zimbabwe) Ltd </w:t>
      </w:r>
      <w:r w:rsidR="00613D1E" w:rsidRPr="00686D65">
        <w:rPr>
          <w:rFonts w:ascii="Times New Roman" w:hAnsi="Times New Roman" w:cs="Times New Roman"/>
          <w:sz w:val="24"/>
          <w:szCs w:val="24"/>
        </w:rPr>
        <w:t xml:space="preserve">v </w:t>
      </w:r>
      <w:proofErr w:type="spellStart"/>
      <w:r w:rsidR="00613D1E" w:rsidRPr="00003BE7">
        <w:rPr>
          <w:rFonts w:ascii="Times New Roman" w:hAnsi="Times New Roman" w:cs="Times New Roman"/>
          <w:i/>
          <w:sz w:val="24"/>
          <w:szCs w:val="24"/>
        </w:rPr>
        <w:t>Bvekerwa</w:t>
      </w:r>
      <w:proofErr w:type="spellEnd"/>
      <w:r w:rsidR="00613D1E" w:rsidRPr="00003BE7">
        <w:rPr>
          <w:rFonts w:ascii="Times New Roman" w:hAnsi="Times New Roman" w:cs="Times New Roman"/>
          <w:i/>
          <w:sz w:val="24"/>
          <w:szCs w:val="24"/>
        </w:rPr>
        <w:t xml:space="preserve"> &amp; </w:t>
      </w:r>
      <w:proofErr w:type="spellStart"/>
      <w:r w:rsidR="00613D1E" w:rsidRPr="00003BE7">
        <w:rPr>
          <w:rFonts w:ascii="Times New Roman" w:hAnsi="Times New Roman" w:cs="Times New Roman"/>
          <w:i/>
          <w:sz w:val="24"/>
          <w:szCs w:val="24"/>
        </w:rPr>
        <w:t>Ors</w:t>
      </w:r>
      <w:proofErr w:type="spellEnd"/>
      <w:r w:rsidR="00613D1E" w:rsidRPr="00003BE7">
        <w:rPr>
          <w:rFonts w:ascii="Times New Roman" w:hAnsi="Times New Roman" w:cs="Times New Roman"/>
          <w:sz w:val="24"/>
          <w:szCs w:val="24"/>
        </w:rPr>
        <w:t xml:space="preserve"> 2016 (2) ZLR 14 (S) at 18H</w:t>
      </w:r>
      <w:r w:rsidR="00613D1E">
        <w:rPr>
          <w:rFonts w:ascii="Times New Roman" w:hAnsi="Times New Roman" w:cs="Times New Roman"/>
          <w:sz w:val="24"/>
          <w:szCs w:val="24"/>
        </w:rPr>
        <w:t xml:space="preserve"> and </w:t>
      </w:r>
      <w:r w:rsidR="00613D1E" w:rsidRPr="0030354C">
        <w:rPr>
          <w:rFonts w:ascii="Times New Roman" w:hAnsi="Times New Roman" w:cs="Times New Roman"/>
          <w:i/>
          <w:iCs/>
          <w:sz w:val="24"/>
          <w:szCs w:val="24"/>
        </w:rPr>
        <w:t xml:space="preserve">Nzara &amp; </w:t>
      </w:r>
      <w:proofErr w:type="spellStart"/>
      <w:r w:rsidR="00613D1E" w:rsidRPr="0030354C">
        <w:rPr>
          <w:rFonts w:ascii="Times New Roman" w:hAnsi="Times New Roman" w:cs="Times New Roman"/>
          <w:i/>
          <w:iCs/>
          <w:sz w:val="24"/>
          <w:szCs w:val="24"/>
        </w:rPr>
        <w:t>Ors</w:t>
      </w:r>
      <w:proofErr w:type="spellEnd"/>
      <w:r w:rsidR="00613D1E" w:rsidRPr="0030354C">
        <w:rPr>
          <w:rFonts w:ascii="Times New Roman" w:hAnsi="Times New Roman" w:cs="Times New Roman"/>
          <w:i/>
          <w:iCs/>
          <w:sz w:val="24"/>
          <w:szCs w:val="24"/>
        </w:rPr>
        <w:t xml:space="preserve"> </w:t>
      </w:r>
      <w:r w:rsidR="00613D1E" w:rsidRPr="00686D65">
        <w:rPr>
          <w:rFonts w:ascii="Times New Roman" w:hAnsi="Times New Roman" w:cs="Times New Roman"/>
          <w:iCs/>
          <w:sz w:val="24"/>
          <w:szCs w:val="24"/>
        </w:rPr>
        <w:t>v</w:t>
      </w:r>
      <w:r w:rsidR="00613D1E" w:rsidRPr="0030354C">
        <w:rPr>
          <w:rFonts w:ascii="Times New Roman" w:hAnsi="Times New Roman" w:cs="Times New Roman"/>
          <w:i/>
          <w:iCs/>
          <w:sz w:val="24"/>
          <w:szCs w:val="24"/>
        </w:rPr>
        <w:t xml:space="preserve"> </w:t>
      </w:r>
      <w:proofErr w:type="spellStart"/>
      <w:r w:rsidR="00613D1E" w:rsidRPr="0030354C">
        <w:rPr>
          <w:rFonts w:ascii="Times New Roman" w:hAnsi="Times New Roman" w:cs="Times New Roman"/>
          <w:i/>
          <w:iCs/>
          <w:sz w:val="24"/>
          <w:szCs w:val="24"/>
        </w:rPr>
        <w:t>Kashumba</w:t>
      </w:r>
      <w:proofErr w:type="spellEnd"/>
      <w:r w:rsidR="00613D1E" w:rsidRPr="0030354C">
        <w:rPr>
          <w:rFonts w:ascii="Times New Roman" w:hAnsi="Times New Roman" w:cs="Times New Roman"/>
          <w:i/>
          <w:iCs/>
          <w:sz w:val="24"/>
          <w:szCs w:val="24"/>
        </w:rPr>
        <w:t xml:space="preserve"> &amp; </w:t>
      </w:r>
      <w:proofErr w:type="spellStart"/>
      <w:r w:rsidR="00613D1E" w:rsidRPr="0030354C">
        <w:rPr>
          <w:rFonts w:ascii="Times New Roman" w:hAnsi="Times New Roman" w:cs="Times New Roman"/>
          <w:i/>
          <w:iCs/>
          <w:sz w:val="24"/>
          <w:szCs w:val="24"/>
        </w:rPr>
        <w:t>Ors</w:t>
      </w:r>
      <w:proofErr w:type="spellEnd"/>
      <w:r w:rsidR="00613D1E" w:rsidRPr="0030354C">
        <w:rPr>
          <w:rFonts w:ascii="Times New Roman" w:hAnsi="Times New Roman" w:cs="Times New Roman"/>
          <w:sz w:val="24"/>
          <w:szCs w:val="24"/>
        </w:rPr>
        <w:t xml:space="preserve"> 2018 (1) ZLR 194 (S</w:t>
      </w:r>
      <w:r w:rsidR="0078034D">
        <w:rPr>
          <w:rFonts w:ascii="Times New Roman" w:hAnsi="Times New Roman" w:cs="Times New Roman"/>
          <w:sz w:val="24"/>
          <w:szCs w:val="24"/>
        </w:rPr>
        <w:t>.</w:t>
      </w:r>
      <w:r w:rsidR="00613D1E">
        <w:rPr>
          <w:rFonts w:ascii="Times New Roman" w:hAnsi="Times New Roman" w:cs="Times New Roman"/>
          <w:sz w:val="24"/>
          <w:szCs w:val="24"/>
        </w:rPr>
        <w:t>)</w:t>
      </w:r>
      <w:r w:rsidR="0078034D">
        <w:rPr>
          <w:rFonts w:ascii="Times New Roman" w:hAnsi="Times New Roman" w:cs="Times New Roman"/>
          <w:sz w:val="24"/>
          <w:szCs w:val="24"/>
        </w:rPr>
        <w:t xml:space="preserve"> </w:t>
      </w:r>
      <w:r w:rsidR="00686D65">
        <w:rPr>
          <w:rFonts w:ascii="Times New Roman" w:hAnsi="Times New Roman" w:cs="Times New Roman"/>
          <w:sz w:val="24"/>
          <w:szCs w:val="24"/>
        </w:rPr>
        <w:t xml:space="preserve"> </w:t>
      </w:r>
      <w:r w:rsidR="00FB18A4">
        <w:rPr>
          <w:rFonts w:ascii="Times New Roman" w:hAnsi="Times New Roman" w:cs="Times New Roman"/>
          <w:sz w:val="24"/>
          <w:szCs w:val="24"/>
        </w:rPr>
        <w:t xml:space="preserve">The failure by the court </w:t>
      </w:r>
      <w:r w:rsidR="00FB18A4" w:rsidRPr="009A3218">
        <w:rPr>
          <w:rFonts w:ascii="Times New Roman" w:hAnsi="Times New Roman" w:cs="Times New Roman"/>
          <w:i/>
          <w:iCs/>
          <w:sz w:val="24"/>
          <w:szCs w:val="24"/>
        </w:rPr>
        <w:t>a quo</w:t>
      </w:r>
      <w:r w:rsidR="00FB18A4">
        <w:rPr>
          <w:rFonts w:ascii="Times New Roman" w:hAnsi="Times New Roman" w:cs="Times New Roman"/>
          <w:sz w:val="24"/>
          <w:szCs w:val="24"/>
        </w:rPr>
        <w:t xml:space="preserve">, </w:t>
      </w:r>
      <w:r w:rsidR="009A3218">
        <w:rPr>
          <w:rFonts w:ascii="Times New Roman" w:hAnsi="Times New Roman" w:cs="Times New Roman"/>
          <w:sz w:val="24"/>
          <w:szCs w:val="24"/>
        </w:rPr>
        <w:t xml:space="preserve">to deal with ground 1.5 is not prejudicial to the appellant. </w:t>
      </w:r>
      <w:r w:rsidR="008A253B">
        <w:rPr>
          <w:rFonts w:ascii="Times New Roman" w:hAnsi="Times New Roman" w:cs="Times New Roman"/>
          <w:sz w:val="24"/>
          <w:szCs w:val="24"/>
        </w:rPr>
        <w:t xml:space="preserve">See </w:t>
      </w:r>
      <w:r w:rsidR="008A253B" w:rsidRPr="00014D43">
        <w:rPr>
          <w:rFonts w:ascii="Times New Roman" w:hAnsi="Times New Roman" w:cs="Times New Roman"/>
          <w:i/>
          <w:iCs/>
          <w:sz w:val="24"/>
          <w:szCs w:val="24"/>
        </w:rPr>
        <w:t xml:space="preserve">Chidembo </w:t>
      </w:r>
      <w:r w:rsidR="008A253B" w:rsidRPr="00C4581A">
        <w:rPr>
          <w:rFonts w:ascii="Times New Roman" w:hAnsi="Times New Roman" w:cs="Times New Roman"/>
          <w:iCs/>
          <w:sz w:val="24"/>
          <w:szCs w:val="24"/>
        </w:rPr>
        <w:t>v</w:t>
      </w:r>
      <w:r w:rsidR="008A253B" w:rsidRPr="00014D43">
        <w:rPr>
          <w:rFonts w:ascii="Times New Roman" w:hAnsi="Times New Roman" w:cs="Times New Roman"/>
          <w:i/>
          <w:iCs/>
          <w:sz w:val="24"/>
          <w:szCs w:val="24"/>
        </w:rPr>
        <w:t xml:space="preserve"> Bindura Nickel </w:t>
      </w:r>
      <w:r w:rsidR="00014D43" w:rsidRPr="00014D43">
        <w:rPr>
          <w:rFonts w:ascii="Times New Roman" w:hAnsi="Times New Roman" w:cs="Times New Roman"/>
          <w:i/>
          <w:iCs/>
          <w:sz w:val="24"/>
          <w:szCs w:val="24"/>
        </w:rPr>
        <w:t>Corporation</w:t>
      </w:r>
      <w:r w:rsidR="008A253B" w:rsidRPr="00014D43">
        <w:rPr>
          <w:rFonts w:ascii="Times New Roman" w:hAnsi="Times New Roman" w:cs="Times New Roman"/>
          <w:i/>
          <w:iCs/>
          <w:sz w:val="24"/>
          <w:szCs w:val="24"/>
        </w:rPr>
        <w:t xml:space="preserve"> Ltd</w:t>
      </w:r>
      <w:r w:rsidR="008A253B">
        <w:rPr>
          <w:rFonts w:ascii="Times New Roman" w:hAnsi="Times New Roman" w:cs="Times New Roman"/>
          <w:sz w:val="24"/>
          <w:szCs w:val="24"/>
        </w:rPr>
        <w:t xml:space="preserve"> </w:t>
      </w:r>
      <w:r w:rsidR="00F826EE">
        <w:rPr>
          <w:rFonts w:ascii="Times New Roman" w:hAnsi="Times New Roman" w:cs="Times New Roman"/>
          <w:sz w:val="24"/>
          <w:szCs w:val="24"/>
        </w:rPr>
        <w:t>2015 (2) ZLR 25 (S)</w:t>
      </w:r>
      <w:r w:rsidR="0098673F">
        <w:rPr>
          <w:rFonts w:ascii="Times New Roman" w:hAnsi="Times New Roman" w:cs="Times New Roman"/>
          <w:sz w:val="24"/>
          <w:szCs w:val="24"/>
        </w:rPr>
        <w:t xml:space="preserve"> at </w:t>
      </w:r>
      <w:r w:rsidR="00922EFE">
        <w:rPr>
          <w:rFonts w:ascii="Times New Roman" w:hAnsi="Times New Roman" w:cs="Times New Roman"/>
          <w:sz w:val="24"/>
          <w:szCs w:val="24"/>
        </w:rPr>
        <w:t>27C</w:t>
      </w:r>
      <w:r w:rsidR="0098673F">
        <w:rPr>
          <w:rFonts w:ascii="Times New Roman" w:hAnsi="Times New Roman" w:cs="Times New Roman"/>
          <w:sz w:val="24"/>
          <w:szCs w:val="24"/>
        </w:rPr>
        <w:t>.</w:t>
      </w:r>
      <w:r w:rsidR="00686D65">
        <w:rPr>
          <w:rFonts w:ascii="Times New Roman" w:hAnsi="Times New Roman" w:cs="Times New Roman"/>
          <w:sz w:val="24"/>
          <w:szCs w:val="24"/>
        </w:rPr>
        <w:t xml:space="preserve"> </w:t>
      </w:r>
      <w:r w:rsidR="008D7DCF">
        <w:rPr>
          <w:rFonts w:ascii="Times New Roman" w:hAnsi="Times New Roman" w:cs="Times New Roman"/>
          <w:sz w:val="24"/>
          <w:szCs w:val="24"/>
        </w:rPr>
        <w:t xml:space="preserve"> </w:t>
      </w:r>
      <w:r w:rsidR="009A3218">
        <w:rPr>
          <w:rFonts w:ascii="Times New Roman" w:hAnsi="Times New Roman" w:cs="Times New Roman"/>
          <w:sz w:val="24"/>
          <w:szCs w:val="24"/>
        </w:rPr>
        <w:t xml:space="preserve">Firstly, the ground was not dispositive of the appeal </w:t>
      </w:r>
      <w:r w:rsidR="009A3218" w:rsidRPr="009A3218">
        <w:rPr>
          <w:rFonts w:ascii="Times New Roman" w:hAnsi="Times New Roman" w:cs="Times New Roman"/>
          <w:i/>
          <w:iCs/>
          <w:sz w:val="24"/>
          <w:szCs w:val="24"/>
        </w:rPr>
        <w:t>a quo</w:t>
      </w:r>
      <w:r w:rsidR="009A3218">
        <w:rPr>
          <w:rFonts w:ascii="Times New Roman" w:hAnsi="Times New Roman" w:cs="Times New Roman"/>
          <w:sz w:val="24"/>
          <w:szCs w:val="24"/>
        </w:rPr>
        <w:t xml:space="preserve">. Secondly, it is also not dispositive of the appeal before this Court. </w:t>
      </w:r>
      <w:r w:rsidR="00686D65">
        <w:rPr>
          <w:rFonts w:ascii="Times New Roman" w:hAnsi="Times New Roman" w:cs="Times New Roman"/>
          <w:sz w:val="24"/>
          <w:szCs w:val="24"/>
        </w:rPr>
        <w:t xml:space="preserve"> </w:t>
      </w:r>
      <w:r w:rsidR="009A3218">
        <w:rPr>
          <w:rFonts w:ascii="Times New Roman" w:hAnsi="Times New Roman" w:cs="Times New Roman"/>
          <w:sz w:val="24"/>
          <w:szCs w:val="24"/>
        </w:rPr>
        <w:t xml:space="preserve">Thirdly, the position that this Court has come to in regard to this appeal would make it unnecessary to remit the case to the court </w:t>
      </w:r>
      <w:r w:rsidR="009A3218" w:rsidRPr="00C05CB4">
        <w:rPr>
          <w:rFonts w:ascii="Times New Roman" w:hAnsi="Times New Roman" w:cs="Times New Roman"/>
          <w:i/>
          <w:iCs/>
          <w:sz w:val="24"/>
          <w:szCs w:val="24"/>
        </w:rPr>
        <w:t>a quo</w:t>
      </w:r>
      <w:r w:rsidR="009A3218">
        <w:rPr>
          <w:rFonts w:ascii="Times New Roman" w:hAnsi="Times New Roman" w:cs="Times New Roman"/>
          <w:sz w:val="24"/>
          <w:szCs w:val="24"/>
        </w:rPr>
        <w:t xml:space="preserve"> to deal with that issue. </w:t>
      </w:r>
      <w:r w:rsidR="00686D65">
        <w:rPr>
          <w:rFonts w:ascii="Times New Roman" w:hAnsi="Times New Roman" w:cs="Times New Roman"/>
          <w:sz w:val="24"/>
          <w:szCs w:val="24"/>
        </w:rPr>
        <w:t xml:space="preserve"> </w:t>
      </w:r>
      <w:r w:rsidR="009A3218">
        <w:rPr>
          <w:rFonts w:ascii="Times New Roman" w:hAnsi="Times New Roman" w:cs="Times New Roman"/>
          <w:sz w:val="24"/>
          <w:szCs w:val="24"/>
        </w:rPr>
        <w:t>Lastly, though this Court is not a court of first instance, a proper consideration of the evidence adduced before the DHO establishes the correctness of his conviction on that charge.</w:t>
      </w:r>
    </w:p>
    <w:p w14:paraId="3AE97F80" w14:textId="131893BD" w:rsidR="00815D20" w:rsidRDefault="009A3218" w:rsidP="00A91114">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[5</w:t>
      </w:r>
      <w:r w:rsidR="00935833">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effect of the above findings is that the first ground of appeal is devoid of merit </w:t>
      </w:r>
      <w:r w:rsidR="00815D20">
        <w:rPr>
          <w:rFonts w:ascii="Times New Roman" w:hAnsi="Times New Roman" w:cs="Times New Roman"/>
          <w:sz w:val="24"/>
          <w:szCs w:val="24"/>
        </w:rPr>
        <w:t>and ought to be dismissed.</w:t>
      </w:r>
    </w:p>
    <w:p w14:paraId="004E9C35" w14:textId="77777777" w:rsidR="00A91114" w:rsidRDefault="00A91114" w:rsidP="00A91114">
      <w:pPr>
        <w:spacing w:after="0" w:line="240" w:lineRule="auto"/>
        <w:jc w:val="both"/>
        <w:rPr>
          <w:rFonts w:ascii="Times New Roman" w:hAnsi="Times New Roman" w:cs="Times New Roman"/>
          <w:b/>
          <w:bCs/>
          <w:sz w:val="24"/>
          <w:szCs w:val="24"/>
        </w:rPr>
      </w:pPr>
    </w:p>
    <w:p w14:paraId="01B7CF22" w14:textId="7F56AAF5" w:rsidR="00815D20" w:rsidRDefault="00815D20" w:rsidP="00815D20">
      <w:pPr>
        <w:jc w:val="both"/>
        <w:rPr>
          <w:rFonts w:ascii="Times New Roman" w:hAnsi="Times New Roman" w:cs="Times New Roman"/>
          <w:b/>
          <w:bCs/>
          <w:sz w:val="24"/>
          <w:szCs w:val="24"/>
        </w:rPr>
      </w:pPr>
      <w:r w:rsidRPr="00815D20">
        <w:rPr>
          <w:rFonts w:ascii="Times New Roman" w:hAnsi="Times New Roman" w:cs="Times New Roman"/>
          <w:b/>
          <w:bCs/>
          <w:sz w:val="24"/>
          <w:szCs w:val="24"/>
        </w:rPr>
        <w:t>Whether or not the appellant was guilty of conduct inconsistent with his contract of employment.</w:t>
      </w:r>
    </w:p>
    <w:p w14:paraId="1C49772D" w14:textId="24770B03" w:rsidR="00815D20" w:rsidRDefault="00815D20" w:rsidP="00B1528B">
      <w:pPr>
        <w:spacing w:line="480" w:lineRule="auto"/>
        <w:ind w:left="567" w:hanging="567"/>
        <w:jc w:val="both"/>
        <w:rPr>
          <w:rFonts w:ascii="Times New Roman" w:hAnsi="Times New Roman" w:cs="Times New Roman"/>
          <w:sz w:val="24"/>
          <w:szCs w:val="24"/>
        </w:rPr>
      </w:pPr>
      <w:r w:rsidRPr="00815D20">
        <w:rPr>
          <w:rFonts w:ascii="Times New Roman" w:hAnsi="Times New Roman" w:cs="Times New Roman"/>
          <w:sz w:val="24"/>
          <w:szCs w:val="24"/>
        </w:rPr>
        <w:t>[5</w:t>
      </w:r>
      <w:r w:rsidR="00935833">
        <w:rPr>
          <w:rFonts w:ascii="Times New Roman" w:hAnsi="Times New Roman" w:cs="Times New Roman"/>
          <w:sz w:val="24"/>
          <w:szCs w:val="24"/>
        </w:rPr>
        <w:t>8</w:t>
      </w:r>
      <w:r w:rsidRPr="00815D20">
        <w:rPr>
          <w:rFonts w:ascii="Times New Roman" w:hAnsi="Times New Roman" w:cs="Times New Roman"/>
          <w:sz w:val="24"/>
          <w:szCs w:val="24"/>
        </w:rPr>
        <w:t xml:space="preserve">] </w:t>
      </w:r>
      <w:r w:rsidR="00032DAF">
        <w:rPr>
          <w:rFonts w:ascii="Times New Roman" w:hAnsi="Times New Roman" w:cs="Times New Roman"/>
          <w:sz w:val="24"/>
          <w:szCs w:val="24"/>
        </w:rPr>
        <w:t xml:space="preserve">  </w:t>
      </w:r>
      <w:r>
        <w:rPr>
          <w:rFonts w:ascii="Times New Roman" w:hAnsi="Times New Roman" w:cs="Times New Roman"/>
          <w:sz w:val="24"/>
          <w:szCs w:val="24"/>
        </w:rPr>
        <w:t xml:space="preserve">The second issue for determination arises from grounds, 2, 3 and 4. </w:t>
      </w:r>
      <w:r w:rsidR="00CF5B7A">
        <w:rPr>
          <w:rFonts w:ascii="Times New Roman" w:hAnsi="Times New Roman" w:cs="Times New Roman"/>
          <w:sz w:val="24"/>
          <w:szCs w:val="24"/>
        </w:rPr>
        <w:t xml:space="preserve"> </w:t>
      </w:r>
      <w:r>
        <w:rPr>
          <w:rFonts w:ascii="Times New Roman" w:hAnsi="Times New Roman" w:cs="Times New Roman"/>
          <w:sz w:val="24"/>
          <w:szCs w:val="24"/>
        </w:rPr>
        <w:t>They challenge the propriety of the Feedmix and Ministry of Agriculture convictions.</w:t>
      </w:r>
    </w:p>
    <w:p w14:paraId="576B3F60" w14:textId="3017AA4B" w:rsidR="004737F4" w:rsidRDefault="00815D20" w:rsidP="00032DAF">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[5</w:t>
      </w:r>
      <w:r w:rsidR="00935833">
        <w:rPr>
          <w:rFonts w:ascii="Times New Roman" w:hAnsi="Times New Roman" w:cs="Times New Roman"/>
          <w:sz w:val="24"/>
          <w:szCs w:val="24"/>
        </w:rPr>
        <w:t>9</w:t>
      </w:r>
      <w:r>
        <w:rPr>
          <w:rFonts w:ascii="Times New Roman" w:hAnsi="Times New Roman" w:cs="Times New Roman"/>
          <w:sz w:val="24"/>
          <w:szCs w:val="24"/>
        </w:rPr>
        <w:t xml:space="preserve">] </w:t>
      </w:r>
      <w:r w:rsidR="00935833">
        <w:rPr>
          <w:rFonts w:ascii="Times New Roman" w:hAnsi="Times New Roman" w:cs="Times New Roman"/>
          <w:sz w:val="24"/>
          <w:szCs w:val="24"/>
        </w:rPr>
        <w:tab/>
      </w:r>
      <w:r>
        <w:rPr>
          <w:rFonts w:ascii="Times New Roman" w:hAnsi="Times New Roman" w:cs="Times New Roman"/>
          <w:sz w:val="24"/>
          <w:szCs w:val="24"/>
        </w:rPr>
        <w:t xml:space="preserve">The </w:t>
      </w:r>
      <w:r w:rsidR="00950119">
        <w:rPr>
          <w:rFonts w:ascii="Times New Roman" w:hAnsi="Times New Roman" w:cs="Times New Roman"/>
          <w:sz w:val="24"/>
          <w:szCs w:val="24"/>
        </w:rPr>
        <w:t>c</w:t>
      </w:r>
      <w:r>
        <w:rPr>
          <w:rFonts w:ascii="Times New Roman" w:hAnsi="Times New Roman" w:cs="Times New Roman"/>
          <w:sz w:val="24"/>
          <w:szCs w:val="24"/>
        </w:rPr>
        <w:t xml:space="preserve">ourt has already dealt with the propriety of the Feedmix conviction in paras </w:t>
      </w:r>
      <w:r w:rsidR="00935833">
        <w:rPr>
          <w:rFonts w:ascii="Times New Roman" w:hAnsi="Times New Roman" w:cs="Times New Roman"/>
          <w:sz w:val="24"/>
          <w:szCs w:val="24"/>
        </w:rPr>
        <w:t>[</w:t>
      </w:r>
      <w:r>
        <w:rPr>
          <w:rFonts w:ascii="Times New Roman" w:hAnsi="Times New Roman" w:cs="Times New Roman"/>
          <w:sz w:val="24"/>
          <w:szCs w:val="24"/>
        </w:rPr>
        <w:t>5</w:t>
      </w:r>
      <w:r w:rsidR="00935833">
        <w:rPr>
          <w:rFonts w:ascii="Times New Roman" w:hAnsi="Times New Roman" w:cs="Times New Roman"/>
          <w:sz w:val="24"/>
          <w:szCs w:val="24"/>
        </w:rPr>
        <w:t>4]</w:t>
      </w:r>
      <w:r>
        <w:rPr>
          <w:rFonts w:ascii="Times New Roman" w:hAnsi="Times New Roman" w:cs="Times New Roman"/>
          <w:sz w:val="24"/>
          <w:szCs w:val="24"/>
        </w:rPr>
        <w:t xml:space="preserve"> and </w:t>
      </w:r>
      <w:r w:rsidR="00935833">
        <w:rPr>
          <w:rFonts w:ascii="Times New Roman" w:hAnsi="Times New Roman" w:cs="Times New Roman"/>
          <w:sz w:val="24"/>
          <w:szCs w:val="24"/>
        </w:rPr>
        <w:t>[</w:t>
      </w:r>
      <w:r>
        <w:rPr>
          <w:rFonts w:ascii="Times New Roman" w:hAnsi="Times New Roman" w:cs="Times New Roman"/>
          <w:sz w:val="24"/>
          <w:szCs w:val="24"/>
        </w:rPr>
        <w:t>5</w:t>
      </w:r>
      <w:r w:rsidR="00935833">
        <w:rPr>
          <w:rFonts w:ascii="Times New Roman" w:hAnsi="Times New Roman" w:cs="Times New Roman"/>
          <w:sz w:val="24"/>
          <w:szCs w:val="24"/>
        </w:rPr>
        <w:t>5]</w:t>
      </w:r>
      <w:r>
        <w:rPr>
          <w:rFonts w:ascii="Times New Roman" w:hAnsi="Times New Roman" w:cs="Times New Roman"/>
          <w:sz w:val="24"/>
          <w:szCs w:val="24"/>
        </w:rPr>
        <w:t xml:space="preserve"> of this judgment. </w:t>
      </w:r>
      <w:r w:rsidR="00CF5B7A">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815D20">
        <w:rPr>
          <w:rFonts w:ascii="Times New Roman" w:hAnsi="Times New Roman" w:cs="Times New Roman"/>
          <w:i/>
          <w:iCs/>
          <w:sz w:val="24"/>
          <w:szCs w:val="24"/>
        </w:rPr>
        <w:t>a quo</w:t>
      </w:r>
      <w:r>
        <w:rPr>
          <w:rFonts w:ascii="Times New Roman" w:hAnsi="Times New Roman" w:cs="Times New Roman"/>
          <w:sz w:val="24"/>
          <w:szCs w:val="24"/>
        </w:rPr>
        <w:t xml:space="preserve"> dealt with the issue of misalignment between the facts constituting the charge and the facts upon which the Feedmix verdict was </w:t>
      </w:r>
      <w:r w:rsidR="00935833">
        <w:rPr>
          <w:rFonts w:ascii="Times New Roman" w:hAnsi="Times New Roman" w:cs="Times New Roman"/>
          <w:sz w:val="24"/>
          <w:szCs w:val="24"/>
        </w:rPr>
        <w:t>founded.</w:t>
      </w:r>
      <w:r w:rsidR="00CF5B7A">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935833">
        <w:rPr>
          <w:rFonts w:ascii="Times New Roman" w:hAnsi="Times New Roman" w:cs="Times New Roman"/>
          <w:sz w:val="24"/>
          <w:szCs w:val="24"/>
        </w:rPr>
        <w:t>C</w:t>
      </w:r>
      <w:r>
        <w:rPr>
          <w:rFonts w:ascii="Times New Roman" w:hAnsi="Times New Roman" w:cs="Times New Roman"/>
          <w:sz w:val="24"/>
          <w:szCs w:val="24"/>
        </w:rPr>
        <w:t>ourt find</w:t>
      </w:r>
      <w:r w:rsidR="00935833">
        <w:rPr>
          <w:rFonts w:ascii="Times New Roman" w:hAnsi="Times New Roman" w:cs="Times New Roman"/>
          <w:sz w:val="24"/>
          <w:szCs w:val="24"/>
        </w:rPr>
        <w:t>s</w:t>
      </w:r>
      <w:r>
        <w:rPr>
          <w:rFonts w:ascii="Times New Roman" w:hAnsi="Times New Roman" w:cs="Times New Roman"/>
          <w:sz w:val="24"/>
          <w:szCs w:val="24"/>
        </w:rPr>
        <w:t xml:space="preserve"> no misdirection in the reasoning </w:t>
      </w:r>
      <w:r w:rsidR="004737F4">
        <w:rPr>
          <w:rFonts w:ascii="Times New Roman" w:hAnsi="Times New Roman" w:cs="Times New Roman"/>
          <w:sz w:val="24"/>
          <w:szCs w:val="24"/>
        </w:rPr>
        <w:t xml:space="preserve">process of the court </w:t>
      </w:r>
      <w:r w:rsidR="004737F4" w:rsidRPr="00935833">
        <w:rPr>
          <w:rFonts w:ascii="Times New Roman" w:hAnsi="Times New Roman" w:cs="Times New Roman"/>
          <w:i/>
          <w:iCs/>
          <w:sz w:val="24"/>
          <w:szCs w:val="24"/>
        </w:rPr>
        <w:t>a quo</w:t>
      </w:r>
      <w:r w:rsidR="004737F4">
        <w:rPr>
          <w:rFonts w:ascii="Times New Roman" w:hAnsi="Times New Roman" w:cs="Times New Roman"/>
          <w:sz w:val="24"/>
          <w:szCs w:val="24"/>
        </w:rPr>
        <w:t xml:space="preserve"> and</w:t>
      </w:r>
      <w:r w:rsidR="00935833">
        <w:rPr>
          <w:rFonts w:ascii="Times New Roman" w:hAnsi="Times New Roman" w:cs="Times New Roman"/>
          <w:sz w:val="24"/>
          <w:szCs w:val="24"/>
        </w:rPr>
        <w:t xml:space="preserve"> t</w:t>
      </w:r>
      <w:r w:rsidR="004737F4">
        <w:rPr>
          <w:rFonts w:ascii="Times New Roman" w:hAnsi="Times New Roman" w:cs="Times New Roman"/>
          <w:sz w:val="24"/>
          <w:szCs w:val="24"/>
        </w:rPr>
        <w:t xml:space="preserve">he internal hearing officers. </w:t>
      </w:r>
      <w:r w:rsidR="00CF5B7A">
        <w:rPr>
          <w:rFonts w:ascii="Times New Roman" w:hAnsi="Times New Roman" w:cs="Times New Roman"/>
          <w:sz w:val="24"/>
          <w:szCs w:val="24"/>
        </w:rPr>
        <w:t xml:space="preserve"> </w:t>
      </w:r>
      <w:r w:rsidR="004737F4">
        <w:rPr>
          <w:rFonts w:ascii="Times New Roman" w:hAnsi="Times New Roman" w:cs="Times New Roman"/>
          <w:sz w:val="24"/>
          <w:szCs w:val="24"/>
        </w:rPr>
        <w:t xml:space="preserve">The complaint of Feedmix is fully captured in para </w:t>
      </w:r>
      <w:r w:rsidR="00935833">
        <w:rPr>
          <w:rFonts w:ascii="Times New Roman" w:hAnsi="Times New Roman" w:cs="Times New Roman"/>
          <w:sz w:val="24"/>
          <w:szCs w:val="24"/>
        </w:rPr>
        <w:t>[</w:t>
      </w:r>
      <w:r w:rsidR="004737F4">
        <w:rPr>
          <w:rFonts w:ascii="Times New Roman" w:hAnsi="Times New Roman" w:cs="Times New Roman"/>
          <w:sz w:val="24"/>
          <w:szCs w:val="24"/>
        </w:rPr>
        <w:t>6</w:t>
      </w:r>
      <w:r w:rsidR="00935833">
        <w:rPr>
          <w:rFonts w:ascii="Times New Roman" w:hAnsi="Times New Roman" w:cs="Times New Roman"/>
          <w:sz w:val="24"/>
          <w:szCs w:val="24"/>
        </w:rPr>
        <w:t>]</w:t>
      </w:r>
      <w:r w:rsidR="0057688C">
        <w:rPr>
          <w:rFonts w:ascii="Times New Roman" w:hAnsi="Times New Roman" w:cs="Times New Roman"/>
          <w:sz w:val="24"/>
          <w:szCs w:val="24"/>
        </w:rPr>
        <w:t xml:space="preserve"> </w:t>
      </w:r>
      <w:r w:rsidR="004737F4">
        <w:rPr>
          <w:rFonts w:ascii="Times New Roman" w:hAnsi="Times New Roman" w:cs="Times New Roman"/>
          <w:sz w:val="24"/>
          <w:szCs w:val="24"/>
        </w:rPr>
        <w:t xml:space="preserve">of this judgment. </w:t>
      </w:r>
      <w:r w:rsidR="00CF5B7A">
        <w:rPr>
          <w:rFonts w:ascii="Times New Roman" w:hAnsi="Times New Roman" w:cs="Times New Roman"/>
          <w:sz w:val="24"/>
          <w:szCs w:val="24"/>
        </w:rPr>
        <w:t xml:space="preserve"> </w:t>
      </w:r>
      <w:r w:rsidR="004737F4">
        <w:rPr>
          <w:rFonts w:ascii="Times New Roman" w:hAnsi="Times New Roman" w:cs="Times New Roman"/>
          <w:sz w:val="24"/>
          <w:szCs w:val="24"/>
        </w:rPr>
        <w:t xml:space="preserve">It formed the basis of the first charge. </w:t>
      </w:r>
      <w:r w:rsidR="00CF5B7A">
        <w:rPr>
          <w:rFonts w:ascii="Times New Roman" w:hAnsi="Times New Roman" w:cs="Times New Roman"/>
          <w:sz w:val="24"/>
          <w:szCs w:val="24"/>
        </w:rPr>
        <w:t xml:space="preserve"> </w:t>
      </w:r>
      <w:r w:rsidR="004737F4">
        <w:rPr>
          <w:rFonts w:ascii="Times New Roman" w:hAnsi="Times New Roman" w:cs="Times New Roman"/>
          <w:sz w:val="24"/>
          <w:szCs w:val="24"/>
        </w:rPr>
        <w:t xml:space="preserve">The facts that form the essence of the complaint were established on a balance of probabilities. </w:t>
      </w:r>
      <w:r w:rsidR="00CF5B7A">
        <w:rPr>
          <w:rFonts w:ascii="Times New Roman" w:hAnsi="Times New Roman" w:cs="Times New Roman"/>
          <w:sz w:val="24"/>
          <w:szCs w:val="24"/>
        </w:rPr>
        <w:t xml:space="preserve"> </w:t>
      </w:r>
      <w:r w:rsidR="004737F4">
        <w:rPr>
          <w:rFonts w:ascii="Times New Roman" w:hAnsi="Times New Roman" w:cs="Times New Roman"/>
          <w:sz w:val="24"/>
          <w:szCs w:val="24"/>
        </w:rPr>
        <w:t xml:space="preserve">In cross examining </w:t>
      </w:r>
      <w:proofErr w:type="spellStart"/>
      <w:r w:rsidR="004737F4">
        <w:rPr>
          <w:rFonts w:ascii="Times New Roman" w:hAnsi="Times New Roman" w:cs="Times New Roman"/>
          <w:sz w:val="24"/>
          <w:szCs w:val="24"/>
        </w:rPr>
        <w:t>Isheunesu</w:t>
      </w:r>
      <w:proofErr w:type="spellEnd"/>
      <w:r w:rsidR="004737F4">
        <w:rPr>
          <w:rFonts w:ascii="Times New Roman" w:hAnsi="Times New Roman" w:cs="Times New Roman"/>
          <w:sz w:val="24"/>
          <w:szCs w:val="24"/>
        </w:rPr>
        <w:t xml:space="preserve"> </w:t>
      </w:r>
      <w:proofErr w:type="spellStart"/>
      <w:r w:rsidR="004737F4">
        <w:rPr>
          <w:rFonts w:ascii="Times New Roman" w:hAnsi="Times New Roman" w:cs="Times New Roman"/>
          <w:sz w:val="24"/>
          <w:szCs w:val="24"/>
        </w:rPr>
        <w:t>Makarimba</w:t>
      </w:r>
      <w:proofErr w:type="spellEnd"/>
      <w:r w:rsidR="004737F4">
        <w:rPr>
          <w:rFonts w:ascii="Times New Roman" w:hAnsi="Times New Roman" w:cs="Times New Roman"/>
          <w:sz w:val="24"/>
          <w:szCs w:val="24"/>
        </w:rPr>
        <w:t xml:space="preserve">, appellant’s counsel at the hearing, Mr </w:t>
      </w:r>
      <w:proofErr w:type="spellStart"/>
      <w:r w:rsidR="004737F4" w:rsidRPr="007A7249">
        <w:rPr>
          <w:rFonts w:ascii="Times New Roman" w:hAnsi="Times New Roman" w:cs="Times New Roman"/>
          <w:i/>
          <w:iCs/>
          <w:sz w:val="24"/>
          <w:szCs w:val="24"/>
        </w:rPr>
        <w:t>Chambati</w:t>
      </w:r>
      <w:proofErr w:type="spellEnd"/>
      <w:r w:rsidR="0057688C">
        <w:rPr>
          <w:rFonts w:ascii="Times New Roman" w:hAnsi="Times New Roman" w:cs="Times New Roman"/>
          <w:sz w:val="24"/>
          <w:szCs w:val="24"/>
        </w:rPr>
        <w:t>,</w:t>
      </w:r>
      <w:r w:rsidR="004737F4">
        <w:rPr>
          <w:rFonts w:ascii="Times New Roman" w:hAnsi="Times New Roman" w:cs="Times New Roman"/>
          <w:sz w:val="24"/>
          <w:szCs w:val="24"/>
        </w:rPr>
        <w:t xml:space="preserve"> basically conceded the propriety of the charges and presaged the </w:t>
      </w:r>
      <w:r w:rsidR="00CF5B7A">
        <w:rPr>
          <w:rFonts w:ascii="Times New Roman" w:hAnsi="Times New Roman" w:cs="Times New Roman"/>
          <w:sz w:val="24"/>
          <w:szCs w:val="24"/>
        </w:rPr>
        <w:t xml:space="preserve">correctness of the convictions.  </w:t>
      </w:r>
      <w:r w:rsidR="004737F4">
        <w:rPr>
          <w:rFonts w:ascii="Times New Roman" w:hAnsi="Times New Roman" w:cs="Times New Roman"/>
          <w:sz w:val="24"/>
          <w:szCs w:val="24"/>
        </w:rPr>
        <w:t>I reproduce the relevant question and answer</w:t>
      </w:r>
      <w:r w:rsidR="00F23EB6">
        <w:rPr>
          <w:rFonts w:ascii="Times New Roman" w:hAnsi="Times New Roman" w:cs="Times New Roman"/>
          <w:sz w:val="24"/>
          <w:szCs w:val="24"/>
        </w:rPr>
        <w:t xml:space="preserve"> at p 132 of the appeal record</w:t>
      </w:r>
      <w:r w:rsidR="007A7249">
        <w:rPr>
          <w:rFonts w:ascii="Times New Roman" w:hAnsi="Times New Roman" w:cs="Times New Roman"/>
          <w:sz w:val="24"/>
          <w:szCs w:val="24"/>
        </w:rPr>
        <w:t>:</w:t>
      </w:r>
    </w:p>
    <w:p w14:paraId="6F8106C8" w14:textId="5B06E479" w:rsidR="00727A86" w:rsidRPr="00E85E69" w:rsidRDefault="00727A86" w:rsidP="00032DAF">
      <w:pPr>
        <w:spacing w:after="0"/>
        <w:ind w:left="1980" w:hanging="540"/>
        <w:jc w:val="both"/>
        <w:rPr>
          <w:rFonts w:ascii="Times New Roman" w:hAnsi="Times New Roman" w:cs="Times New Roman"/>
          <w:sz w:val="24"/>
          <w:szCs w:val="24"/>
        </w:rPr>
      </w:pPr>
      <w:r w:rsidRPr="00E85E69">
        <w:rPr>
          <w:rFonts w:ascii="Times New Roman" w:hAnsi="Times New Roman" w:cs="Times New Roman"/>
          <w:sz w:val="24"/>
          <w:szCs w:val="24"/>
        </w:rPr>
        <w:t>“</w:t>
      </w:r>
      <w:r w:rsidR="004737F4" w:rsidRPr="00E85E69">
        <w:rPr>
          <w:rFonts w:ascii="Times New Roman" w:hAnsi="Times New Roman" w:cs="Times New Roman"/>
          <w:sz w:val="24"/>
          <w:szCs w:val="24"/>
        </w:rPr>
        <w:t>Q</w:t>
      </w:r>
      <w:r w:rsidRPr="00E85E69">
        <w:rPr>
          <w:rFonts w:ascii="Times New Roman" w:hAnsi="Times New Roman" w:cs="Times New Roman"/>
          <w:sz w:val="24"/>
          <w:szCs w:val="24"/>
        </w:rPr>
        <w:t xml:space="preserve">. </w:t>
      </w:r>
      <w:r w:rsidRPr="00E85E69">
        <w:rPr>
          <w:rFonts w:ascii="Times New Roman" w:hAnsi="Times New Roman" w:cs="Times New Roman"/>
          <w:sz w:val="24"/>
          <w:szCs w:val="24"/>
        </w:rPr>
        <w:tab/>
        <w:t>We are saying he committed a very minor offence, but you have now chosen to charge him with a very serious offence, is that fair according to you</w:t>
      </w:r>
      <w:r w:rsidR="0057688C">
        <w:rPr>
          <w:rFonts w:ascii="Times New Roman" w:hAnsi="Times New Roman" w:cs="Times New Roman"/>
          <w:sz w:val="24"/>
          <w:szCs w:val="24"/>
        </w:rPr>
        <w:t>?</w:t>
      </w:r>
    </w:p>
    <w:p w14:paraId="2DF6DE45" w14:textId="7844F518" w:rsidR="00DE1811" w:rsidRDefault="00727A86" w:rsidP="00F71C8C">
      <w:pPr>
        <w:pStyle w:val="ListParagraph"/>
        <w:numPr>
          <w:ilvl w:val="0"/>
          <w:numId w:val="11"/>
        </w:numPr>
        <w:ind w:left="1980" w:hanging="540"/>
        <w:jc w:val="both"/>
        <w:rPr>
          <w:rFonts w:ascii="Times New Roman" w:hAnsi="Times New Roman" w:cs="Times New Roman"/>
          <w:sz w:val="24"/>
          <w:szCs w:val="24"/>
        </w:rPr>
      </w:pPr>
      <w:r w:rsidRPr="00DE1811">
        <w:rPr>
          <w:rFonts w:ascii="Times New Roman" w:hAnsi="Times New Roman" w:cs="Times New Roman"/>
          <w:sz w:val="24"/>
          <w:szCs w:val="24"/>
        </w:rPr>
        <w:t xml:space="preserve">This is a catalogue </w:t>
      </w:r>
      <w:r w:rsidR="00E85E69" w:rsidRPr="00DE1811">
        <w:rPr>
          <w:rFonts w:ascii="Times New Roman" w:hAnsi="Times New Roman" w:cs="Times New Roman"/>
          <w:sz w:val="24"/>
          <w:szCs w:val="24"/>
        </w:rPr>
        <w:t xml:space="preserve">of offences </w:t>
      </w:r>
      <w:r w:rsidRPr="00DE1811">
        <w:rPr>
          <w:rFonts w:ascii="Times New Roman" w:hAnsi="Times New Roman" w:cs="Times New Roman"/>
          <w:sz w:val="24"/>
          <w:szCs w:val="24"/>
        </w:rPr>
        <w:t xml:space="preserve">which all of them sum up to </w:t>
      </w:r>
      <w:r w:rsidR="00E85E69" w:rsidRPr="00DE1811">
        <w:rPr>
          <w:rFonts w:ascii="Times New Roman" w:hAnsi="Times New Roman" w:cs="Times New Roman"/>
          <w:sz w:val="24"/>
          <w:szCs w:val="24"/>
        </w:rPr>
        <w:t xml:space="preserve">go to </w:t>
      </w:r>
      <w:r w:rsidR="002A32EB">
        <w:rPr>
          <w:rFonts w:ascii="Times New Roman" w:hAnsi="Times New Roman" w:cs="Times New Roman"/>
          <w:sz w:val="24"/>
          <w:szCs w:val="24"/>
        </w:rPr>
        <w:t xml:space="preserve">the </w:t>
      </w:r>
      <w:r w:rsidRPr="00DE1811">
        <w:rPr>
          <w:rFonts w:ascii="Times New Roman" w:hAnsi="Times New Roman" w:cs="Times New Roman"/>
          <w:sz w:val="24"/>
          <w:szCs w:val="24"/>
        </w:rPr>
        <w:t>inconsisten</w:t>
      </w:r>
      <w:r w:rsidR="00E85E69" w:rsidRPr="00DE1811">
        <w:rPr>
          <w:rFonts w:ascii="Times New Roman" w:hAnsi="Times New Roman" w:cs="Times New Roman"/>
          <w:sz w:val="24"/>
          <w:szCs w:val="24"/>
        </w:rPr>
        <w:t>cy</w:t>
      </w:r>
      <w:r w:rsidRPr="00DE1811">
        <w:rPr>
          <w:rFonts w:ascii="Times New Roman" w:hAnsi="Times New Roman" w:cs="Times New Roman"/>
          <w:sz w:val="24"/>
          <w:szCs w:val="24"/>
        </w:rPr>
        <w:t xml:space="preserve"> conduct offence</w:t>
      </w:r>
      <w:r w:rsidR="00E85E69" w:rsidRPr="00DE1811">
        <w:rPr>
          <w:rFonts w:ascii="Times New Roman" w:hAnsi="Times New Roman" w:cs="Times New Roman"/>
          <w:sz w:val="24"/>
          <w:szCs w:val="24"/>
        </w:rPr>
        <w:t>. If you actually get into the merits of the case</w:t>
      </w:r>
      <w:r w:rsidR="0057688C">
        <w:rPr>
          <w:rFonts w:ascii="Times New Roman" w:hAnsi="Times New Roman" w:cs="Times New Roman"/>
          <w:sz w:val="24"/>
          <w:szCs w:val="24"/>
        </w:rPr>
        <w:t>,</w:t>
      </w:r>
      <w:r w:rsidR="00E85E69" w:rsidRPr="00DE1811">
        <w:rPr>
          <w:rFonts w:ascii="Times New Roman" w:hAnsi="Times New Roman" w:cs="Times New Roman"/>
          <w:sz w:val="24"/>
          <w:szCs w:val="24"/>
        </w:rPr>
        <w:t xml:space="preserve"> you can actually see that there was omission that was done and inconsistent conduct if you look at charge 1.2 that shows you the inconsistency; it is the same with charge 1.4”</w:t>
      </w:r>
    </w:p>
    <w:p w14:paraId="277A3004" w14:textId="77777777" w:rsidR="007C6ED9" w:rsidRDefault="007C6ED9" w:rsidP="007C6ED9">
      <w:pPr>
        <w:pStyle w:val="ListParagraph"/>
        <w:ind w:left="1440"/>
        <w:jc w:val="both"/>
        <w:rPr>
          <w:rFonts w:ascii="Times New Roman" w:hAnsi="Times New Roman" w:cs="Times New Roman"/>
          <w:sz w:val="24"/>
          <w:szCs w:val="24"/>
        </w:rPr>
      </w:pPr>
    </w:p>
    <w:p w14:paraId="0D712F28" w14:textId="1398D6E1" w:rsidR="009B5549" w:rsidRPr="00396D2D" w:rsidRDefault="00DE1811" w:rsidP="00A91114">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F46F7E">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ab/>
      </w:r>
      <w:r w:rsidR="009B5549" w:rsidRPr="00396D2D">
        <w:rPr>
          <w:rFonts w:ascii="Times New Roman" w:hAnsi="Times New Roman" w:cs="Times New Roman"/>
          <w:sz w:val="24"/>
          <w:szCs w:val="24"/>
        </w:rPr>
        <w:t xml:space="preserve">In this regard, the pronouncement of this Court in the </w:t>
      </w:r>
      <w:r w:rsidR="009B5549" w:rsidRPr="00396D2D">
        <w:rPr>
          <w:rFonts w:ascii="Times New Roman" w:hAnsi="Times New Roman" w:cs="Times New Roman"/>
          <w:i/>
          <w:iCs/>
          <w:sz w:val="24"/>
          <w:szCs w:val="24"/>
        </w:rPr>
        <w:t>Sandvik</w:t>
      </w:r>
      <w:r w:rsidR="009B5549" w:rsidRPr="00396D2D">
        <w:rPr>
          <w:rFonts w:ascii="Times New Roman" w:hAnsi="Times New Roman" w:cs="Times New Roman"/>
          <w:sz w:val="24"/>
          <w:szCs w:val="24"/>
        </w:rPr>
        <w:t xml:space="preserve"> matter, </w:t>
      </w:r>
      <w:r w:rsidR="009B5549" w:rsidRPr="00396D2D">
        <w:rPr>
          <w:rFonts w:ascii="Times New Roman" w:hAnsi="Times New Roman" w:cs="Times New Roman"/>
          <w:i/>
          <w:iCs/>
          <w:sz w:val="24"/>
          <w:szCs w:val="24"/>
        </w:rPr>
        <w:t>supra</w:t>
      </w:r>
      <w:r w:rsidR="009B5549" w:rsidRPr="00396D2D">
        <w:rPr>
          <w:rFonts w:ascii="Times New Roman" w:hAnsi="Times New Roman" w:cs="Times New Roman"/>
          <w:sz w:val="24"/>
          <w:szCs w:val="24"/>
        </w:rPr>
        <w:t>, is apposite.  The Court stated at 14G-15A that:</w:t>
      </w:r>
    </w:p>
    <w:p w14:paraId="69C182FB" w14:textId="50565299" w:rsidR="009B5549" w:rsidRDefault="009B5549" w:rsidP="00A91114">
      <w:pPr>
        <w:spacing w:line="240" w:lineRule="auto"/>
        <w:ind w:left="1418"/>
        <w:jc w:val="both"/>
        <w:rPr>
          <w:rFonts w:ascii="Times New Roman" w:hAnsi="Times New Roman" w:cs="Times New Roman"/>
          <w:sz w:val="24"/>
          <w:szCs w:val="24"/>
        </w:rPr>
      </w:pPr>
      <w:r w:rsidRPr="00396D2D">
        <w:rPr>
          <w:rFonts w:ascii="Times New Roman" w:hAnsi="Times New Roman" w:cs="Times New Roman"/>
          <w:sz w:val="24"/>
          <w:szCs w:val="24"/>
        </w:rPr>
        <w:t>“It is axiomatic, in criminal as well as disciplinary proceedings that a person</w:t>
      </w:r>
      <w:r w:rsidR="00396D2D">
        <w:rPr>
          <w:rFonts w:ascii="Times New Roman" w:hAnsi="Times New Roman" w:cs="Times New Roman"/>
          <w:sz w:val="24"/>
          <w:szCs w:val="24"/>
        </w:rPr>
        <w:t xml:space="preserve"> </w:t>
      </w:r>
      <w:r w:rsidRPr="00396D2D">
        <w:rPr>
          <w:rFonts w:ascii="Times New Roman" w:hAnsi="Times New Roman" w:cs="Times New Roman"/>
          <w:sz w:val="24"/>
          <w:szCs w:val="24"/>
        </w:rPr>
        <w:t xml:space="preserve">cannot be found guilty of an offence that has not been preferred against him, unless that offence is a competent verdict on the offence originally charged. The </w:t>
      </w:r>
      <w:r w:rsidRPr="00396D2D">
        <w:rPr>
          <w:rFonts w:ascii="Times New Roman" w:hAnsi="Times New Roman" w:cs="Times New Roman"/>
          <w:sz w:val="24"/>
          <w:szCs w:val="24"/>
        </w:rPr>
        <w:lastRenderedPageBreak/>
        <w:t xml:space="preserve">reason for this is obvious, </w:t>
      </w:r>
      <w:r w:rsidRPr="00396D2D">
        <w:rPr>
          <w:rFonts w:ascii="Times New Roman" w:hAnsi="Times New Roman" w:cs="Times New Roman"/>
          <w:i/>
          <w:iCs/>
          <w:sz w:val="24"/>
          <w:szCs w:val="24"/>
        </w:rPr>
        <w:t xml:space="preserve">viz., </w:t>
      </w:r>
      <w:r w:rsidRPr="00396D2D">
        <w:rPr>
          <w:rFonts w:ascii="Times New Roman" w:hAnsi="Times New Roman" w:cs="Times New Roman"/>
          <w:sz w:val="24"/>
          <w:szCs w:val="24"/>
        </w:rPr>
        <w:t>the person accused must be made aware of the case against him in order to enable him to effectively prepare his defence. In this context, notwithstanding the provisions of s 89(2</w:t>
      </w:r>
      <w:proofErr w:type="gramStart"/>
      <w:r w:rsidRPr="00396D2D">
        <w:rPr>
          <w:rFonts w:ascii="Times New Roman" w:hAnsi="Times New Roman" w:cs="Times New Roman"/>
          <w:sz w:val="24"/>
          <w:szCs w:val="24"/>
        </w:rPr>
        <w:t>)(</w:t>
      </w:r>
      <w:proofErr w:type="gramEnd"/>
      <w:r w:rsidRPr="00396D2D">
        <w:rPr>
          <w:rFonts w:ascii="Times New Roman" w:hAnsi="Times New Roman" w:cs="Times New Roman"/>
          <w:sz w:val="24"/>
          <w:szCs w:val="24"/>
        </w:rPr>
        <w:t xml:space="preserve">a)(ii) of the Labour Act, the Labour Court cannot, </w:t>
      </w:r>
      <w:proofErr w:type="spellStart"/>
      <w:r w:rsidRPr="00396D2D">
        <w:rPr>
          <w:rFonts w:ascii="Times New Roman" w:hAnsi="Times New Roman" w:cs="Times New Roman"/>
          <w:i/>
          <w:iCs/>
          <w:sz w:val="24"/>
          <w:szCs w:val="24"/>
        </w:rPr>
        <w:t>mero</w:t>
      </w:r>
      <w:proofErr w:type="spellEnd"/>
      <w:r w:rsidRPr="00396D2D">
        <w:rPr>
          <w:rFonts w:ascii="Times New Roman" w:hAnsi="Times New Roman" w:cs="Times New Roman"/>
          <w:i/>
          <w:iCs/>
          <w:sz w:val="24"/>
          <w:szCs w:val="24"/>
        </w:rPr>
        <w:t xml:space="preserve"> </w:t>
      </w:r>
      <w:proofErr w:type="spellStart"/>
      <w:r w:rsidRPr="00396D2D">
        <w:rPr>
          <w:rFonts w:ascii="Times New Roman" w:hAnsi="Times New Roman" w:cs="Times New Roman"/>
          <w:i/>
          <w:iCs/>
          <w:sz w:val="24"/>
          <w:szCs w:val="24"/>
        </w:rPr>
        <w:t>motu</w:t>
      </w:r>
      <w:proofErr w:type="spellEnd"/>
      <w:r w:rsidRPr="00396D2D">
        <w:rPr>
          <w:rFonts w:ascii="Times New Roman" w:hAnsi="Times New Roman" w:cs="Times New Roman"/>
          <w:sz w:val="24"/>
          <w:szCs w:val="24"/>
        </w:rPr>
        <w:t>, substitute its own charge or make a finding of guilt on an entirely different offence. Any such</w:t>
      </w:r>
      <w:r w:rsidR="00396D2D">
        <w:rPr>
          <w:rFonts w:ascii="Times New Roman" w:hAnsi="Times New Roman" w:cs="Times New Roman"/>
          <w:sz w:val="24"/>
          <w:szCs w:val="24"/>
        </w:rPr>
        <w:t xml:space="preserve"> </w:t>
      </w:r>
      <w:r w:rsidRPr="00396D2D">
        <w:rPr>
          <w:rFonts w:ascii="Times New Roman" w:hAnsi="Times New Roman" w:cs="Times New Roman"/>
          <w:sz w:val="24"/>
          <w:szCs w:val="24"/>
        </w:rPr>
        <w:t xml:space="preserve">action would constitute a blatant miscarriage of justice. See </w:t>
      </w:r>
      <w:r w:rsidRPr="00396D2D">
        <w:rPr>
          <w:rFonts w:ascii="Times New Roman" w:hAnsi="Times New Roman" w:cs="Times New Roman"/>
          <w:i/>
          <w:iCs/>
          <w:sz w:val="24"/>
          <w:szCs w:val="24"/>
        </w:rPr>
        <w:t>Zimasco (Pvt)</w:t>
      </w:r>
      <w:r w:rsidRPr="00396D2D">
        <w:rPr>
          <w:rFonts w:ascii="Times New Roman" w:hAnsi="Times New Roman" w:cs="Times New Roman"/>
          <w:sz w:val="24"/>
          <w:szCs w:val="24"/>
        </w:rPr>
        <w:t xml:space="preserve"> </w:t>
      </w:r>
      <w:r w:rsidRPr="00396D2D">
        <w:rPr>
          <w:rFonts w:ascii="Times New Roman" w:hAnsi="Times New Roman" w:cs="Times New Roman"/>
          <w:i/>
          <w:iCs/>
          <w:sz w:val="24"/>
          <w:szCs w:val="24"/>
        </w:rPr>
        <w:t xml:space="preserve">Ltd </w:t>
      </w:r>
      <w:r w:rsidRPr="00396D2D">
        <w:rPr>
          <w:rFonts w:ascii="Times New Roman" w:hAnsi="Times New Roman" w:cs="Times New Roman"/>
          <w:sz w:val="24"/>
          <w:szCs w:val="24"/>
        </w:rPr>
        <w:t xml:space="preserve">v </w:t>
      </w:r>
      <w:r w:rsidRPr="00396D2D">
        <w:rPr>
          <w:rFonts w:ascii="Times New Roman" w:hAnsi="Times New Roman" w:cs="Times New Roman"/>
          <w:i/>
          <w:iCs/>
          <w:sz w:val="24"/>
          <w:szCs w:val="24"/>
        </w:rPr>
        <w:t xml:space="preserve">Chizema </w:t>
      </w:r>
      <w:r w:rsidRPr="00396D2D">
        <w:rPr>
          <w:rFonts w:ascii="Times New Roman" w:hAnsi="Times New Roman" w:cs="Times New Roman"/>
          <w:sz w:val="24"/>
          <w:szCs w:val="24"/>
        </w:rPr>
        <w:t>2007 (2) ZLR (S) 314 at 316E-317G.</w:t>
      </w:r>
      <w:r w:rsidR="00662C0B" w:rsidRPr="00396D2D">
        <w:rPr>
          <w:rFonts w:ascii="Times New Roman" w:hAnsi="Times New Roman" w:cs="Times New Roman"/>
          <w:sz w:val="24"/>
          <w:szCs w:val="24"/>
        </w:rPr>
        <w:t>”</w:t>
      </w:r>
    </w:p>
    <w:p w14:paraId="04111103" w14:textId="77777777" w:rsidR="00414684" w:rsidRPr="00396D2D" w:rsidRDefault="00414684" w:rsidP="00A91114">
      <w:pPr>
        <w:tabs>
          <w:tab w:val="left" w:pos="900"/>
        </w:tabs>
        <w:spacing w:after="0" w:line="240" w:lineRule="auto"/>
        <w:ind w:left="900"/>
        <w:jc w:val="both"/>
        <w:rPr>
          <w:rFonts w:ascii="Times New Roman" w:hAnsi="Times New Roman" w:cs="Times New Roman"/>
          <w:sz w:val="24"/>
          <w:szCs w:val="24"/>
        </w:rPr>
      </w:pPr>
    </w:p>
    <w:p w14:paraId="3EA0D200" w14:textId="3C0C0A29" w:rsidR="008E542B" w:rsidRDefault="00867A42" w:rsidP="008E542B">
      <w:pPr>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In </w:t>
      </w:r>
      <w:r w:rsidRPr="008E542B">
        <w:rPr>
          <w:rFonts w:ascii="Times New Roman" w:hAnsi="Times New Roman" w:cs="Times New Roman"/>
          <w:i/>
          <w:iCs/>
          <w:sz w:val="24"/>
          <w:szCs w:val="24"/>
        </w:rPr>
        <w:t>casu</w:t>
      </w:r>
      <w:r>
        <w:rPr>
          <w:rFonts w:ascii="Times New Roman" w:hAnsi="Times New Roman" w:cs="Times New Roman"/>
          <w:sz w:val="24"/>
          <w:szCs w:val="24"/>
        </w:rPr>
        <w:t>, the</w:t>
      </w:r>
      <w:r w:rsidR="00662C0B">
        <w:rPr>
          <w:rFonts w:ascii="Times New Roman" w:hAnsi="Times New Roman" w:cs="Times New Roman"/>
          <w:sz w:val="24"/>
          <w:szCs w:val="24"/>
        </w:rPr>
        <w:t xml:space="preserve"> DHO did not find the appellant guilty of a different </w:t>
      </w:r>
      <w:r>
        <w:rPr>
          <w:rFonts w:ascii="Times New Roman" w:hAnsi="Times New Roman" w:cs="Times New Roman"/>
          <w:sz w:val="24"/>
          <w:szCs w:val="24"/>
        </w:rPr>
        <w:t xml:space="preserve">offence. The appellant was not ambushed at all. The question of his failure to handover the booking was fully ventilated in his statement of defence and during the proceedings before the DHO. He could therefore not claim for the first time on appeal before the court </w:t>
      </w:r>
      <w:r w:rsidRPr="008E542B">
        <w:rPr>
          <w:rFonts w:ascii="Times New Roman" w:hAnsi="Times New Roman" w:cs="Times New Roman"/>
          <w:i/>
          <w:iCs/>
          <w:sz w:val="24"/>
          <w:szCs w:val="24"/>
        </w:rPr>
        <w:t>a quo</w:t>
      </w:r>
      <w:r>
        <w:rPr>
          <w:rFonts w:ascii="Times New Roman" w:hAnsi="Times New Roman" w:cs="Times New Roman"/>
          <w:sz w:val="24"/>
          <w:szCs w:val="24"/>
        </w:rPr>
        <w:t xml:space="preserve"> that the conviction based on the failure to handover the booking was unfair to him. After all, the failure to handover the booking demonstrated his failure to complete the booking and his inevitable failure to advise the virtual partner. </w:t>
      </w:r>
      <w:r w:rsidR="002B5B6A">
        <w:rPr>
          <w:rFonts w:ascii="Times New Roman" w:hAnsi="Times New Roman" w:cs="Times New Roman"/>
          <w:sz w:val="24"/>
          <w:szCs w:val="24"/>
        </w:rPr>
        <w:t>He</w:t>
      </w:r>
      <w:r w:rsidR="00943C33">
        <w:rPr>
          <w:rFonts w:ascii="Times New Roman" w:hAnsi="Times New Roman" w:cs="Times New Roman"/>
          <w:sz w:val="24"/>
          <w:szCs w:val="24"/>
        </w:rPr>
        <w:t>,</w:t>
      </w:r>
      <w:r w:rsidR="002B5B6A">
        <w:rPr>
          <w:rFonts w:ascii="Times New Roman" w:hAnsi="Times New Roman" w:cs="Times New Roman"/>
          <w:sz w:val="24"/>
          <w:szCs w:val="24"/>
        </w:rPr>
        <w:t xml:space="preserve"> in this Court’s view, could only expect to be acquitted by the Labour Court because he was innocent. See </w:t>
      </w:r>
      <w:r w:rsidR="002B5B6A" w:rsidRPr="008E542B">
        <w:rPr>
          <w:rFonts w:ascii="Times New Roman" w:hAnsi="Times New Roman" w:cs="Times New Roman"/>
          <w:i/>
          <w:iCs/>
          <w:sz w:val="24"/>
          <w:szCs w:val="24"/>
        </w:rPr>
        <w:t xml:space="preserve">Air Zimbabwe </w:t>
      </w:r>
      <w:r w:rsidR="000C4FE2" w:rsidRPr="008E542B">
        <w:rPr>
          <w:rFonts w:ascii="Times New Roman" w:hAnsi="Times New Roman" w:cs="Times New Roman"/>
          <w:i/>
          <w:iCs/>
          <w:sz w:val="24"/>
          <w:szCs w:val="24"/>
        </w:rPr>
        <w:t xml:space="preserve">(Pvt) Ltd v </w:t>
      </w:r>
      <w:proofErr w:type="spellStart"/>
      <w:r w:rsidR="000C4FE2" w:rsidRPr="008E542B">
        <w:rPr>
          <w:rFonts w:ascii="Times New Roman" w:hAnsi="Times New Roman" w:cs="Times New Roman"/>
          <w:i/>
          <w:iCs/>
          <w:sz w:val="24"/>
          <w:szCs w:val="24"/>
        </w:rPr>
        <w:t>Mnensa</w:t>
      </w:r>
      <w:proofErr w:type="spellEnd"/>
      <w:r w:rsidR="000C4FE2" w:rsidRPr="008E542B">
        <w:rPr>
          <w:rFonts w:ascii="Times New Roman" w:hAnsi="Times New Roman" w:cs="Times New Roman"/>
          <w:i/>
          <w:iCs/>
          <w:sz w:val="24"/>
          <w:szCs w:val="24"/>
        </w:rPr>
        <w:t xml:space="preserve"> </w:t>
      </w:r>
      <w:r w:rsidR="00AB1D2F" w:rsidRPr="008E542B">
        <w:rPr>
          <w:rFonts w:ascii="Times New Roman" w:hAnsi="Times New Roman" w:cs="Times New Roman"/>
          <w:i/>
          <w:iCs/>
          <w:sz w:val="24"/>
          <w:szCs w:val="24"/>
        </w:rPr>
        <w:t xml:space="preserve">&amp; Anor </w:t>
      </w:r>
      <w:r w:rsidR="00AB1D2F">
        <w:rPr>
          <w:rFonts w:ascii="Times New Roman" w:hAnsi="Times New Roman" w:cs="Times New Roman"/>
          <w:sz w:val="24"/>
          <w:szCs w:val="24"/>
        </w:rPr>
        <w:t xml:space="preserve">SC 89/04 at p 6. </w:t>
      </w:r>
      <w:r w:rsidR="002B5B6A">
        <w:rPr>
          <w:rFonts w:ascii="Times New Roman" w:hAnsi="Times New Roman" w:cs="Times New Roman"/>
          <w:sz w:val="24"/>
          <w:szCs w:val="24"/>
        </w:rPr>
        <w:t xml:space="preserve"> </w:t>
      </w:r>
    </w:p>
    <w:p w14:paraId="7085ADD7" w14:textId="30E0E43D" w:rsidR="00DE1811" w:rsidRDefault="00DE1811" w:rsidP="008E542B">
      <w:pPr>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The Court is satisfied </w:t>
      </w:r>
      <w:r w:rsidR="00F46F7E">
        <w:rPr>
          <w:rFonts w:ascii="Times New Roman" w:hAnsi="Times New Roman" w:cs="Times New Roman"/>
          <w:sz w:val="24"/>
          <w:szCs w:val="24"/>
        </w:rPr>
        <w:t>the</w:t>
      </w:r>
      <w:r>
        <w:rPr>
          <w:rFonts w:ascii="Times New Roman" w:hAnsi="Times New Roman" w:cs="Times New Roman"/>
          <w:sz w:val="24"/>
          <w:szCs w:val="24"/>
        </w:rPr>
        <w:t xml:space="preserve"> attack on the propriety of the conviction arising from the Feedmix convictions is unmeritorious.</w:t>
      </w:r>
    </w:p>
    <w:p w14:paraId="635B2FEB" w14:textId="52337A77" w:rsidR="005F23DC" w:rsidRDefault="00DE1811" w:rsidP="00ED005A">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F46F7E">
        <w:rPr>
          <w:rFonts w:ascii="Times New Roman" w:hAnsi="Times New Roman" w:cs="Times New Roman"/>
          <w:sz w:val="24"/>
          <w:szCs w:val="24"/>
        </w:rPr>
        <w:t>61</w:t>
      </w:r>
      <w:r w:rsidR="00414684">
        <w:rPr>
          <w:rFonts w:ascii="Times New Roman" w:hAnsi="Times New Roman" w:cs="Times New Roman"/>
          <w:sz w:val="24"/>
          <w:szCs w:val="24"/>
        </w:rPr>
        <w:t>]</w:t>
      </w:r>
      <w:r w:rsidR="00414684">
        <w:rPr>
          <w:rFonts w:ascii="Times New Roman" w:hAnsi="Times New Roman" w:cs="Times New Roman"/>
          <w:sz w:val="24"/>
          <w:szCs w:val="24"/>
        </w:rPr>
        <w:tab/>
        <w:t>The c</w:t>
      </w:r>
      <w:r>
        <w:rPr>
          <w:rFonts w:ascii="Times New Roman" w:hAnsi="Times New Roman" w:cs="Times New Roman"/>
          <w:sz w:val="24"/>
          <w:szCs w:val="24"/>
        </w:rPr>
        <w:t xml:space="preserve">ourt is also satisfied that the appellant was correctly convicted over the Ministry booking charge. </w:t>
      </w:r>
      <w:r w:rsidR="005A4BBD">
        <w:rPr>
          <w:rFonts w:ascii="Times New Roman" w:hAnsi="Times New Roman" w:cs="Times New Roman"/>
          <w:sz w:val="24"/>
          <w:szCs w:val="24"/>
        </w:rPr>
        <w:t xml:space="preserve"> </w:t>
      </w:r>
      <w:r w:rsidR="005F23DC">
        <w:rPr>
          <w:rFonts w:ascii="Times New Roman" w:hAnsi="Times New Roman" w:cs="Times New Roman"/>
          <w:sz w:val="24"/>
          <w:szCs w:val="24"/>
        </w:rPr>
        <w:t xml:space="preserve">It was clear from the testimony of </w:t>
      </w:r>
      <w:proofErr w:type="spellStart"/>
      <w:r w:rsidR="005F23DC">
        <w:rPr>
          <w:rFonts w:ascii="Times New Roman" w:hAnsi="Times New Roman" w:cs="Times New Roman"/>
          <w:sz w:val="24"/>
          <w:szCs w:val="24"/>
        </w:rPr>
        <w:t>Isheunesu</w:t>
      </w:r>
      <w:proofErr w:type="spellEnd"/>
      <w:r w:rsidR="005F23DC">
        <w:rPr>
          <w:rFonts w:ascii="Times New Roman" w:hAnsi="Times New Roman" w:cs="Times New Roman"/>
          <w:sz w:val="24"/>
          <w:szCs w:val="24"/>
        </w:rPr>
        <w:t xml:space="preserve"> </w:t>
      </w:r>
      <w:proofErr w:type="spellStart"/>
      <w:r w:rsidR="005F23DC">
        <w:rPr>
          <w:rFonts w:ascii="Times New Roman" w:hAnsi="Times New Roman" w:cs="Times New Roman"/>
          <w:sz w:val="24"/>
          <w:szCs w:val="24"/>
        </w:rPr>
        <w:t>Makarimba</w:t>
      </w:r>
      <w:proofErr w:type="spellEnd"/>
      <w:r w:rsidR="005F23DC">
        <w:rPr>
          <w:rFonts w:ascii="Times New Roman" w:hAnsi="Times New Roman" w:cs="Times New Roman"/>
          <w:sz w:val="24"/>
          <w:szCs w:val="24"/>
        </w:rPr>
        <w:t xml:space="preserve"> </w:t>
      </w:r>
      <w:r w:rsidR="00C37CCA">
        <w:rPr>
          <w:rFonts w:ascii="Times New Roman" w:hAnsi="Times New Roman" w:cs="Times New Roman"/>
          <w:sz w:val="24"/>
          <w:szCs w:val="24"/>
        </w:rPr>
        <w:t xml:space="preserve">and </w:t>
      </w:r>
      <w:proofErr w:type="spellStart"/>
      <w:r w:rsidR="00C37CCA">
        <w:rPr>
          <w:rFonts w:ascii="Times New Roman" w:hAnsi="Times New Roman" w:cs="Times New Roman"/>
          <w:sz w:val="24"/>
          <w:szCs w:val="24"/>
        </w:rPr>
        <w:t>Fadzai</w:t>
      </w:r>
      <w:proofErr w:type="spellEnd"/>
      <w:r w:rsidR="00C37CCA">
        <w:rPr>
          <w:rFonts w:ascii="Times New Roman" w:hAnsi="Times New Roman" w:cs="Times New Roman"/>
          <w:sz w:val="24"/>
          <w:szCs w:val="24"/>
        </w:rPr>
        <w:t xml:space="preserve"> </w:t>
      </w:r>
      <w:proofErr w:type="spellStart"/>
      <w:r w:rsidR="00C37CCA">
        <w:rPr>
          <w:rFonts w:ascii="Times New Roman" w:hAnsi="Times New Roman" w:cs="Times New Roman"/>
          <w:sz w:val="24"/>
          <w:szCs w:val="24"/>
        </w:rPr>
        <w:t>Makuvise</w:t>
      </w:r>
      <w:proofErr w:type="spellEnd"/>
      <w:r w:rsidR="00C37CCA">
        <w:rPr>
          <w:rFonts w:ascii="Times New Roman" w:hAnsi="Times New Roman" w:cs="Times New Roman"/>
          <w:sz w:val="24"/>
          <w:szCs w:val="24"/>
        </w:rPr>
        <w:t xml:space="preserve"> </w:t>
      </w:r>
      <w:r w:rsidR="005F23DC">
        <w:rPr>
          <w:rFonts w:ascii="Times New Roman" w:hAnsi="Times New Roman" w:cs="Times New Roman"/>
          <w:sz w:val="24"/>
          <w:szCs w:val="24"/>
        </w:rPr>
        <w:t xml:space="preserve">that in terms of the </w:t>
      </w:r>
      <w:r w:rsidR="00F46F7E">
        <w:rPr>
          <w:rFonts w:ascii="Times New Roman" w:hAnsi="Times New Roman" w:cs="Times New Roman"/>
          <w:sz w:val="24"/>
          <w:szCs w:val="24"/>
        </w:rPr>
        <w:t xml:space="preserve">legacy debts </w:t>
      </w:r>
      <w:r w:rsidR="005F23DC">
        <w:rPr>
          <w:rFonts w:ascii="Times New Roman" w:hAnsi="Times New Roman" w:cs="Times New Roman"/>
          <w:sz w:val="24"/>
          <w:szCs w:val="24"/>
        </w:rPr>
        <w:t xml:space="preserve">policy the appellant was required to refer the Ministry of Agriculture to </w:t>
      </w:r>
      <w:r w:rsidR="00C37CCA">
        <w:rPr>
          <w:rFonts w:ascii="Times New Roman" w:hAnsi="Times New Roman" w:cs="Times New Roman"/>
          <w:sz w:val="24"/>
          <w:szCs w:val="24"/>
        </w:rPr>
        <w:t xml:space="preserve">the Key Account </w:t>
      </w:r>
      <w:r>
        <w:rPr>
          <w:rFonts w:ascii="Times New Roman" w:hAnsi="Times New Roman" w:cs="Times New Roman"/>
          <w:sz w:val="24"/>
          <w:szCs w:val="24"/>
        </w:rPr>
        <w:t>M</w:t>
      </w:r>
      <w:r w:rsidR="00C37CCA">
        <w:rPr>
          <w:rFonts w:ascii="Times New Roman" w:hAnsi="Times New Roman" w:cs="Times New Roman"/>
          <w:sz w:val="24"/>
          <w:szCs w:val="24"/>
        </w:rPr>
        <w:t>anager</w:t>
      </w:r>
      <w:r>
        <w:rPr>
          <w:rFonts w:ascii="Times New Roman" w:hAnsi="Times New Roman" w:cs="Times New Roman"/>
          <w:sz w:val="24"/>
          <w:szCs w:val="24"/>
        </w:rPr>
        <w:t xml:space="preserve">. </w:t>
      </w:r>
      <w:r w:rsidR="005A4BBD">
        <w:rPr>
          <w:rFonts w:ascii="Times New Roman" w:hAnsi="Times New Roman" w:cs="Times New Roman"/>
          <w:sz w:val="24"/>
          <w:szCs w:val="24"/>
        </w:rPr>
        <w:t xml:space="preserve"> </w:t>
      </w:r>
      <w:r>
        <w:rPr>
          <w:rFonts w:ascii="Times New Roman" w:hAnsi="Times New Roman" w:cs="Times New Roman"/>
          <w:sz w:val="24"/>
          <w:szCs w:val="24"/>
        </w:rPr>
        <w:t xml:space="preserve">The Key Account Manager would either </w:t>
      </w:r>
      <w:r w:rsidR="007E16CB">
        <w:rPr>
          <w:rFonts w:ascii="Times New Roman" w:hAnsi="Times New Roman" w:cs="Times New Roman"/>
          <w:sz w:val="24"/>
          <w:szCs w:val="24"/>
        </w:rPr>
        <w:t>handle the client himself or allow the appellant to do so after adv</w:t>
      </w:r>
      <w:r w:rsidR="005A4BBD">
        <w:rPr>
          <w:rFonts w:ascii="Times New Roman" w:hAnsi="Times New Roman" w:cs="Times New Roman"/>
          <w:sz w:val="24"/>
          <w:szCs w:val="24"/>
        </w:rPr>
        <w:t xml:space="preserve">ising him of its legacy status.  </w:t>
      </w:r>
      <w:r w:rsidR="007E16CB">
        <w:rPr>
          <w:rFonts w:ascii="Times New Roman" w:hAnsi="Times New Roman" w:cs="Times New Roman"/>
          <w:sz w:val="24"/>
          <w:szCs w:val="24"/>
        </w:rPr>
        <w:t>The appellant conceded under cross examination that his head of department had instructed him on the essentials of the legacy policy before he facil</w:t>
      </w:r>
      <w:r w:rsidR="005A4BBD">
        <w:rPr>
          <w:rFonts w:ascii="Times New Roman" w:hAnsi="Times New Roman" w:cs="Times New Roman"/>
          <w:sz w:val="24"/>
          <w:szCs w:val="24"/>
        </w:rPr>
        <w:t xml:space="preserve">itated the Ministry’s booking.  </w:t>
      </w:r>
      <w:r w:rsidR="007E16CB">
        <w:rPr>
          <w:rFonts w:ascii="Times New Roman" w:hAnsi="Times New Roman" w:cs="Times New Roman"/>
          <w:sz w:val="24"/>
          <w:szCs w:val="24"/>
        </w:rPr>
        <w:t xml:space="preserve">A proper consideration </w:t>
      </w:r>
      <w:r w:rsidR="00554036">
        <w:rPr>
          <w:rFonts w:ascii="Times New Roman" w:hAnsi="Times New Roman" w:cs="Times New Roman"/>
          <w:sz w:val="24"/>
          <w:szCs w:val="24"/>
        </w:rPr>
        <w:t xml:space="preserve">of </w:t>
      </w:r>
      <w:r w:rsidR="007E16CB">
        <w:rPr>
          <w:rFonts w:ascii="Times New Roman" w:hAnsi="Times New Roman" w:cs="Times New Roman"/>
          <w:sz w:val="24"/>
          <w:szCs w:val="24"/>
        </w:rPr>
        <w:t xml:space="preserve">all his responses during the investigation, his statement of defence, his evidence in chief, his responses under cross </w:t>
      </w:r>
      <w:r w:rsidR="007E16CB">
        <w:rPr>
          <w:rFonts w:ascii="Times New Roman" w:hAnsi="Times New Roman" w:cs="Times New Roman"/>
          <w:sz w:val="24"/>
          <w:szCs w:val="24"/>
        </w:rPr>
        <w:lastRenderedPageBreak/>
        <w:t xml:space="preserve">examination, the affidavit and testimony of his defence witness show that he was implicitly pleading guilty to the charge. </w:t>
      </w:r>
      <w:r w:rsidR="005A4BBD">
        <w:rPr>
          <w:rFonts w:ascii="Times New Roman" w:hAnsi="Times New Roman" w:cs="Times New Roman"/>
          <w:sz w:val="24"/>
          <w:szCs w:val="24"/>
        </w:rPr>
        <w:t xml:space="preserve"> </w:t>
      </w:r>
      <w:r w:rsidR="007E16CB">
        <w:rPr>
          <w:rFonts w:ascii="Times New Roman" w:hAnsi="Times New Roman" w:cs="Times New Roman"/>
          <w:sz w:val="24"/>
          <w:szCs w:val="24"/>
        </w:rPr>
        <w:t xml:space="preserve">He admitted to facilitating the booking. </w:t>
      </w:r>
      <w:r w:rsidR="005A4BBD">
        <w:rPr>
          <w:rFonts w:ascii="Times New Roman" w:hAnsi="Times New Roman" w:cs="Times New Roman"/>
          <w:sz w:val="24"/>
          <w:szCs w:val="24"/>
        </w:rPr>
        <w:t xml:space="preserve"> </w:t>
      </w:r>
      <w:r w:rsidR="007E16CB">
        <w:rPr>
          <w:rFonts w:ascii="Times New Roman" w:hAnsi="Times New Roman" w:cs="Times New Roman"/>
          <w:sz w:val="24"/>
          <w:szCs w:val="24"/>
        </w:rPr>
        <w:t xml:space="preserve">That was the charge. </w:t>
      </w:r>
      <w:r w:rsidR="005A4BBD">
        <w:rPr>
          <w:rFonts w:ascii="Times New Roman" w:hAnsi="Times New Roman" w:cs="Times New Roman"/>
          <w:sz w:val="24"/>
          <w:szCs w:val="24"/>
        </w:rPr>
        <w:t xml:space="preserve"> </w:t>
      </w:r>
      <w:r w:rsidR="007E16CB">
        <w:rPr>
          <w:rFonts w:ascii="Times New Roman" w:hAnsi="Times New Roman" w:cs="Times New Roman"/>
          <w:sz w:val="24"/>
          <w:szCs w:val="24"/>
        </w:rPr>
        <w:t xml:space="preserve">He denied checking in the </w:t>
      </w:r>
      <w:r w:rsidR="000E76A9">
        <w:rPr>
          <w:rFonts w:ascii="Times New Roman" w:hAnsi="Times New Roman" w:cs="Times New Roman"/>
          <w:sz w:val="24"/>
          <w:szCs w:val="24"/>
        </w:rPr>
        <w:t>M</w:t>
      </w:r>
      <w:r w:rsidR="007E16CB">
        <w:rPr>
          <w:rFonts w:ascii="Times New Roman" w:hAnsi="Times New Roman" w:cs="Times New Roman"/>
          <w:sz w:val="24"/>
          <w:szCs w:val="24"/>
        </w:rPr>
        <w:t xml:space="preserve">inistry delegates. </w:t>
      </w:r>
      <w:r w:rsidR="005A4BBD">
        <w:rPr>
          <w:rFonts w:ascii="Times New Roman" w:hAnsi="Times New Roman" w:cs="Times New Roman"/>
          <w:sz w:val="24"/>
          <w:szCs w:val="24"/>
        </w:rPr>
        <w:t xml:space="preserve"> </w:t>
      </w:r>
      <w:r w:rsidR="007E16CB">
        <w:rPr>
          <w:rFonts w:ascii="Times New Roman" w:hAnsi="Times New Roman" w:cs="Times New Roman"/>
          <w:sz w:val="24"/>
          <w:szCs w:val="24"/>
        </w:rPr>
        <w:t xml:space="preserve">That was not the charge. </w:t>
      </w:r>
    </w:p>
    <w:p w14:paraId="032DBE0C" w14:textId="2B2053C2" w:rsidR="007E16CB" w:rsidRDefault="007E16CB" w:rsidP="00ED005A">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w:t>
      </w:r>
      <w:r w:rsidR="00F43E48">
        <w:rPr>
          <w:rFonts w:ascii="Times New Roman" w:hAnsi="Times New Roman" w:cs="Times New Roman"/>
          <w:sz w:val="24"/>
          <w:szCs w:val="24"/>
        </w:rPr>
        <w:t>6</w:t>
      </w:r>
      <w:r w:rsidR="0010577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The court </w:t>
      </w:r>
      <w:r w:rsidRPr="00F43E48">
        <w:rPr>
          <w:rFonts w:ascii="Times New Roman" w:hAnsi="Times New Roman" w:cs="Times New Roman"/>
          <w:i/>
          <w:iCs/>
          <w:sz w:val="24"/>
          <w:szCs w:val="24"/>
        </w:rPr>
        <w:t>a quo</w:t>
      </w:r>
      <w:r>
        <w:rPr>
          <w:rFonts w:ascii="Times New Roman" w:hAnsi="Times New Roman" w:cs="Times New Roman"/>
          <w:sz w:val="24"/>
          <w:szCs w:val="24"/>
        </w:rPr>
        <w:t>, therefore correc</w:t>
      </w:r>
      <w:r w:rsidR="00B9148A">
        <w:rPr>
          <w:rFonts w:ascii="Times New Roman" w:hAnsi="Times New Roman" w:cs="Times New Roman"/>
          <w:sz w:val="24"/>
          <w:szCs w:val="24"/>
        </w:rPr>
        <w:t>tly</w:t>
      </w:r>
      <w:r>
        <w:rPr>
          <w:rFonts w:ascii="Times New Roman" w:hAnsi="Times New Roman" w:cs="Times New Roman"/>
          <w:sz w:val="24"/>
          <w:szCs w:val="24"/>
        </w:rPr>
        <w:t xml:space="preserve"> upheld the conviction on the charge arising from the Ministry booking.</w:t>
      </w:r>
      <w:r w:rsidR="00B9148A">
        <w:rPr>
          <w:rFonts w:ascii="Times New Roman" w:hAnsi="Times New Roman" w:cs="Times New Roman"/>
          <w:sz w:val="24"/>
          <w:szCs w:val="24"/>
        </w:rPr>
        <w:t xml:space="preserve"> </w:t>
      </w:r>
      <w:r w:rsidR="005A4BBD">
        <w:rPr>
          <w:rFonts w:ascii="Times New Roman" w:hAnsi="Times New Roman" w:cs="Times New Roman"/>
          <w:sz w:val="24"/>
          <w:szCs w:val="24"/>
        </w:rPr>
        <w:t xml:space="preserve"> </w:t>
      </w:r>
      <w:r w:rsidR="00B9148A">
        <w:rPr>
          <w:rFonts w:ascii="Times New Roman" w:hAnsi="Times New Roman" w:cs="Times New Roman"/>
          <w:sz w:val="24"/>
          <w:szCs w:val="24"/>
        </w:rPr>
        <w:t>The fourth ground of appeal is thus devoid of merit and ought to be dismissed.</w:t>
      </w:r>
    </w:p>
    <w:p w14:paraId="2986C7AD" w14:textId="77777777" w:rsidR="007C6ED9" w:rsidRDefault="007C6ED9" w:rsidP="007C6ED9">
      <w:pPr>
        <w:spacing w:after="0" w:line="240" w:lineRule="auto"/>
        <w:ind w:left="720" w:hanging="720"/>
        <w:jc w:val="both"/>
        <w:rPr>
          <w:rFonts w:ascii="Times New Roman" w:hAnsi="Times New Roman" w:cs="Times New Roman"/>
          <w:sz w:val="24"/>
          <w:szCs w:val="24"/>
        </w:rPr>
      </w:pPr>
    </w:p>
    <w:p w14:paraId="2122AFA8" w14:textId="0AA8578C" w:rsidR="00B9148A" w:rsidRPr="007C6ED9" w:rsidRDefault="00F43E48" w:rsidP="00DE1811">
      <w:pPr>
        <w:ind w:left="720" w:hanging="720"/>
        <w:jc w:val="both"/>
        <w:rPr>
          <w:rFonts w:ascii="Times New Roman" w:hAnsi="Times New Roman" w:cs="Times New Roman"/>
          <w:b/>
          <w:bCs/>
          <w:sz w:val="24"/>
          <w:szCs w:val="24"/>
          <w:u w:val="single"/>
        </w:rPr>
      </w:pPr>
      <w:r w:rsidRPr="007C6ED9">
        <w:rPr>
          <w:rFonts w:ascii="Times New Roman" w:hAnsi="Times New Roman" w:cs="Times New Roman"/>
          <w:b/>
          <w:bCs/>
          <w:sz w:val="24"/>
          <w:szCs w:val="24"/>
          <w:u w:val="single"/>
        </w:rPr>
        <w:t>PENALTY</w:t>
      </w:r>
    </w:p>
    <w:p w14:paraId="6652B70B" w14:textId="2F23784E" w:rsidR="00B9148A" w:rsidRDefault="00B9148A" w:rsidP="00ED005A">
      <w:pPr>
        <w:spacing w:line="480" w:lineRule="auto"/>
        <w:ind w:left="540" w:hanging="540"/>
        <w:jc w:val="both"/>
        <w:rPr>
          <w:rFonts w:ascii="Times New Roman" w:hAnsi="Times New Roman" w:cs="Times New Roman"/>
          <w:i/>
          <w:sz w:val="24"/>
          <w:szCs w:val="24"/>
        </w:rPr>
      </w:pPr>
      <w:r>
        <w:rPr>
          <w:rFonts w:ascii="Times New Roman" w:hAnsi="Times New Roman" w:cs="Times New Roman"/>
          <w:sz w:val="24"/>
          <w:szCs w:val="24"/>
        </w:rPr>
        <w:t>[</w:t>
      </w:r>
      <w:r w:rsidR="003B1F2A">
        <w:rPr>
          <w:rFonts w:ascii="Times New Roman" w:hAnsi="Times New Roman" w:cs="Times New Roman"/>
          <w:sz w:val="24"/>
          <w:szCs w:val="24"/>
        </w:rPr>
        <w:t>6</w:t>
      </w:r>
      <w:r w:rsidR="0010577B">
        <w:rPr>
          <w:rFonts w:ascii="Times New Roman" w:hAnsi="Times New Roman" w:cs="Times New Roman"/>
          <w:sz w:val="24"/>
          <w:szCs w:val="24"/>
        </w:rPr>
        <w:t>3</w:t>
      </w:r>
      <w:r>
        <w:rPr>
          <w:rFonts w:ascii="Times New Roman" w:hAnsi="Times New Roman" w:cs="Times New Roman"/>
          <w:sz w:val="24"/>
          <w:szCs w:val="24"/>
        </w:rPr>
        <w:t xml:space="preserve">] </w:t>
      </w:r>
      <w:r w:rsidR="00F43E48">
        <w:rPr>
          <w:rFonts w:ascii="Times New Roman" w:hAnsi="Times New Roman" w:cs="Times New Roman"/>
          <w:sz w:val="24"/>
          <w:szCs w:val="24"/>
        </w:rPr>
        <w:tab/>
      </w:r>
      <w:r>
        <w:rPr>
          <w:rFonts w:ascii="Times New Roman" w:hAnsi="Times New Roman" w:cs="Times New Roman"/>
          <w:sz w:val="24"/>
          <w:szCs w:val="24"/>
        </w:rPr>
        <w:t xml:space="preserve">The law on </w:t>
      </w:r>
      <w:r w:rsidR="003C7B3D">
        <w:rPr>
          <w:rFonts w:ascii="Times New Roman" w:hAnsi="Times New Roman" w:cs="Times New Roman"/>
          <w:sz w:val="24"/>
          <w:szCs w:val="24"/>
        </w:rPr>
        <w:t xml:space="preserve">the appropriate </w:t>
      </w:r>
      <w:r>
        <w:rPr>
          <w:rFonts w:ascii="Times New Roman" w:hAnsi="Times New Roman" w:cs="Times New Roman"/>
          <w:sz w:val="24"/>
          <w:szCs w:val="24"/>
        </w:rPr>
        <w:t>penalty for the charge of conduct inconsistent with the fulfilment of one’s express or implie</w:t>
      </w:r>
      <w:r w:rsidR="005A4BBD">
        <w:rPr>
          <w:rFonts w:ascii="Times New Roman" w:hAnsi="Times New Roman" w:cs="Times New Roman"/>
          <w:sz w:val="24"/>
          <w:szCs w:val="24"/>
        </w:rPr>
        <w:t xml:space="preserve">d terms of contract is settled.  </w:t>
      </w:r>
      <w:r>
        <w:rPr>
          <w:rFonts w:ascii="Times New Roman" w:hAnsi="Times New Roman" w:cs="Times New Roman"/>
          <w:sz w:val="24"/>
          <w:szCs w:val="24"/>
        </w:rPr>
        <w:t>Once the initial hearing officer is satisfied that the employer takes a dim view of the offence and finds that it goes to the root of the contract of employment and exercise</w:t>
      </w:r>
      <w:r w:rsidR="003B1F2A">
        <w:rPr>
          <w:rFonts w:ascii="Times New Roman" w:hAnsi="Times New Roman" w:cs="Times New Roman"/>
          <w:sz w:val="24"/>
          <w:szCs w:val="24"/>
        </w:rPr>
        <w:t>s</w:t>
      </w:r>
      <w:r>
        <w:rPr>
          <w:rFonts w:ascii="Times New Roman" w:hAnsi="Times New Roman" w:cs="Times New Roman"/>
          <w:sz w:val="24"/>
          <w:szCs w:val="24"/>
        </w:rPr>
        <w:t xml:space="preserve"> his</w:t>
      </w:r>
      <w:r w:rsidR="003B1F2A">
        <w:rPr>
          <w:rFonts w:ascii="Times New Roman" w:hAnsi="Times New Roman" w:cs="Times New Roman"/>
          <w:sz w:val="24"/>
          <w:szCs w:val="24"/>
        </w:rPr>
        <w:t xml:space="preserve"> or her</w:t>
      </w:r>
      <w:r>
        <w:rPr>
          <w:rFonts w:ascii="Times New Roman" w:hAnsi="Times New Roman" w:cs="Times New Roman"/>
          <w:sz w:val="24"/>
          <w:szCs w:val="24"/>
        </w:rPr>
        <w:t xml:space="preserve"> discretion to dismiss, his penalty is generally unassailable. </w:t>
      </w:r>
      <w:r w:rsidR="005A4BBD">
        <w:rPr>
          <w:rFonts w:ascii="Times New Roman" w:hAnsi="Times New Roman" w:cs="Times New Roman"/>
          <w:sz w:val="24"/>
          <w:szCs w:val="24"/>
        </w:rPr>
        <w:t xml:space="preserve"> </w:t>
      </w:r>
      <w:r>
        <w:rPr>
          <w:rFonts w:ascii="Times New Roman" w:hAnsi="Times New Roman" w:cs="Times New Roman"/>
          <w:sz w:val="24"/>
          <w:szCs w:val="24"/>
        </w:rPr>
        <w:t xml:space="preserve">The employee in the position of the appellant can only successfully breach this impregnable finding on appeal if he is able to convince the appellate court that his conduct was trivial, inadvertent or excusable. </w:t>
      </w:r>
      <w:r w:rsidR="005A4BBD">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sidR="00605258" w:rsidRPr="00696E99">
        <w:rPr>
          <w:rFonts w:ascii="Times New Roman" w:hAnsi="Times New Roman" w:cs="Times New Roman"/>
          <w:i/>
          <w:sz w:val="24"/>
          <w:szCs w:val="24"/>
        </w:rPr>
        <w:t>Innscor</w:t>
      </w:r>
      <w:proofErr w:type="spellEnd"/>
      <w:r w:rsidR="00605258" w:rsidRPr="00696E99">
        <w:rPr>
          <w:rFonts w:ascii="Times New Roman" w:hAnsi="Times New Roman" w:cs="Times New Roman"/>
          <w:i/>
          <w:sz w:val="24"/>
          <w:szCs w:val="24"/>
        </w:rPr>
        <w:t xml:space="preserve"> Africa (Pvt) Ltd </w:t>
      </w:r>
      <w:r w:rsidR="00605258" w:rsidRPr="005A4BBD">
        <w:rPr>
          <w:rFonts w:ascii="Times New Roman" w:hAnsi="Times New Roman" w:cs="Times New Roman"/>
          <w:sz w:val="24"/>
          <w:szCs w:val="24"/>
        </w:rPr>
        <w:t>v</w:t>
      </w:r>
      <w:r w:rsidR="00605258" w:rsidRPr="00696E99">
        <w:rPr>
          <w:rFonts w:ascii="Times New Roman" w:hAnsi="Times New Roman" w:cs="Times New Roman"/>
          <w:i/>
          <w:sz w:val="24"/>
          <w:szCs w:val="24"/>
        </w:rPr>
        <w:t xml:space="preserve"> </w:t>
      </w:r>
      <w:proofErr w:type="spellStart"/>
      <w:r w:rsidR="00605258" w:rsidRPr="00696E99">
        <w:rPr>
          <w:rFonts w:ascii="Times New Roman" w:hAnsi="Times New Roman" w:cs="Times New Roman"/>
          <w:i/>
          <w:sz w:val="24"/>
          <w:szCs w:val="24"/>
        </w:rPr>
        <w:t>Chimoto</w:t>
      </w:r>
      <w:proofErr w:type="spellEnd"/>
      <w:r w:rsidR="00605258" w:rsidRPr="00696E99">
        <w:rPr>
          <w:rFonts w:ascii="Times New Roman" w:hAnsi="Times New Roman" w:cs="Times New Roman"/>
          <w:sz w:val="24"/>
          <w:szCs w:val="24"/>
        </w:rPr>
        <w:t xml:space="preserve"> </w:t>
      </w:r>
      <w:r w:rsidR="00605258">
        <w:rPr>
          <w:rFonts w:ascii="Times New Roman" w:hAnsi="Times New Roman" w:cs="Times New Roman"/>
          <w:sz w:val="24"/>
          <w:szCs w:val="24"/>
        </w:rPr>
        <w:t xml:space="preserve">SC 6/12, </w:t>
      </w:r>
      <w:r w:rsidRPr="00B9148A">
        <w:rPr>
          <w:rFonts w:ascii="Times New Roman" w:hAnsi="Times New Roman" w:cs="Times New Roman"/>
          <w:i/>
          <w:iCs/>
          <w:sz w:val="24"/>
          <w:szCs w:val="24"/>
        </w:rPr>
        <w:t xml:space="preserve">Toyota Zimbabwe </w:t>
      </w:r>
      <w:r w:rsidRPr="005A4BBD">
        <w:rPr>
          <w:rFonts w:ascii="Times New Roman" w:hAnsi="Times New Roman" w:cs="Times New Roman"/>
          <w:iCs/>
          <w:sz w:val="24"/>
          <w:szCs w:val="24"/>
        </w:rPr>
        <w:t>v</w:t>
      </w:r>
      <w:r w:rsidRPr="00B9148A">
        <w:rPr>
          <w:rFonts w:ascii="Times New Roman" w:hAnsi="Times New Roman" w:cs="Times New Roman"/>
          <w:i/>
          <w:iCs/>
          <w:sz w:val="24"/>
          <w:szCs w:val="24"/>
        </w:rPr>
        <w:t xml:space="preserve"> Posi, supra</w:t>
      </w:r>
      <w:r>
        <w:rPr>
          <w:rFonts w:ascii="Times New Roman" w:hAnsi="Times New Roman" w:cs="Times New Roman"/>
          <w:sz w:val="24"/>
          <w:szCs w:val="24"/>
        </w:rPr>
        <w:t xml:space="preserve">, </w:t>
      </w:r>
      <w:proofErr w:type="gramStart"/>
      <w:r w:rsidRPr="002A19DE">
        <w:rPr>
          <w:rFonts w:ascii="Times New Roman" w:hAnsi="Times New Roman" w:cs="Times New Roman"/>
          <w:i/>
          <w:sz w:val="24"/>
          <w:szCs w:val="24"/>
        </w:rPr>
        <w:t>Standard</w:t>
      </w:r>
      <w:proofErr w:type="gramEnd"/>
      <w:r w:rsidRPr="002A19DE">
        <w:rPr>
          <w:rFonts w:ascii="Times New Roman" w:hAnsi="Times New Roman" w:cs="Times New Roman"/>
          <w:i/>
          <w:sz w:val="24"/>
          <w:szCs w:val="24"/>
        </w:rPr>
        <w:t xml:space="preserve"> Chartered Bank Zimbabwe </w:t>
      </w:r>
      <w:r w:rsidRPr="005A4BBD">
        <w:rPr>
          <w:rFonts w:ascii="Times New Roman" w:hAnsi="Times New Roman" w:cs="Times New Roman"/>
          <w:sz w:val="24"/>
          <w:szCs w:val="24"/>
        </w:rPr>
        <w:t>v</w:t>
      </w:r>
      <w:r w:rsidRPr="002A19DE">
        <w:rPr>
          <w:rFonts w:ascii="Times New Roman" w:hAnsi="Times New Roman" w:cs="Times New Roman"/>
          <w:i/>
          <w:sz w:val="24"/>
          <w:szCs w:val="24"/>
        </w:rPr>
        <w:t xml:space="preserve"> </w:t>
      </w:r>
      <w:proofErr w:type="spellStart"/>
      <w:r w:rsidRPr="002A19DE">
        <w:rPr>
          <w:rFonts w:ascii="Times New Roman" w:hAnsi="Times New Roman" w:cs="Times New Roman"/>
          <w:i/>
          <w:sz w:val="24"/>
          <w:szCs w:val="24"/>
        </w:rPr>
        <w:t>Chapuka</w:t>
      </w:r>
      <w:proofErr w:type="spellEnd"/>
      <w:r w:rsidR="00605258">
        <w:rPr>
          <w:rFonts w:ascii="Times New Roman" w:hAnsi="Times New Roman" w:cs="Times New Roman"/>
          <w:i/>
          <w:sz w:val="24"/>
          <w:szCs w:val="24"/>
        </w:rPr>
        <w:t>, supra.</w:t>
      </w:r>
    </w:p>
    <w:p w14:paraId="4BF4B03C" w14:textId="25D2B345" w:rsidR="00605258" w:rsidRDefault="00605258" w:rsidP="00ED005A">
      <w:pPr>
        <w:spacing w:line="480" w:lineRule="auto"/>
        <w:ind w:left="540" w:hanging="540"/>
        <w:jc w:val="both"/>
        <w:rPr>
          <w:rFonts w:ascii="Times New Roman" w:hAnsi="Times New Roman" w:cs="Times New Roman"/>
          <w:iCs/>
          <w:sz w:val="24"/>
          <w:szCs w:val="24"/>
        </w:rPr>
      </w:pPr>
      <w:r>
        <w:rPr>
          <w:rFonts w:ascii="Times New Roman" w:hAnsi="Times New Roman" w:cs="Times New Roman"/>
          <w:iCs/>
          <w:sz w:val="24"/>
          <w:szCs w:val="24"/>
        </w:rPr>
        <w:t>[6</w:t>
      </w:r>
      <w:r w:rsidR="0010577B">
        <w:rPr>
          <w:rFonts w:ascii="Times New Roman" w:hAnsi="Times New Roman" w:cs="Times New Roman"/>
          <w:iCs/>
          <w:sz w:val="24"/>
          <w:szCs w:val="24"/>
        </w:rPr>
        <w:t>4</w:t>
      </w:r>
      <w:r>
        <w:rPr>
          <w:rFonts w:ascii="Times New Roman" w:hAnsi="Times New Roman" w:cs="Times New Roman"/>
          <w:iCs/>
          <w:sz w:val="24"/>
          <w:szCs w:val="24"/>
        </w:rPr>
        <w:t>]</w:t>
      </w:r>
      <w:r>
        <w:rPr>
          <w:rFonts w:ascii="Times New Roman" w:hAnsi="Times New Roman" w:cs="Times New Roman"/>
          <w:iCs/>
          <w:sz w:val="24"/>
          <w:szCs w:val="24"/>
        </w:rPr>
        <w:tab/>
        <w:t xml:space="preserve">The Court is satisfied that </w:t>
      </w:r>
      <w:r w:rsidR="009F5F60">
        <w:rPr>
          <w:rFonts w:ascii="Times New Roman" w:hAnsi="Times New Roman" w:cs="Times New Roman"/>
          <w:iCs/>
          <w:sz w:val="24"/>
          <w:szCs w:val="24"/>
        </w:rPr>
        <w:t xml:space="preserve">the </w:t>
      </w:r>
      <w:r>
        <w:rPr>
          <w:rFonts w:ascii="Times New Roman" w:hAnsi="Times New Roman" w:cs="Times New Roman"/>
          <w:iCs/>
          <w:sz w:val="24"/>
          <w:szCs w:val="24"/>
        </w:rPr>
        <w:t xml:space="preserve">appellant failed to establish this lower threshold which would have entitled the internal appeal officers, the court </w:t>
      </w:r>
      <w:r w:rsidRPr="00605258">
        <w:rPr>
          <w:rFonts w:ascii="Times New Roman" w:hAnsi="Times New Roman" w:cs="Times New Roman"/>
          <w:i/>
          <w:sz w:val="24"/>
          <w:szCs w:val="24"/>
        </w:rPr>
        <w:t>a quo</w:t>
      </w:r>
      <w:r>
        <w:rPr>
          <w:rFonts w:ascii="Times New Roman" w:hAnsi="Times New Roman" w:cs="Times New Roman"/>
          <w:iCs/>
          <w:sz w:val="24"/>
          <w:szCs w:val="24"/>
        </w:rPr>
        <w:t xml:space="preserve"> and this Court to interfere with the sentence. </w:t>
      </w:r>
      <w:r w:rsidR="005A4BBD">
        <w:rPr>
          <w:rFonts w:ascii="Times New Roman" w:hAnsi="Times New Roman" w:cs="Times New Roman"/>
          <w:iCs/>
          <w:sz w:val="24"/>
          <w:szCs w:val="24"/>
        </w:rPr>
        <w:t xml:space="preserve"> </w:t>
      </w:r>
      <w:r>
        <w:rPr>
          <w:rFonts w:ascii="Times New Roman" w:hAnsi="Times New Roman" w:cs="Times New Roman"/>
          <w:iCs/>
          <w:sz w:val="24"/>
          <w:szCs w:val="24"/>
        </w:rPr>
        <w:t xml:space="preserve">He has also failed to show that the court </w:t>
      </w:r>
      <w:r w:rsidRPr="00605258">
        <w:rPr>
          <w:rFonts w:ascii="Times New Roman" w:hAnsi="Times New Roman" w:cs="Times New Roman"/>
          <w:i/>
          <w:sz w:val="24"/>
          <w:szCs w:val="24"/>
        </w:rPr>
        <w:t>a quo</w:t>
      </w:r>
      <w:r>
        <w:rPr>
          <w:rFonts w:ascii="Times New Roman" w:hAnsi="Times New Roman" w:cs="Times New Roman"/>
          <w:iCs/>
          <w:sz w:val="24"/>
          <w:szCs w:val="24"/>
        </w:rPr>
        <w:t xml:space="preserve"> grossly misdirected itself in the exercise of its discretion in declining to interfere with </w:t>
      </w:r>
      <w:r w:rsidR="009F5F60">
        <w:rPr>
          <w:rFonts w:ascii="Times New Roman" w:hAnsi="Times New Roman" w:cs="Times New Roman"/>
          <w:iCs/>
          <w:sz w:val="24"/>
          <w:szCs w:val="24"/>
        </w:rPr>
        <w:t xml:space="preserve">the </w:t>
      </w:r>
      <w:r>
        <w:rPr>
          <w:rFonts w:ascii="Times New Roman" w:hAnsi="Times New Roman" w:cs="Times New Roman"/>
          <w:iCs/>
          <w:sz w:val="24"/>
          <w:szCs w:val="24"/>
        </w:rPr>
        <w:t xml:space="preserve">sentence. </w:t>
      </w:r>
      <w:r w:rsidR="005A4BBD">
        <w:rPr>
          <w:rFonts w:ascii="Times New Roman" w:hAnsi="Times New Roman" w:cs="Times New Roman"/>
          <w:iCs/>
          <w:sz w:val="24"/>
          <w:szCs w:val="24"/>
        </w:rPr>
        <w:t xml:space="preserve"> </w:t>
      </w:r>
      <w:r>
        <w:rPr>
          <w:rFonts w:ascii="Times New Roman" w:hAnsi="Times New Roman" w:cs="Times New Roman"/>
          <w:iCs/>
          <w:sz w:val="24"/>
          <w:szCs w:val="24"/>
        </w:rPr>
        <w:t xml:space="preserve">The threshold enunciated, </w:t>
      </w:r>
      <w:r w:rsidRPr="00605258">
        <w:rPr>
          <w:rFonts w:ascii="Times New Roman" w:hAnsi="Times New Roman" w:cs="Times New Roman"/>
          <w:i/>
          <w:sz w:val="24"/>
          <w:szCs w:val="24"/>
        </w:rPr>
        <w:t>inter alia</w:t>
      </w:r>
      <w:r>
        <w:rPr>
          <w:rFonts w:ascii="Times New Roman" w:hAnsi="Times New Roman" w:cs="Times New Roman"/>
          <w:iCs/>
          <w:sz w:val="24"/>
          <w:szCs w:val="24"/>
        </w:rPr>
        <w:t xml:space="preserve">, in the cases of </w:t>
      </w:r>
      <w:r w:rsidRPr="003B5728">
        <w:rPr>
          <w:rFonts w:ascii="Times New Roman" w:hAnsi="Times New Roman" w:cs="Times New Roman"/>
          <w:i/>
          <w:color w:val="231F20"/>
          <w:sz w:val="24"/>
          <w:szCs w:val="24"/>
        </w:rPr>
        <w:t xml:space="preserve">ZINWA </w:t>
      </w:r>
      <w:r w:rsidRPr="005506D3">
        <w:rPr>
          <w:rFonts w:ascii="Times New Roman" w:hAnsi="Times New Roman" w:cs="Times New Roman"/>
          <w:color w:val="231F20"/>
          <w:sz w:val="24"/>
          <w:szCs w:val="24"/>
        </w:rPr>
        <w:t>v</w:t>
      </w:r>
      <w:r w:rsidRPr="003B5728">
        <w:rPr>
          <w:rFonts w:ascii="Times New Roman" w:hAnsi="Times New Roman" w:cs="Times New Roman"/>
          <w:i/>
          <w:color w:val="231F20"/>
          <w:sz w:val="24"/>
          <w:szCs w:val="24"/>
        </w:rPr>
        <w:t xml:space="preserve"> </w:t>
      </w:r>
      <w:proofErr w:type="spellStart"/>
      <w:r w:rsidRPr="003B5728">
        <w:rPr>
          <w:rFonts w:ascii="Times New Roman" w:hAnsi="Times New Roman" w:cs="Times New Roman"/>
          <w:i/>
          <w:color w:val="231F20"/>
          <w:sz w:val="24"/>
          <w:szCs w:val="24"/>
        </w:rPr>
        <w:t>Mwoyounotsva</w:t>
      </w:r>
      <w:proofErr w:type="spellEnd"/>
      <w:r w:rsidRPr="003B5728">
        <w:rPr>
          <w:rFonts w:ascii="Times New Roman" w:hAnsi="Times New Roman" w:cs="Times New Roman"/>
          <w:color w:val="231F20"/>
          <w:sz w:val="24"/>
          <w:szCs w:val="24"/>
        </w:rPr>
        <w:t xml:space="preserve"> 2015 (1) ZLR 935 (S) at 940F</w:t>
      </w:r>
      <w:r>
        <w:rPr>
          <w:rFonts w:ascii="Times New Roman" w:hAnsi="Times New Roman" w:cs="Times New Roman"/>
          <w:color w:val="231F20"/>
          <w:sz w:val="24"/>
          <w:szCs w:val="24"/>
        </w:rPr>
        <w:t xml:space="preserve"> and </w:t>
      </w:r>
      <w:r w:rsidRPr="003B5728">
        <w:rPr>
          <w:rFonts w:ascii="Times New Roman" w:hAnsi="Times New Roman" w:cs="Times New Roman"/>
          <w:i/>
          <w:color w:val="231F20"/>
          <w:sz w:val="24"/>
          <w:szCs w:val="24"/>
        </w:rPr>
        <w:t xml:space="preserve">Hama </w:t>
      </w:r>
      <w:r w:rsidRPr="005506D3">
        <w:rPr>
          <w:rFonts w:ascii="Times New Roman" w:hAnsi="Times New Roman" w:cs="Times New Roman"/>
          <w:color w:val="231F20"/>
          <w:sz w:val="24"/>
          <w:szCs w:val="24"/>
        </w:rPr>
        <w:t>v</w:t>
      </w:r>
      <w:r w:rsidRPr="003B5728">
        <w:rPr>
          <w:rFonts w:ascii="Times New Roman" w:hAnsi="Times New Roman" w:cs="Times New Roman"/>
          <w:i/>
          <w:color w:val="231F20"/>
          <w:sz w:val="24"/>
          <w:szCs w:val="24"/>
        </w:rPr>
        <w:t xml:space="preserve"> National Railways of Zimbabwe </w:t>
      </w:r>
      <w:r w:rsidRPr="003B5728">
        <w:rPr>
          <w:rFonts w:ascii="Times New Roman" w:hAnsi="Times New Roman" w:cs="Times New Roman"/>
          <w:color w:val="231F20"/>
          <w:sz w:val="24"/>
          <w:szCs w:val="24"/>
        </w:rPr>
        <w:t>1996 (1) ZLR 664 (S) at 670C-D</w:t>
      </w:r>
      <w:r>
        <w:rPr>
          <w:rFonts w:ascii="Times New Roman" w:hAnsi="Times New Roman" w:cs="Times New Roman"/>
          <w:iCs/>
          <w:sz w:val="24"/>
          <w:szCs w:val="24"/>
        </w:rPr>
        <w:t xml:space="preserve"> </w:t>
      </w:r>
      <w:r w:rsidR="00A1132C">
        <w:rPr>
          <w:rFonts w:ascii="Times New Roman" w:hAnsi="Times New Roman" w:cs="Times New Roman"/>
          <w:iCs/>
          <w:sz w:val="24"/>
          <w:szCs w:val="24"/>
        </w:rPr>
        <w:t>has not been satisfied.</w:t>
      </w:r>
    </w:p>
    <w:p w14:paraId="6711A86C" w14:textId="0B1F7249" w:rsidR="00A1132C" w:rsidRDefault="00A1132C" w:rsidP="007F420C">
      <w:pPr>
        <w:ind w:left="540" w:hanging="540"/>
        <w:jc w:val="both"/>
        <w:rPr>
          <w:rFonts w:ascii="Times New Roman" w:hAnsi="Times New Roman" w:cs="Times New Roman"/>
          <w:iCs/>
          <w:sz w:val="24"/>
          <w:szCs w:val="24"/>
        </w:rPr>
      </w:pPr>
      <w:r>
        <w:rPr>
          <w:rFonts w:ascii="Times New Roman" w:hAnsi="Times New Roman" w:cs="Times New Roman"/>
          <w:iCs/>
          <w:sz w:val="24"/>
          <w:szCs w:val="24"/>
        </w:rPr>
        <w:t>[6</w:t>
      </w:r>
      <w:r w:rsidR="0010577B">
        <w:rPr>
          <w:rFonts w:ascii="Times New Roman" w:hAnsi="Times New Roman" w:cs="Times New Roman"/>
          <w:iCs/>
          <w:sz w:val="24"/>
          <w:szCs w:val="24"/>
        </w:rPr>
        <w:t>5</w:t>
      </w:r>
      <w:r>
        <w:rPr>
          <w:rFonts w:ascii="Times New Roman" w:hAnsi="Times New Roman" w:cs="Times New Roman"/>
          <w:iCs/>
          <w:sz w:val="24"/>
          <w:szCs w:val="24"/>
        </w:rPr>
        <w:t>]</w:t>
      </w:r>
      <w:r>
        <w:rPr>
          <w:rFonts w:ascii="Times New Roman" w:hAnsi="Times New Roman" w:cs="Times New Roman"/>
          <w:iCs/>
          <w:sz w:val="24"/>
          <w:szCs w:val="24"/>
        </w:rPr>
        <w:tab/>
        <w:t>The fifth ground of appeal is also unmeritorious.</w:t>
      </w:r>
    </w:p>
    <w:p w14:paraId="138BC3EB" w14:textId="3F843A94" w:rsidR="00A1132C" w:rsidRPr="007C6ED9" w:rsidRDefault="00A1132C" w:rsidP="00DE1811">
      <w:pPr>
        <w:ind w:left="720" w:hanging="720"/>
        <w:jc w:val="both"/>
        <w:rPr>
          <w:rFonts w:ascii="Times New Roman" w:hAnsi="Times New Roman" w:cs="Times New Roman"/>
          <w:b/>
          <w:bCs/>
          <w:iCs/>
          <w:sz w:val="24"/>
          <w:szCs w:val="24"/>
          <w:u w:val="single"/>
        </w:rPr>
      </w:pPr>
      <w:r w:rsidRPr="007C6ED9">
        <w:rPr>
          <w:rFonts w:ascii="Times New Roman" w:hAnsi="Times New Roman" w:cs="Times New Roman"/>
          <w:b/>
          <w:bCs/>
          <w:iCs/>
          <w:sz w:val="24"/>
          <w:szCs w:val="24"/>
          <w:u w:val="single"/>
        </w:rPr>
        <w:lastRenderedPageBreak/>
        <w:t>COSTS</w:t>
      </w:r>
    </w:p>
    <w:p w14:paraId="25394386" w14:textId="61B41339" w:rsidR="00A1132C" w:rsidRDefault="00A1132C" w:rsidP="00A1132C">
      <w:pPr>
        <w:jc w:val="both"/>
        <w:rPr>
          <w:rFonts w:ascii="Times New Roman" w:hAnsi="Times New Roman" w:cs="Times New Roman"/>
          <w:iCs/>
          <w:sz w:val="24"/>
          <w:szCs w:val="24"/>
        </w:rPr>
      </w:pPr>
      <w:r>
        <w:rPr>
          <w:rFonts w:ascii="Times New Roman" w:hAnsi="Times New Roman" w:cs="Times New Roman"/>
          <w:iCs/>
          <w:sz w:val="24"/>
          <w:szCs w:val="24"/>
        </w:rPr>
        <w:t>[6</w:t>
      </w:r>
      <w:r w:rsidR="0010577B">
        <w:rPr>
          <w:rFonts w:ascii="Times New Roman" w:hAnsi="Times New Roman" w:cs="Times New Roman"/>
          <w:iCs/>
          <w:sz w:val="24"/>
          <w:szCs w:val="24"/>
        </w:rPr>
        <w:t>6</w:t>
      </w:r>
      <w:r>
        <w:rPr>
          <w:rFonts w:ascii="Times New Roman" w:hAnsi="Times New Roman" w:cs="Times New Roman"/>
          <w:iCs/>
          <w:sz w:val="24"/>
          <w:szCs w:val="24"/>
        </w:rPr>
        <w:t>] Costs must follow the result.</w:t>
      </w:r>
    </w:p>
    <w:p w14:paraId="348AA3CE" w14:textId="77777777" w:rsidR="00A1132C" w:rsidRDefault="00A1132C" w:rsidP="00A1132C">
      <w:pPr>
        <w:jc w:val="both"/>
        <w:rPr>
          <w:rFonts w:ascii="Times New Roman" w:hAnsi="Times New Roman" w:cs="Times New Roman"/>
          <w:iCs/>
          <w:sz w:val="24"/>
          <w:szCs w:val="24"/>
        </w:rPr>
      </w:pPr>
    </w:p>
    <w:p w14:paraId="2CFFFA40" w14:textId="12D49C1C" w:rsidR="00A1132C" w:rsidRPr="00AE2706" w:rsidRDefault="00A1132C" w:rsidP="00A1132C">
      <w:pPr>
        <w:jc w:val="both"/>
        <w:rPr>
          <w:rFonts w:ascii="Times New Roman" w:hAnsi="Times New Roman" w:cs="Times New Roman"/>
          <w:b/>
          <w:bCs/>
          <w:iCs/>
          <w:sz w:val="24"/>
          <w:szCs w:val="24"/>
          <w:u w:val="single"/>
        </w:rPr>
      </w:pPr>
      <w:r w:rsidRPr="00AE2706">
        <w:rPr>
          <w:rFonts w:ascii="Times New Roman" w:hAnsi="Times New Roman" w:cs="Times New Roman"/>
          <w:b/>
          <w:bCs/>
          <w:iCs/>
          <w:sz w:val="24"/>
          <w:szCs w:val="24"/>
          <w:u w:val="single"/>
        </w:rPr>
        <w:t>DISPOSITION</w:t>
      </w:r>
    </w:p>
    <w:p w14:paraId="1766F336" w14:textId="7947D08E" w:rsidR="00A1132C" w:rsidRDefault="00A1132C" w:rsidP="00A1132C">
      <w:pPr>
        <w:jc w:val="both"/>
        <w:rPr>
          <w:rFonts w:ascii="Times New Roman" w:hAnsi="Times New Roman" w:cs="Times New Roman"/>
          <w:iCs/>
          <w:sz w:val="24"/>
          <w:szCs w:val="24"/>
        </w:rPr>
      </w:pPr>
      <w:r>
        <w:rPr>
          <w:rFonts w:ascii="Times New Roman" w:hAnsi="Times New Roman" w:cs="Times New Roman"/>
          <w:iCs/>
          <w:sz w:val="24"/>
          <w:szCs w:val="24"/>
        </w:rPr>
        <w:t>[6</w:t>
      </w:r>
      <w:r w:rsidR="0010577B">
        <w:rPr>
          <w:rFonts w:ascii="Times New Roman" w:hAnsi="Times New Roman" w:cs="Times New Roman"/>
          <w:iCs/>
          <w:sz w:val="24"/>
          <w:szCs w:val="24"/>
        </w:rPr>
        <w:t>7</w:t>
      </w:r>
      <w:r w:rsidR="00FF15ED">
        <w:rPr>
          <w:rFonts w:ascii="Times New Roman" w:hAnsi="Times New Roman" w:cs="Times New Roman"/>
          <w:iCs/>
          <w:sz w:val="24"/>
          <w:szCs w:val="24"/>
        </w:rPr>
        <w:t xml:space="preserve">]  </w:t>
      </w:r>
      <w:r w:rsidR="00E71C95">
        <w:rPr>
          <w:rFonts w:ascii="Times New Roman" w:hAnsi="Times New Roman" w:cs="Times New Roman"/>
          <w:iCs/>
          <w:sz w:val="24"/>
          <w:szCs w:val="24"/>
        </w:rPr>
        <w:t xml:space="preserve"> </w:t>
      </w:r>
      <w:r>
        <w:rPr>
          <w:rFonts w:ascii="Times New Roman" w:hAnsi="Times New Roman" w:cs="Times New Roman"/>
          <w:iCs/>
          <w:sz w:val="24"/>
          <w:szCs w:val="24"/>
        </w:rPr>
        <w:t>It is accordingly ordered that:</w:t>
      </w:r>
    </w:p>
    <w:p w14:paraId="5C6CF2BD" w14:textId="5EC9DFE3" w:rsidR="00A1132C" w:rsidRDefault="000C4101" w:rsidP="00A1132C">
      <w:pPr>
        <w:jc w:val="both"/>
        <w:rPr>
          <w:rFonts w:ascii="Times New Roman" w:hAnsi="Times New Roman" w:cs="Times New Roman"/>
          <w:iCs/>
          <w:sz w:val="24"/>
          <w:szCs w:val="24"/>
        </w:rPr>
      </w:pPr>
      <w:r>
        <w:rPr>
          <w:rFonts w:ascii="Times New Roman" w:hAnsi="Times New Roman" w:cs="Times New Roman"/>
          <w:iCs/>
          <w:sz w:val="24"/>
          <w:szCs w:val="24"/>
        </w:rPr>
        <w:tab/>
        <w:t xml:space="preserve">       </w:t>
      </w:r>
      <w:r w:rsidR="00A1132C">
        <w:rPr>
          <w:rFonts w:ascii="Times New Roman" w:hAnsi="Times New Roman" w:cs="Times New Roman"/>
          <w:iCs/>
          <w:sz w:val="24"/>
          <w:szCs w:val="24"/>
        </w:rPr>
        <w:t>“The appeal be and is hereby dismissed with costs.”</w:t>
      </w:r>
    </w:p>
    <w:p w14:paraId="119D6BE2" w14:textId="77777777" w:rsidR="00A1132C" w:rsidRDefault="00A1132C" w:rsidP="00A1132C">
      <w:pPr>
        <w:jc w:val="both"/>
        <w:rPr>
          <w:rFonts w:ascii="Times New Roman" w:hAnsi="Times New Roman" w:cs="Times New Roman"/>
          <w:iCs/>
          <w:sz w:val="24"/>
          <w:szCs w:val="24"/>
        </w:rPr>
      </w:pPr>
    </w:p>
    <w:p w14:paraId="4593564B" w14:textId="77777777" w:rsidR="00A1132C" w:rsidRDefault="00A1132C" w:rsidP="00A1132C">
      <w:pPr>
        <w:jc w:val="both"/>
        <w:rPr>
          <w:rFonts w:ascii="Times New Roman" w:hAnsi="Times New Roman" w:cs="Times New Roman"/>
          <w:iCs/>
          <w:sz w:val="24"/>
          <w:szCs w:val="24"/>
        </w:rPr>
      </w:pPr>
    </w:p>
    <w:p w14:paraId="159273BF" w14:textId="5AF8C785" w:rsidR="00A1132C" w:rsidRDefault="00A1132C" w:rsidP="007C6ED9">
      <w:pPr>
        <w:ind w:left="720" w:firstLine="720"/>
        <w:jc w:val="both"/>
        <w:rPr>
          <w:rFonts w:ascii="Times New Roman" w:hAnsi="Times New Roman" w:cs="Times New Roman"/>
          <w:bCs/>
          <w:iCs/>
          <w:sz w:val="24"/>
          <w:szCs w:val="24"/>
        </w:rPr>
      </w:pPr>
      <w:r w:rsidRPr="003B1F2A">
        <w:rPr>
          <w:rFonts w:ascii="Times New Roman" w:hAnsi="Times New Roman" w:cs="Times New Roman"/>
          <w:b/>
          <w:bCs/>
          <w:iCs/>
          <w:sz w:val="24"/>
          <w:szCs w:val="24"/>
        </w:rPr>
        <w:t>BHUNU JA</w:t>
      </w:r>
      <w:r w:rsidR="007C6ED9">
        <w:rPr>
          <w:rFonts w:ascii="Times New Roman" w:hAnsi="Times New Roman" w:cs="Times New Roman"/>
          <w:b/>
          <w:bCs/>
          <w:iCs/>
          <w:sz w:val="24"/>
          <w:szCs w:val="24"/>
        </w:rPr>
        <w:tab/>
      </w:r>
      <w:r w:rsidR="007C6ED9">
        <w:rPr>
          <w:rFonts w:ascii="Times New Roman" w:hAnsi="Times New Roman" w:cs="Times New Roman"/>
          <w:b/>
          <w:bCs/>
          <w:iCs/>
          <w:sz w:val="24"/>
          <w:szCs w:val="24"/>
        </w:rPr>
        <w:tab/>
      </w:r>
      <w:r w:rsidRPr="007C6ED9">
        <w:rPr>
          <w:rFonts w:ascii="Times New Roman" w:hAnsi="Times New Roman" w:cs="Times New Roman"/>
          <w:bCs/>
          <w:iCs/>
          <w:sz w:val="24"/>
          <w:szCs w:val="24"/>
        </w:rPr>
        <w:t>:</w:t>
      </w:r>
      <w:r w:rsidRPr="007C6ED9">
        <w:rPr>
          <w:rFonts w:ascii="Times New Roman" w:hAnsi="Times New Roman" w:cs="Times New Roman"/>
          <w:bCs/>
          <w:iCs/>
          <w:sz w:val="24"/>
          <w:szCs w:val="24"/>
        </w:rPr>
        <w:tab/>
        <w:t xml:space="preserve">I   </w:t>
      </w:r>
      <w:r w:rsidR="007C6ED9">
        <w:rPr>
          <w:rFonts w:ascii="Times New Roman" w:hAnsi="Times New Roman" w:cs="Times New Roman"/>
          <w:bCs/>
          <w:iCs/>
          <w:sz w:val="24"/>
          <w:szCs w:val="24"/>
        </w:rPr>
        <w:t>a</w:t>
      </w:r>
      <w:r w:rsidRPr="007C6ED9">
        <w:rPr>
          <w:rFonts w:ascii="Times New Roman" w:hAnsi="Times New Roman" w:cs="Times New Roman"/>
          <w:bCs/>
          <w:iCs/>
          <w:sz w:val="24"/>
          <w:szCs w:val="24"/>
        </w:rPr>
        <w:t>gree</w:t>
      </w:r>
    </w:p>
    <w:p w14:paraId="67C1F67B" w14:textId="77777777" w:rsidR="007C6ED9" w:rsidRDefault="007C6ED9" w:rsidP="007C6ED9">
      <w:pPr>
        <w:ind w:left="720" w:firstLine="720"/>
        <w:jc w:val="both"/>
        <w:rPr>
          <w:rFonts w:ascii="Times New Roman" w:hAnsi="Times New Roman" w:cs="Times New Roman"/>
          <w:bCs/>
          <w:iCs/>
          <w:sz w:val="24"/>
          <w:szCs w:val="24"/>
        </w:rPr>
      </w:pPr>
    </w:p>
    <w:p w14:paraId="52BF1EAE" w14:textId="77777777" w:rsidR="007C6ED9" w:rsidRPr="007C6ED9" w:rsidRDefault="007C6ED9" w:rsidP="008330EB">
      <w:pPr>
        <w:spacing w:after="0" w:line="240" w:lineRule="auto"/>
        <w:ind w:left="720" w:firstLine="720"/>
        <w:jc w:val="both"/>
        <w:rPr>
          <w:rFonts w:ascii="Times New Roman" w:hAnsi="Times New Roman" w:cs="Times New Roman"/>
          <w:bCs/>
          <w:iCs/>
          <w:sz w:val="24"/>
          <w:szCs w:val="24"/>
        </w:rPr>
      </w:pPr>
    </w:p>
    <w:p w14:paraId="5C8220CE" w14:textId="150B261D" w:rsidR="00A1132C" w:rsidRDefault="00A1132C" w:rsidP="007C6ED9">
      <w:pPr>
        <w:ind w:left="720" w:firstLine="720"/>
        <w:jc w:val="both"/>
        <w:rPr>
          <w:rFonts w:ascii="Times New Roman" w:hAnsi="Times New Roman" w:cs="Times New Roman"/>
          <w:b/>
          <w:bCs/>
          <w:iCs/>
          <w:sz w:val="24"/>
          <w:szCs w:val="24"/>
        </w:rPr>
      </w:pPr>
      <w:r w:rsidRPr="003B1F2A">
        <w:rPr>
          <w:rFonts w:ascii="Times New Roman" w:hAnsi="Times New Roman" w:cs="Times New Roman"/>
          <w:b/>
          <w:bCs/>
          <w:iCs/>
          <w:sz w:val="24"/>
          <w:szCs w:val="24"/>
        </w:rPr>
        <w:t>MUSAKWA JA</w:t>
      </w:r>
      <w:r w:rsidR="007C6ED9">
        <w:rPr>
          <w:rFonts w:ascii="Times New Roman" w:hAnsi="Times New Roman" w:cs="Times New Roman"/>
          <w:b/>
          <w:bCs/>
          <w:iCs/>
          <w:sz w:val="24"/>
          <w:szCs w:val="24"/>
        </w:rPr>
        <w:tab/>
      </w:r>
      <w:r w:rsidRPr="007C6ED9">
        <w:rPr>
          <w:rFonts w:ascii="Times New Roman" w:hAnsi="Times New Roman" w:cs="Times New Roman"/>
          <w:bCs/>
          <w:iCs/>
          <w:sz w:val="24"/>
          <w:szCs w:val="24"/>
        </w:rPr>
        <w:t>:</w:t>
      </w:r>
      <w:r w:rsidR="007C6ED9">
        <w:rPr>
          <w:rFonts w:ascii="Times New Roman" w:hAnsi="Times New Roman" w:cs="Times New Roman"/>
          <w:b/>
          <w:bCs/>
          <w:iCs/>
          <w:sz w:val="24"/>
          <w:szCs w:val="24"/>
        </w:rPr>
        <w:tab/>
      </w:r>
      <w:r w:rsidRPr="007C6ED9">
        <w:rPr>
          <w:rFonts w:ascii="Times New Roman" w:hAnsi="Times New Roman" w:cs="Times New Roman"/>
          <w:bCs/>
          <w:iCs/>
          <w:sz w:val="24"/>
          <w:szCs w:val="24"/>
        </w:rPr>
        <w:t xml:space="preserve">I   </w:t>
      </w:r>
      <w:r w:rsidR="007C6ED9">
        <w:rPr>
          <w:rFonts w:ascii="Times New Roman" w:hAnsi="Times New Roman" w:cs="Times New Roman"/>
          <w:bCs/>
          <w:iCs/>
          <w:sz w:val="24"/>
          <w:szCs w:val="24"/>
        </w:rPr>
        <w:t>a</w:t>
      </w:r>
      <w:r w:rsidRPr="007C6ED9">
        <w:rPr>
          <w:rFonts w:ascii="Times New Roman" w:hAnsi="Times New Roman" w:cs="Times New Roman"/>
          <w:bCs/>
          <w:iCs/>
          <w:sz w:val="24"/>
          <w:szCs w:val="24"/>
        </w:rPr>
        <w:t>gree</w:t>
      </w:r>
      <w:r w:rsidRPr="003B1F2A">
        <w:rPr>
          <w:rFonts w:ascii="Times New Roman" w:hAnsi="Times New Roman" w:cs="Times New Roman"/>
          <w:b/>
          <w:bCs/>
          <w:iCs/>
          <w:sz w:val="24"/>
          <w:szCs w:val="24"/>
        </w:rPr>
        <w:t xml:space="preserve"> </w:t>
      </w:r>
    </w:p>
    <w:p w14:paraId="352ED93F" w14:textId="77777777" w:rsidR="00103321" w:rsidRDefault="00103321" w:rsidP="007C6ED9">
      <w:pPr>
        <w:ind w:left="720" w:firstLine="720"/>
        <w:jc w:val="both"/>
        <w:rPr>
          <w:rFonts w:ascii="Times New Roman" w:hAnsi="Times New Roman" w:cs="Times New Roman"/>
          <w:b/>
          <w:bCs/>
          <w:iCs/>
          <w:sz w:val="24"/>
          <w:szCs w:val="24"/>
        </w:rPr>
      </w:pPr>
    </w:p>
    <w:p w14:paraId="3D62A0CB" w14:textId="77777777" w:rsidR="00444517" w:rsidRPr="003B1F2A" w:rsidRDefault="00444517" w:rsidP="007C6ED9">
      <w:pPr>
        <w:ind w:left="720" w:firstLine="720"/>
        <w:jc w:val="both"/>
        <w:rPr>
          <w:rFonts w:ascii="Times New Roman" w:hAnsi="Times New Roman" w:cs="Times New Roman"/>
          <w:b/>
          <w:bCs/>
          <w:iCs/>
          <w:sz w:val="24"/>
          <w:szCs w:val="24"/>
        </w:rPr>
      </w:pPr>
    </w:p>
    <w:p w14:paraId="69C355F1" w14:textId="77777777" w:rsidR="003B1F2A" w:rsidRDefault="003B1F2A" w:rsidP="00A1132C">
      <w:pPr>
        <w:jc w:val="both"/>
        <w:rPr>
          <w:rFonts w:ascii="Times New Roman" w:hAnsi="Times New Roman" w:cs="Times New Roman"/>
          <w:iCs/>
          <w:sz w:val="24"/>
          <w:szCs w:val="24"/>
        </w:rPr>
      </w:pPr>
    </w:p>
    <w:p w14:paraId="568E9B25" w14:textId="4538656E" w:rsidR="003B1F2A" w:rsidRDefault="000D6BB2" w:rsidP="00662A0C">
      <w:pPr>
        <w:spacing w:line="480" w:lineRule="auto"/>
        <w:jc w:val="both"/>
        <w:rPr>
          <w:rFonts w:ascii="Times New Roman" w:hAnsi="Times New Roman" w:cs="Times New Roman"/>
          <w:iCs/>
          <w:sz w:val="24"/>
          <w:szCs w:val="24"/>
        </w:rPr>
      </w:pPr>
      <w:proofErr w:type="spellStart"/>
      <w:r w:rsidRPr="003B1F2A">
        <w:rPr>
          <w:rFonts w:ascii="Times New Roman" w:hAnsi="Times New Roman" w:cs="Times New Roman"/>
          <w:i/>
          <w:sz w:val="24"/>
          <w:szCs w:val="24"/>
        </w:rPr>
        <w:t>Chambati</w:t>
      </w:r>
      <w:proofErr w:type="spellEnd"/>
      <w:r w:rsidRPr="003B1F2A">
        <w:rPr>
          <w:rFonts w:ascii="Times New Roman" w:hAnsi="Times New Roman" w:cs="Times New Roman"/>
          <w:i/>
          <w:sz w:val="24"/>
          <w:szCs w:val="24"/>
        </w:rPr>
        <w:t xml:space="preserve">, </w:t>
      </w:r>
      <w:proofErr w:type="spellStart"/>
      <w:r w:rsidRPr="003B1F2A">
        <w:rPr>
          <w:rFonts w:ascii="Times New Roman" w:hAnsi="Times New Roman" w:cs="Times New Roman"/>
          <w:i/>
          <w:sz w:val="24"/>
          <w:szCs w:val="24"/>
        </w:rPr>
        <w:t>Mataka</w:t>
      </w:r>
      <w:proofErr w:type="spellEnd"/>
      <w:r w:rsidRPr="003B1F2A">
        <w:rPr>
          <w:rFonts w:ascii="Times New Roman" w:hAnsi="Times New Roman" w:cs="Times New Roman"/>
          <w:i/>
          <w:sz w:val="24"/>
          <w:szCs w:val="24"/>
        </w:rPr>
        <w:t xml:space="preserve"> &amp; </w:t>
      </w:r>
      <w:proofErr w:type="spellStart"/>
      <w:r w:rsidRPr="003B1F2A">
        <w:rPr>
          <w:rFonts w:ascii="Times New Roman" w:hAnsi="Times New Roman" w:cs="Times New Roman"/>
          <w:i/>
          <w:sz w:val="24"/>
          <w:szCs w:val="24"/>
        </w:rPr>
        <w:t>Makonese</w:t>
      </w:r>
      <w:proofErr w:type="spellEnd"/>
      <w:r w:rsidR="00955B44">
        <w:rPr>
          <w:rFonts w:ascii="Times New Roman" w:hAnsi="Times New Roman" w:cs="Times New Roman"/>
          <w:i/>
          <w:sz w:val="24"/>
          <w:szCs w:val="24"/>
        </w:rPr>
        <w:t xml:space="preserve"> Attorneys at Law</w:t>
      </w:r>
      <w:r>
        <w:rPr>
          <w:rFonts w:ascii="Times New Roman" w:hAnsi="Times New Roman" w:cs="Times New Roman"/>
          <w:iCs/>
          <w:sz w:val="24"/>
          <w:szCs w:val="24"/>
        </w:rPr>
        <w:t>, appellant’s legal practitioners.</w:t>
      </w:r>
    </w:p>
    <w:p w14:paraId="034D33BE" w14:textId="612CC222" w:rsidR="000D6BB2" w:rsidRDefault="000D6BB2" w:rsidP="00662A0C">
      <w:pPr>
        <w:spacing w:line="480" w:lineRule="auto"/>
        <w:jc w:val="both"/>
        <w:rPr>
          <w:rFonts w:ascii="Times New Roman" w:hAnsi="Times New Roman" w:cs="Times New Roman"/>
          <w:iCs/>
          <w:sz w:val="24"/>
          <w:szCs w:val="24"/>
        </w:rPr>
      </w:pPr>
      <w:r w:rsidRPr="003B1F2A">
        <w:rPr>
          <w:rFonts w:ascii="Times New Roman" w:hAnsi="Times New Roman" w:cs="Times New Roman"/>
          <w:i/>
          <w:sz w:val="24"/>
          <w:szCs w:val="24"/>
        </w:rPr>
        <w:t xml:space="preserve">C </w:t>
      </w:r>
      <w:proofErr w:type="spellStart"/>
      <w:r w:rsidRPr="003B1F2A">
        <w:rPr>
          <w:rFonts w:ascii="Times New Roman" w:hAnsi="Times New Roman" w:cs="Times New Roman"/>
          <w:i/>
          <w:sz w:val="24"/>
          <w:szCs w:val="24"/>
        </w:rPr>
        <w:t>Kuhuni</w:t>
      </w:r>
      <w:proofErr w:type="spellEnd"/>
      <w:r w:rsidRPr="003B1F2A">
        <w:rPr>
          <w:rFonts w:ascii="Times New Roman" w:hAnsi="Times New Roman" w:cs="Times New Roman"/>
          <w:i/>
          <w:sz w:val="24"/>
          <w:szCs w:val="24"/>
        </w:rPr>
        <w:t xml:space="preserve"> Attorneys</w:t>
      </w:r>
      <w:r>
        <w:rPr>
          <w:rFonts w:ascii="Times New Roman" w:hAnsi="Times New Roman" w:cs="Times New Roman"/>
          <w:iCs/>
          <w:sz w:val="24"/>
          <w:szCs w:val="24"/>
        </w:rPr>
        <w:t>, respondent’s legal practi</w:t>
      </w:r>
      <w:r w:rsidR="000A4860">
        <w:rPr>
          <w:rFonts w:ascii="Times New Roman" w:hAnsi="Times New Roman" w:cs="Times New Roman"/>
          <w:iCs/>
          <w:sz w:val="24"/>
          <w:szCs w:val="24"/>
        </w:rPr>
        <w:t>ti</w:t>
      </w:r>
      <w:r>
        <w:rPr>
          <w:rFonts w:ascii="Times New Roman" w:hAnsi="Times New Roman" w:cs="Times New Roman"/>
          <w:iCs/>
          <w:sz w:val="24"/>
          <w:szCs w:val="24"/>
        </w:rPr>
        <w:t>oners.</w:t>
      </w:r>
    </w:p>
    <w:p w14:paraId="427E2C80" w14:textId="77777777" w:rsidR="00A1132C" w:rsidRPr="00605258" w:rsidRDefault="00A1132C" w:rsidP="00DE1811">
      <w:pPr>
        <w:ind w:left="720" w:hanging="720"/>
        <w:jc w:val="both"/>
        <w:rPr>
          <w:rFonts w:ascii="Times New Roman" w:hAnsi="Times New Roman" w:cs="Times New Roman"/>
          <w:iCs/>
          <w:sz w:val="24"/>
          <w:szCs w:val="24"/>
        </w:rPr>
      </w:pPr>
    </w:p>
    <w:sectPr w:rsidR="00A1132C" w:rsidRPr="006052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88472" w14:textId="77777777" w:rsidR="000C56F7" w:rsidRDefault="000C56F7" w:rsidP="00E161D4">
      <w:pPr>
        <w:spacing w:after="0" w:line="240" w:lineRule="auto"/>
      </w:pPr>
      <w:r>
        <w:separator/>
      </w:r>
    </w:p>
  </w:endnote>
  <w:endnote w:type="continuationSeparator" w:id="0">
    <w:p w14:paraId="175018DB" w14:textId="77777777" w:rsidR="000C56F7" w:rsidRDefault="000C56F7" w:rsidP="00E1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08105" w14:textId="77777777" w:rsidR="000C56F7" w:rsidRDefault="000C56F7" w:rsidP="00E161D4">
      <w:pPr>
        <w:spacing w:after="0" w:line="240" w:lineRule="auto"/>
      </w:pPr>
      <w:r>
        <w:separator/>
      </w:r>
    </w:p>
  </w:footnote>
  <w:footnote w:type="continuationSeparator" w:id="0">
    <w:p w14:paraId="40F83302" w14:textId="77777777" w:rsidR="000C56F7" w:rsidRDefault="000C56F7" w:rsidP="00E16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E8159" w14:textId="1744036C" w:rsidR="00E161D4" w:rsidRDefault="00924CCE">
    <w:pPr>
      <w:pStyle w:val="Header"/>
    </w:pPr>
    <w:r>
      <w:rPr>
        <w:noProof/>
        <w:lang w:eastAsia="en-ZW"/>
      </w:rPr>
      <mc:AlternateContent>
        <mc:Choice Requires="wps">
          <w:drawing>
            <wp:anchor distT="0" distB="0" distL="114300" distR="114300" simplePos="0" relativeHeight="251660288" behindDoc="0" locked="0" layoutInCell="0" allowOverlap="1" wp14:anchorId="274402C7" wp14:editId="772B5D2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4A9DC" w14:textId="04122A85" w:rsidR="00924CCE" w:rsidRPr="00924CCE" w:rsidRDefault="000C7B5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66</w:t>
                          </w:r>
                          <w:r w:rsidR="00924CCE" w:rsidRPr="00924CCE">
                            <w:rPr>
                              <w:rFonts w:ascii="Times New Roman" w:hAnsi="Times New Roman" w:cs="Times New Roman"/>
                              <w:b/>
                              <w:noProof/>
                              <w:sz w:val="24"/>
                              <w:szCs w:val="24"/>
                            </w:rPr>
                            <w:t>/25</w:t>
                          </w:r>
                        </w:p>
                        <w:p w14:paraId="1CEE4B0C" w14:textId="0C04649E" w:rsidR="00924CCE" w:rsidRPr="00924CCE" w:rsidRDefault="00924CCE">
                          <w:pPr>
                            <w:spacing w:after="0" w:line="240" w:lineRule="auto"/>
                            <w:jc w:val="right"/>
                            <w:rPr>
                              <w:rFonts w:ascii="Times New Roman" w:hAnsi="Times New Roman" w:cs="Times New Roman"/>
                              <w:b/>
                              <w:noProof/>
                              <w:sz w:val="24"/>
                              <w:szCs w:val="24"/>
                            </w:rPr>
                          </w:pPr>
                          <w:r w:rsidRPr="00924CCE">
                            <w:rPr>
                              <w:rFonts w:ascii="Times New Roman" w:hAnsi="Times New Roman" w:cs="Times New Roman"/>
                              <w:b/>
                              <w:noProof/>
                              <w:sz w:val="24"/>
                              <w:szCs w:val="24"/>
                            </w:rPr>
                            <w:t>Civil Appeal No. SC</w:t>
                          </w:r>
                          <w:r w:rsidR="00197317">
                            <w:rPr>
                              <w:rFonts w:ascii="Times New Roman" w:hAnsi="Times New Roman" w:cs="Times New Roman"/>
                              <w:b/>
                              <w:noProof/>
                              <w:sz w:val="24"/>
                              <w:szCs w:val="24"/>
                            </w:rPr>
                            <w:t xml:space="preserve"> 335/</w:t>
                          </w:r>
                          <w:r w:rsidRPr="00924CCE">
                            <w:rPr>
                              <w:rFonts w:ascii="Times New Roman" w:hAnsi="Times New Roman" w:cs="Times New Roman"/>
                              <w:b/>
                              <w:noProof/>
                              <w:sz w:val="24"/>
                              <w:szCs w:val="24"/>
                            </w:rPr>
                            <w:t>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4402C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5E4A9DC" w14:textId="04122A85" w:rsidR="00924CCE" w:rsidRPr="00924CCE" w:rsidRDefault="000C7B54">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66</w:t>
                    </w:r>
                    <w:r w:rsidR="00924CCE" w:rsidRPr="00924CCE">
                      <w:rPr>
                        <w:rFonts w:ascii="Times New Roman" w:hAnsi="Times New Roman" w:cs="Times New Roman"/>
                        <w:b/>
                        <w:noProof/>
                        <w:sz w:val="24"/>
                        <w:szCs w:val="24"/>
                      </w:rPr>
                      <w:t>/25</w:t>
                    </w:r>
                  </w:p>
                  <w:p w14:paraId="1CEE4B0C" w14:textId="0C04649E" w:rsidR="00924CCE" w:rsidRPr="00924CCE" w:rsidRDefault="00924CCE">
                    <w:pPr>
                      <w:spacing w:after="0" w:line="240" w:lineRule="auto"/>
                      <w:jc w:val="right"/>
                      <w:rPr>
                        <w:rFonts w:ascii="Times New Roman" w:hAnsi="Times New Roman" w:cs="Times New Roman"/>
                        <w:b/>
                        <w:noProof/>
                        <w:sz w:val="24"/>
                        <w:szCs w:val="24"/>
                      </w:rPr>
                    </w:pPr>
                    <w:r w:rsidRPr="00924CCE">
                      <w:rPr>
                        <w:rFonts w:ascii="Times New Roman" w:hAnsi="Times New Roman" w:cs="Times New Roman"/>
                        <w:b/>
                        <w:noProof/>
                        <w:sz w:val="24"/>
                        <w:szCs w:val="24"/>
                      </w:rPr>
                      <w:t>Civil Appeal No. SC</w:t>
                    </w:r>
                    <w:r w:rsidR="00197317">
                      <w:rPr>
                        <w:rFonts w:ascii="Times New Roman" w:hAnsi="Times New Roman" w:cs="Times New Roman"/>
                        <w:b/>
                        <w:noProof/>
                        <w:sz w:val="24"/>
                        <w:szCs w:val="24"/>
                      </w:rPr>
                      <w:t xml:space="preserve"> 335/</w:t>
                    </w:r>
                    <w:r w:rsidRPr="00924CCE">
                      <w:rPr>
                        <w:rFonts w:ascii="Times New Roman" w:hAnsi="Times New Roman" w:cs="Times New Roman"/>
                        <w:b/>
                        <w:noProof/>
                        <w:sz w:val="24"/>
                        <w:szCs w:val="24"/>
                      </w:rPr>
                      <w:t>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5A1078B" wp14:editId="1DAB34D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E3FBE3C" w14:textId="77777777" w:rsidR="00924CCE" w:rsidRDefault="00924CCE">
                          <w:pPr>
                            <w:spacing w:after="0" w:line="240" w:lineRule="auto"/>
                            <w:rPr>
                              <w:color w:val="FFFFFF" w:themeColor="background1"/>
                            </w:rPr>
                          </w:pPr>
                          <w:r>
                            <w:fldChar w:fldCharType="begin"/>
                          </w:r>
                          <w:r>
                            <w:instrText xml:space="preserve"> PAGE   \* MERGEFORMAT </w:instrText>
                          </w:r>
                          <w:r>
                            <w:fldChar w:fldCharType="separate"/>
                          </w:r>
                          <w:r w:rsidR="004708A5" w:rsidRPr="004708A5">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5A1078B"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E3FBE3C" w14:textId="77777777" w:rsidR="00924CCE" w:rsidRDefault="00924CCE">
                    <w:pPr>
                      <w:spacing w:after="0" w:line="240" w:lineRule="auto"/>
                      <w:rPr>
                        <w:color w:val="FFFFFF" w:themeColor="background1"/>
                      </w:rPr>
                    </w:pPr>
                    <w:r>
                      <w:fldChar w:fldCharType="begin"/>
                    </w:r>
                    <w:r>
                      <w:instrText xml:space="preserve"> PAGE   \* MERGEFORMAT </w:instrText>
                    </w:r>
                    <w:r>
                      <w:fldChar w:fldCharType="separate"/>
                    </w:r>
                    <w:r w:rsidR="004708A5" w:rsidRPr="004708A5">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5C5"/>
    <w:multiLevelType w:val="hybridMultilevel"/>
    <w:tmpl w:val="B7BACA8E"/>
    <w:lvl w:ilvl="0" w:tplc="30090001">
      <w:start w:val="1"/>
      <w:numFmt w:val="bullet"/>
      <w:lvlText w:val=""/>
      <w:lvlJc w:val="left"/>
      <w:pPr>
        <w:ind w:left="1080" w:hanging="360"/>
      </w:pPr>
      <w:rPr>
        <w:rFonts w:ascii="Symbol" w:hAnsi="Symbol"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15:restartNumberingAfterBreak="0">
    <w:nsid w:val="01B52BD1"/>
    <w:multiLevelType w:val="hybridMultilevel"/>
    <w:tmpl w:val="69C896B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9386236"/>
    <w:multiLevelType w:val="hybridMultilevel"/>
    <w:tmpl w:val="F0E04D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66487F"/>
    <w:multiLevelType w:val="hybridMultilevel"/>
    <w:tmpl w:val="F934C9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1CE4104C"/>
    <w:multiLevelType w:val="hybridMultilevel"/>
    <w:tmpl w:val="D0B07CD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15:restartNumberingAfterBreak="0">
    <w:nsid w:val="20BA3397"/>
    <w:multiLevelType w:val="hybridMultilevel"/>
    <w:tmpl w:val="A57AA62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6" w15:restartNumberingAfterBreak="0">
    <w:nsid w:val="367D0A6A"/>
    <w:multiLevelType w:val="hybridMultilevel"/>
    <w:tmpl w:val="687CD8B0"/>
    <w:lvl w:ilvl="0" w:tplc="C08C4AAE">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7" w15:restartNumberingAfterBreak="0">
    <w:nsid w:val="451D3B94"/>
    <w:multiLevelType w:val="hybridMultilevel"/>
    <w:tmpl w:val="BDFE53FE"/>
    <w:lvl w:ilvl="0" w:tplc="A9FEFA80">
      <w:start w:val="1"/>
      <w:numFmt w:val="upperLetter"/>
      <w:lvlText w:val="%1."/>
      <w:lvlJc w:val="left"/>
      <w:pPr>
        <w:ind w:left="1440" w:hanging="550"/>
      </w:pPr>
      <w:rPr>
        <w:rFonts w:hint="default"/>
      </w:rPr>
    </w:lvl>
    <w:lvl w:ilvl="1" w:tplc="30090019" w:tentative="1">
      <w:start w:val="1"/>
      <w:numFmt w:val="lowerLetter"/>
      <w:lvlText w:val="%2."/>
      <w:lvlJc w:val="left"/>
      <w:pPr>
        <w:ind w:left="1970" w:hanging="360"/>
      </w:pPr>
    </w:lvl>
    <w:lvl w:ilvl="2" w:tplc="3009001B" w:tentative="1">
      <w:start w:val="1"/>
      <w:numFmt w:val="lowerRoman"/>
      <w:lvlText w:val="%3."/>
      <w:lvlJc w:val="right"/>
      <w:pPr>
        <w:ind w:left="2690" w:hanging="180"/>
      </w:pPr>
    </w:lvl>
    <w:lvl w:ilvl="3" w:tplc="3009000F" w:tentative="1">
      <w:start w:val="1"/>
      <w:numFmt w:val="decimal"/>
      <w:lvlText w:val="%4."/>
      <w:lvlJc w:val="left"/>
      <w:pPr>
        <w:ind w:left="3410" w:hanging="360"/>
      </w:pPr>
    </w:lvl>
    <w:lvl w:ilvl="4" w:tplc="30090019" w:tentative="1">
      <w:start w:val="1"/>
      <w:numFmt w:val="lowerLetter"/>
      <w:lvlText w:val="%5."/>
      <w:lvlJc w:val="left"/>
      <w:pPr>
        <w:ind w:left="4130" w:hanging="360"/>
      </w:pPr>
    </w:lvl>
    <w:lvl w:ilvl="5" w:tplc="3009001B" w:tentative="1">
      <w:start w:val="1"/>
      <w:numFmt w:val="lowerRoman"/>
      <w:lvlText w:val="%6."/>
      <w:lvlJc w:val="right"/>
      <w:pPr>
        <w:ind w:left="4850" w:hanging="180"/>
      </w:pPr>
    </w:lvl>
    <w:lvl w:ilvl="6" w:tplc="3009000F" w:tentative="1">
      <w:start w:val="1"/>
      <w:numFmt w:val="decimal"/>
      <w:lvlText w:val="%7."/>
      <w:lvlJc w:val="left"/>
      <w:pPr>
        <w:ind w:left="5570" w:hanging="360"/>
      </w:pPr>
    </w:lvl>
    <w:lvl w:ilvl="7" w:tplc="30090019" w:tentative="1">
      <w:start w:val="1"/>
      <w:numFmt w:val="lowerLetter"/>
      <w:lvlText w:val="%8."/>
      <w:lvlJc w:val="left"/>
      <w:pPr>
        <w:ind w:left="6290" w:hanging="360"/>
      </w:pPr>
    </w:lvl>
    <w:lvl w:ilvl="8" w:tplc="3009001B" w:tentative="1">
      <w:start w:val="1"/>
      <w:numFmt w:val="lowerRoman"/>
      <w:lvlText w:val="%9."/>
      <w:lvlJc w:val="right"/>
      <w:pPr>
        <w:ind w:left="7010" w:hanging="180"/>
      </w:pPr>
    </w:lvl>
  </w:abstractNum>
  <w:abstractNum w:abstractNumId="8" w15:restartNumberingAfterBreak="0">
    <w:nsid w:val="464B7FA6"/>
    <w:multiLevelType w:val="hybridMultilevel"/>
    <w:tmpl w:val="0A162D66"/>
    <w:lvl w:ilvl="0" w:tplc="30090001">
      <w:start w:val="1"/>
      <w:numFmt w:val="bullet"/>
      <w:lvlText w:val=""/>
      <w:lvlJc w:val="left"/>
      <w:pPr>
        <w:ind w:left="1440" w:hanging="360"/>
      </w:pPr>
      <w:rPr>
        <w:rFonts w:ascii="Symbol" w:hAnsi="Symbol" w:hint="default"/>
      </w:rPr>
    </w:lvl>
    <w:lvl w:ilvl="1" w:tplc="30090003">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49063E90"/>
    <w:multiLevelType w:val="hybridMultilevel"/>
    <w:tmpl w:val="A7E46E62"/>
    <w:lvl w:ilvl="0" w:tplc="30090003">
      <w:start w:val="1"/>
      <w:numFmt w:val="bullet"/>
      <w:lvlText w:val="o"/>
      <w:lvlJc w:val="left"/>
      <w:pPr>
        <w:ind w:left="774" w:hanging="360"/>
      </w:pPr>
      <w:rPr>
        <w:rFonts w:ascii="Courier New" w:hAnsi="Courier New" w:cs="Courier New" w:hint="default"/>
      </w:rPr>
    </w:lvl>
    <w:lvl w:ilvl="1" w:tplc="30090003" w:tentative="1">
      <w:start w:val="1"/>
      <w:numFmt w:val="bullet"/>
      <w:lvlText w:val="o"/>
      <w:lvlJc w:val="left"/>
      <w:pPr>
        <w:ind w:left="1494" w:hanging="360"/>
      </w:pPr>
      <w:rPr>
        <w:rFonts w:ascii="Courier New" w:hAnsi="Courier New" w:cs="Courier New" w:hint="default"/>
      </w:rPr>
    </w:lvl>
    <w:lvl w:ilvl="2" w:tplc="30090005" w:tentative="1">
      <w:start w:val="1"/>
      <w:numFmt w:val="bullet"/>
      <w:lvlText w:val=""/>
      <w:lvlJc w:val="left"/>
      <w:pPr>
        <w:ind w:left="2214" w:hanging="360"/>
      </w:pPr>
      <w:rPr>
        <w:rFonts w:ascii="Wingdings" w:hAnsi="Wingdings" w:hint="default"/>
      </w:rPr>
    </w:lvl>
    <w:lvl w:ilvl="3" w:tplc="30090001" w:tentative="1">
      <w:start w:val="1"/>
      <w:numFmt w:val="bullet"/>
      <w:lvlText w:val=""/>
      <w:lvlJc w:val="left"/>
      <w:pPr>
        <w:ind w:left="2934" w:hanging="360"/>
      </w:pPr>
      <w:rPr>
        <w:rFonts w:ascii="Symbol" w:hAnsi="Symbol" w:hint="default"/>
      </w:rPr>
    </w:lvl>
    <w:lvl w:ilvl="4" w:tplc="30090003" w:tentative="1">
      <w:start w:val="1"/>
      <w:numFmt w:val="bullet"/>
      <w:lvlText w:val="o"/>
      <w:lvlJc w:val="left"/>
      <w:pPr>
        <w:ind w:left="3654" w:hanging="360"/>
      </w:pPr>
      <w:rPr>
        <w:rFonts w:ascii="Courier New" w:hAnsi="Courier New" w:cs="Courier New" w:hint="default"/>
      </w:rPr>
    </w:lvl>
    <w:lvl w:ilvl="5" w:tplc="30090005" w:tentative="1">
      <w:start w:val="1"/>
      <w:numFmt w:val="bullet"/>
      <w:lvlText w:val=""/>
      <w:lvlJc w:val="left"/>
      <w:pPr>
        <w:ind w:left="4374" w:hanging="360"/>
      </w:pPr>
      <w:rPr>
        <w:rFonts w:ascii="Wingdings" w:hAnsi="Wingdings" w:hint="default"/>
      </w:rPr>
    </w:lvl>
    <w:lvl w:ilvl="6" w:tplc="30090001" w:tentative="1">
      <w:start w:val="1"/>
      <w:numFmt w:val="bullet"/>
      <w:lvlText w:val=""/>
      <w:lvlJc w:val="left"/>
      <w:pPr>
        <w:ind w:left="5094" w:hanging="360"/>
      </w:pPr>
      <w:rPr>
        <w:rFonts w:ascii="Symbol" w:hAnsi="Symbol" w:hint="default"/>
      </w:rPr>
    </w:lvl>
    <w:lvl w:ilvl="7" w:tplc="30090003" w:tentative="1">
      <w:start w:val="1"/>
      <w:numFmt w:val="bullet"/>
      <w:lvlText w:val="o"/>
      <w:lvlJc w:val="left"/>
      <w:pPr>
        <w:ind w:left="5814" w:hanging="360"/>
      </w:pPr>
      <w:rPr>
        <w:rFonts w:ascii="Courier New" w:hAnsi="Courier New" w:cs="Courier New" w:hint="default"/>
      </w:rPr>
    </w:lvl>
    <w:lvl w:ilvl="8" w:tplc="30090005" w:tentative="1">
      <w:start w:val="1"/>
      <w:numFmt w:val="bullet"/>
      <w:lvlText w:val=""/>
      <w:lvlJc w:val="left"/>
      <w:pPr>
        <w:ind w:left="6534" w:hanging="360"/>
      </w:pPr>
      <w:rPr>
        <w:rFonts w:ascii="Wingdings" w:hAnsi="Wingdings" w:hint="default"/>
      </w:rPr>
    </w:lvl>
  </w:abstractNum>
  <w:abstractNum w:abstractNumId="10" w15:restartNumberingAfterBreak="0">
    <w:nsid w:val="7312508A"/>
    <w:multiLevelType w:val="hybridMultilevel"/>
    <w:tmpl w:val="F8522832"/>
    <w:lvl w:ilvl="0" w:tplc="8F7E4DC6">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3B93F36"/>
    <w:multiLevelType w:val="hybridMultilevel"/>
    <w:tmpl w:val="51D84960"/>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8"/>
  </w:num>
  <w:num w:numId="6">
    <w:abstractNumId w:val="11"/>
  </w:num>
  <w:num w:numId="7">
    <w:abstractNumId w:val="1"/>
  </w:num>
  <w:num w:numId="8">
    <w:abstractNumId w:val="9"/>
  </w:num>
  <w:num w:numId="9">
    <w:abstractNumId w:val="2"/>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D4"/>
    <w:rsid w:val="00000F0E"/>
    <w:rsid w:val="00001294"/>
    <w:rsid w:val="000016F3"/>
    <w:rsid w:val="00001D1F"/>
    <w:rsid w:val="00003A09"/>
    <w:rsid w:val="000102C3"/>
    <w:rsid w:val="000109B2"/>
    <w:rsid w:val="00014D43"/>
    <w:rsid w:val="00021065"/>
    <w:rsid w:val="0002108A"/>
    <w:rsid w:val="00024E3B"/>
    <w:rsid w:val="00025650"/>
    <w:rsid w:val="0002575C"/>
    <w:rsid w:val="0002692C"/>
    <w:rsid w:val="00030ECF"/>
    <w:rsid w:val="000317F8"/>
    <w:rsid w:val="00031D37"/>
    <w:rsid w:val="00032B0B"/>
    <w:rsid w:val="00032DAF"/>
    <w:rsid w:val="00033372"/>
    <w:rsid w:val="00034A97"/>
    <w:rsid w:val="000369D0"/>
    <w:rsid w:val="00045C58"/>
    <w:rsid w:val="0004658A"/>
    <w:rsid w:val="00054DC5"/>
    <w:rsid w:val="000569E1"/>
    <w:rsid w:val="00060F81"/>
    <w:rsid w:val="00064CB3"/>
    <w:rsid w:val="00066535"/>
    <w:rsid w:val="00066EE9"/>
    <w:rsid w:val="00067B71"/>
    <w:rsid w:val="00070E71"/>
    <w:rsid w:val="000711AB"/>
    <w:rsid w:val="00077040"/>
    <w:rsid w:val="000809E0"/>
    <w:rsid w:val="0008221D"/>
    <w:rsid w:val="00082887"/>
    <w:rsid w:val="00085871"/>
    <w:rsid w:val="000879CD"/>
    <w:rsid w:val="0009127D"/>
    <w:rsid w:val="00092CEC"/>
    <w:rsid w:val="00093D85"/>
    <w:rsid w:val="00095ABD"/>
    <w:rsid w:val="00096351"/>
    <w:rsid w:val="000967D4"/>
    <w:rsid w:val="00097016"/>
    <w:rsid w:val="000A1BF7"/>
    <w:rsid w:val="000A4860"/>
    <w:rsid w:val="000B2281"/>
    <w:rsid w:val="000B376E"/>
    <w:rsid w:val="000B4735"/>
    <w:rsid w:val="000B77F3"/>
    <w:rsid w:val="000C0DCD"/>
    <w:rsid w:val="000C2898"/>
    <w:rsid w:val="000C4101"/>
    <w:rsid w:val="000C4FE2"/>
    <w:rsid w:val="000C56F7"/>
    <w:rsid w:val="000C7B54"/>
    <w:rsid w:val="000D0599"/>
    <w:rsid w:val="000D173F"/>
    <w:rsid w:val="000D67AB"/>
    <w:rsid w:val="000D6BB2"/>
    <w:rsid w:val="000E153F"/>
    <w:rsid w:val="000E5E5F"/>
    <w:rsid w:val="000E6503"/>
    <w:rsid w:val="000E76A9"/>
    <w:rsid w:val="001008F9"/>
    <w:rsid w:val="00103321"/>
    <w:rsid w:val="001039D8"/>
    <w:rsid w:val="0010577B"/>
    <w:rsid w:val="00107672"/>
    <w:rsid w:val="0011039C"/>
    <w:rsid w:val="001114A1"/>
    <w:rsid w:val="00112719"/>
    <w:rsid w:val="00121CCA"/>
    <w:rsid w:val="00125670"/>
    <w:rsid w:val="00125F93"/>
    <w:rsid w:val="0012611E"/>
    <w:rsid w:val="001265C3"/>
    <w:rsid w:val="00130736"/>
    <w:rsid w:val="00130FA9"/>
    <w:rsid w:val="00131B57"/>
    <w:rsid w:val="00136F12"/>
    <w:rsid w:val="00146EBB"/>
    <w:rsid w:val="00150040"/>
    <w:rsid w:val="00156C3C"/>
    <w:rsid w:val="00161571"/>
    <w:rsid w:val="001632A3"/>
    <w:rsid w:val="00163F1B"/>
    <w:rsid w:val="00164D59"/>
    <w:rsid w:val="00165538"/>
    <w:rsid w:val="00165BBC"/>
    <w:rsid w:val="001660FE"/>
    <w:rsid w:val="001662BC"/>
    <w:rsid w:val="001705A9"/>
    <w:rsid w:val="00170ED8"/>
    <w:rsid w:val="00172BFD"/>
    <w:rsid w:val="0018026C"/>
    <w:rsid w:val="00182909"/>
    <w:rsid w:val="00191336"/>
    <w:rsid w:val="00193132"/>
    <w:rsid w:val="001956FD"/>
    <w:rsid w:val="00195F28"/>
    <w:rsid w:val="00197317"/>
    <w:rsid w:val="001A03FE"/>
    <w:rsid w:val="001A20E7"/>
    <w:rsid w:val="001A2B1E"/>
    <w:rsid w:val="001A5326"/>
    <w:rsid w:val="001B79D0"/>
    <w:rsid w:val="001C221F"/>
    <w:rsid w:val="001C3743"/>
    <w:rsid w:val="001C5CA3"/>
    <w:rsid w:val="001C6372"/>
    <w:rsid w:val="001D3F41"/>
    <w:rsid w:val="001D4B66"/>
    <w:rsid w:val="001D55FD"/>
    <w:rsid w:val="001D62AD"/>
    <w:rsid w:val="001E6E15"/>
    <w:rsid w:val="001E7DF7"/>
    <w:rsid w:val="001F1168"/>
    <w:rsid w:val="001F23E6"/>
    <w:rsid w:val="001F2894"/>
    <w:rsid w:val="001F2CB3"/>
    <w:rsid w:val="001F51B0"/>
    <w:rsid w:val="001F6382"/>
    <w:rsid w:val="00201447"/>
    <w:rsid w:val="00202D8B"/>
    <w:rsid w:val="002045F2"/>
    <w:rsid w:val="0020695D"/>
    <w:rsid w:val="00212CA9"/>
    <w:rsid w:val="002150AE"/>
    <w:rsid w:val="002213B4"/>
    <w:rsid w:val="00225573"/>
    <w:rsid w:val="00226863"/>
    <w:rsid w:val="002306C5"/>
    <w:rsid w:val="00231DF0"/>
    <w:rsid w:val="00232021"/>
    <w:rsid w:val="00232B21"/>
    <w:rsid w:val="00232CA9"/>
    <w:rsid w:val="002345CC"/>
    <w:rsid w:val="00235579"/>
    <w:rsid w:val="0023610C"/>
    <w:rsid w:val="00236A7B"/>
    <w:rsid w:val="00241209"/>
    <w:rsid w:val="0024576C"/>
    <w:rsid w:val="00246E30"/>
    <w:rsid w:val="0025074C"/>
    <w:rsid w:val="00254F92"/>
    <w:rsid w:val="0026121E"/>
    <w:rsid w:val="0026762D"/>
    <w:rsid w:val="00273CEC"/>
    <w:rsid w:val="00273D8E"/>
    <w:rsid w:val="00274855"/>
    <w:rsid w:val="00280684"/>
    <w:rsid w:val="00282B97"/>
    <w:rsid w:val="002836CA"/>
    <w:rsid w:val="0028471B"/>
    <w:rsid w:val="002947BD"/>
    <w:rsid w:val="00295EE7"/>
    <w:rsid w:val="002A0169"/>
    <w:rsid w:val="002A0176"/>
    <w:rsid w:val="002A19DE"/>
    <w:rsid w:val="002A32EB"/>
    <w:rsid w:val="002A6501"/>
    <w:rsid w:val="002B03C7"/>
    <w:rsid w:val="002B488D"/>
    <w:rsid w:val="002B5072"/>
    <w:rsid w:val="002B5B6A"/>
    <w:rsid w:val="002C67B1"/>
    <w:rsid w:val="002C77A6"/>
    <w:rsid w:val="002D3C05"/>
    <w:rsid w:val="002D4852"/>
    <w:rsid w:val="002D5589"/>
    <w:rsid w:val="002D7CD5"/>
    <w:rsid w:val="002D7EE1"/>
    <w:rsid w:val="002E1C81"/>
    <w:rsid w:val="002E244B"/>
    <w:rsid w:val="002E3386"/>
    <w:rsid w:val="002E3C6D"/>
    <w:rsid w:val="002E50D8"/>
    <w:rsid w:val="002E737D"/>
    <w:rsid w:val="002F069F"/>
    <w:rsid w:val="002F0BDF"/>
    <w:rsid w:val="002F2002"/>
    <w:rsid w:val="002F3537"/>
    <w:rsid w:val="002F3FDE"/>
    <w:rsid w:val="002F72FB"/>
    <w:rsid w:val="00300B7A"/>
    <w:rsid w:val="0030103B"/>
    <w:rsid w:val="00301B8F"/>
    <w:rsid w:val="00303CBB"/>
    <w:rsid w:val="00306164"/>
    <w:rsid w:val="00306236"/>
    <w:rsid w:val="00307349"/>
    <w:rsid w:val="0031011C"/>
    <w:rsid w:val="003114DF"/>
    <w:rsid w:val="00311E2F"/>
    <w:rsid w:val="0031359F"/>
    <w:rsid w:val="00320D71"/>
    <w:rsid w:val="003251EE"/>
    <w:rsid w:val="00325D85"/>
    <w:rsid w:val="00326F9A"/>
    <w:rsid w:val="00326FA3"/>
    <w:rsid w:val="00330075"/>
    <w:rsid w:val="00330997"/>
    <w:rsid w:val="003309C2"/>
    <w:rsid w:val="00331621"/>
    <w:rsid w:val="003320A4"/>
    <w:rsid w:val="00332D8F"/>
    <w:rsid w:val="00335B55"/>
    <w:rsid w:val="003372B3"/>
    <w:rsid w:val="0034016D"/>
    <w:rsid w:val="00353FAB"/>
    <w:rsid w:val="00356268"/>
    <w:rsid w:val="003572CF"/>
    <w:rsid w:val="00366C5C"/>
    <w:rsid w:val="00367B3D"/>
    <w:rsid w:val="00370416"/>
    <w:rsid w:val="0037455A"/>
    <w:rsid w:val="00377F6A"/>
    <w:rsid w:val="003805A0"/>
    <w:rsid w:val="00381BAC"/>
    <w:rsid w:val="00384CDC"/>
    <w:rsid w:val="00392212"/>
    <w:rsid w:val="00396876"/>
    <w:rsid w:val="00396D2D"/>
    <w:rsid w:val="00397332"/>
    <w:rsid w:val="00397F23"/>
    <w:rsid w:val="003A44BC"/>
    <w:rsid w:val="003A4C3F"/>
    <w:rsid w:val="003A5836"/>
    <w:rsid w:val="003B1F2A"/>
    <w:rsid w:val="003B3E12"/>
    <w:rsid w:val="003B5702"/>
    <w:rsid w:val="003B5A94"/>
    <w:rsid w:val="003B5F0F"/>
    <w:rsid w:val="003B63FA"/>
    <w:rsid w:val="003B66C8"/>
    <w:rsid w:val="003B77A9"/>
    <w:rsid w:val="003C12A8"/>
    <w:rsid w:val="003C2596"/>
    <w:rsid w:val="003C2AB9"/>
    <w:rsid w:val="003C4C21"/>
    <w:rsid w:val="003C5FBA"/>
    <w:rsid w:val="003C751E"/>
    <w:rsid w:val="003C7B3D"/>
    <w:rsid w:val="003D1BA4"/>
    <w:rsid w:val="003D30EA"/>
    <w:rsid w:val="003E0E51"/>
    <w:rsid w:val="003E10BA"/>
    <w:rsid w:val="003E10F7"/>
    <w:rsid w:val="003E2A9A"/>
    <w:rsid w:val="003E6B58"/>
    <w:rsid w:val="003E7475"/>
    <w:rsid w:val="003E7E3B"/>
    <w:rsid w:val="003F2922"/>
    <w:rsid w:val="003F5B0A"/>
    <w:rsid w:val="003F6825"/>
    <w:rsid w:val="003F6EF7"/>
    <w:rsid w:val="0040010E"/>
    <w:rsid w:val="00400FD2"/>
    <w:rsid w:val="00401463"/>
    <w:rsid w:val="004036CA"/>
    <w:rsid w:val="00411D4F"/>
    <w:rsid w:val="00413584"/>
    <w:rsid w:val="00414684"/>
    <w:rsid w:val="0041483F"/>
    <w:rsid w:val="00421233"/>
    <w:rsid w:val="00421A1F"/>
    <w:rsid w:val="00422136"/>
    <w:rsid w:val="0042264A"/>
    <w:rsid w:val="00423BCC"/>
    <w:rsid w:val="00427334"/>
    <w:rsid w:val="00430C3F"/>
    <w:rsid w:val="004343FA"/>
    <w:rsid w:val="004367A8"/>
    <w:rsid w:val="00436A25"/>
    <w:rsid w:val="0043715F"/>
    <w:rsid w:val="0043771C"/>
    <w:rsid w:val="00437808"/>
    <w:rsid w:val="004427E2"/>
    <w:rsid w:val="004436AD"/>
    <w:rsid w:val="00444517"/>
    <w:rsid w:val="00451989"/>
    <w:rsid w:val="00455F2F"/>
    <w:rsid w:val="00456525"/>
    <w:rsid w:val="00456A09"/>
    <w:rsid w:val="00462AED"/>
    <w:rsid w:val="00463C88"/>
    <w:rsid w:val="0046412A"/>
    <w:rsid w:val="004671B9"/>
    <w:rsid w:val="004708A5"/>
    <w:rsid w:val="00472662"/>
    <w:rsid w:val="004737F4"/>
    <w:rsid w:val="0047479B"/>
    <w:rsid w:val="00476854"/>
    <w:rsid w:val="004774CD"/>
    <w:rsid w:val="004779B5"/>
    <w:rsid w:val="00477D33"/>
    <w:rsid w:val="0048694C"/>
    <w:rsid w:val="00486B41"/>
    <w:rsid w:val="00492077"/>
    <w:rsid w:val="004923B4"/>
    <w:rsid w:val="004947EF"/>
    <w:rsid w:val="0049600C"/>
    <w:rsid w:val="00497209"/>
    <w:rsid w:val="004A089C"/>
    <w:rsid w:val="004A1081"/>
    <w:rsid w:val="004A1B13"/>
    <w:rsid w:val="004A296B"/>
    <w:rsid w:val="004A4889"/>
    <w:rsid w:val="004A56D3"/>
    <w:rsid w:val="004A71D0"/>
    <w:rsid w:val="004B1983"/>
    <w:rsid w:val="004B1D8D"/>
    <w:rsid w:val="004B258E"/>
    <w:rsid w:val="004B43C5"/>
    <w:rsid w:val="004B45CB"/>
    <w:rsid w:val="004B67F0"/>
    <w:rsid w:val="004C1476"/>
    <w:rsid w:val="004C5B91"/>
    <w:rsid w:val="004C6D9D"/>
    <w:rsid w:val="004D1618"/>
    <w:rsid w:val="004D4DA4"/>
    <w:rsid w:val="004D7978"/>
    <w:rsid w:val="004E6230"/>
    <w:rsid w:val="004E7C2A"/>
    <w:rsid w:val="004E7E9B"/>
    <w:rsid w:val="004F05C3"/>
    <w:rsid w:val="004F3D93"/>
    <w:rsid w:val="004F5923"/>
    <w:rsid w:val="004F6434"/>
    <w:rsid w:val="00500683"/>
    <w:rsid w:val="0050289A"/>
    <w:rsid w:val="005052D9"/>
    <w:rsid w:val="0050584A"/>
    <w:rsid w:val="00510122"/>
    <w:rsid w:val="00511D25"/>
    <w:rsid w:val="00511E51"/>
    <w:rsid w:val="005141DB"/>
    <w:rsid w:val="005155C0"/>
    <w:rsid w:val="005179F0"/>
    <w:rsid w:val="005201A2"/>
    <w:rsid w:val="005205F1"/>
    <w:rsid w:val="00520DF3"/>
    <w:rsid w:val="005218FF"/>
    <w:rsid w:val="00522B47"/>
    <w:rsid w:val="00523E3A"/>
    <w:rsid w:val="00525580"/>
    <w:rsid w:val="0052601B"/>
    <w:rsid w:val="00526EB7"/>
    <w:rsid w:val="00531F5A"/>
    <w:rsid w:val="00536AE3"/>
    <w:rsid w:val="00541822"/>
    <w:rsid w:val="00543E57"/>
    <w:rsid w:val="00545C3F"/>
    <w:rsid w:val="00547A5A"/>
    <w:rsid w:val="005513E3"/>
    <w:rsid w:val="00551457"/>
    <w:rsid w:val="00554036"/>
    <w:rsid w:val="00557CE9"/>
    <w:rsid w:val="00562A3C"/>
    <w:rsid w:val="00562A48"/>
    <w:rsid w:val="00562A76"/>
    <w:rsid w:val="00562F61"/>
    <w:rsid w:val="00564F8F"/>
    <w:rsid w:val="005650E5"/>
    <w:rsid w:val="005653AB"/>
    <w:rsid w:val="00565BCB"/>
    <w:rsid w:val="00574528"/>
    <w:rsid w:val="00574CA1"/>
    <w:rsid w:val="00574D90"/>
    <w:rsid w:val="0057688C"/>
    <w:rsid w:val="00576A97"/>
    <w:rsid w:val="00577483"/>
    <w:rsid w:val="005840FB"/>
    <w:rsid w:val="0058556F"/>
    <w:rsid w:val="00585642"/>
    <w:rsid w:val="0058566D"/>
    <w:rsid w:val="00586AF1"/>
    <w:rsid w:val="00587BDD"/>
    <w:rsid w:val="00590A76"/>
    <w:rsid w:val="00590E56"/>
    <w:rsid w:val="00591AEA"/>
    <w:rsid w:val="00594536"/>
    <w:rsid w:val="00594581"/>
    <w:rsid w:val="005971C7"/>
    <w:rsid w:val="005A256F"/>
    <w:rsid w:val="005A2D5A"/>
    <w:rsid w:val="005A41BB"/>
    <w:rsid w:val="005A48C6"/>
    <w:rsid w:val="005A49F3"/>
    <w:rsid w:val="005A4BBD"/>
    <w:rsid w:val="005A4E9C"/>
    <w:rsid w:val="005A56A4"/>
    <w:rsid w:val="005A6AA9"/>
    <w:rsid w:val="005B2C2E"/>
    <w:rsid w:val="005B4766"/>
    <w:rsid w:val="005B6972"/>
    <w:rsid w:val="005C3D45"/>
    <w:rsid w:val="005C4821"/>
    <w:rsid w:val="005C7098"/>
    <w:rsid w:val="005D0395"/>
    <w:rsid w:val="005D17EC"/>
    <w:rsid w:val="005D21CB"/>
    <w:rsid w:val="005D2A10"/>
    <w:rsid w:val="005D3E5B"/>
    <w:rsid w:val="005D4468"/>
    <w:rsid w:val="005D7768"/>
    <w:rsid w:val="005D79CD"/>
    <w:rsid w:val="005E373E"/>
    <w:rsid w:val="005F23DC"/>
    <w:rsid w:val="00601A3E"/>
    <w:rsid w:val="00605258"/>
    <w:rsid w:val="00606A7B"/>
    <w:rsid w:val="0060716E"/>
    <w:rsid w:val="00610934"/>
    <w:rsid w:val="00611B34"/>
    <w:rsid w:val="00612101"/>
    <w:rsid w:val="0061226F"/>
    <w:rsid w:val="00613D1E"/>
    <w:rsid w:val="00615C6C"/>
    <w:rsid w:val="00617882"/>
    <w:rsid w:val="006200AC"/>
    <w:rsid w:val="00620300"/>
    <w:rsid w:val="00621554"/>
    <w:rsid w:val="00621A38"/>
    <w:rsid w:val="006304DF"/>
    <w:rsid w:val="00631BC3"/>
    <w:rsid w:val="00635116"/>
    <w:rsid w:val="006428E3"/>
    <w:rsid w:val="00645E1C"/>
    <w:rsid w:val="00650720"/>
    <w:rsid w:val="00653514"/>
    <w:rsid w:val="00654CC7"/>
    <w:rsid w:val="00654D50"/>
    <w:rsid w:val="00660C31"/>
    <w:rsid w:val="00661F1E"/>
    <w:rsid w:val="00662A0C"/>
    <w:rsid w:val="00662C0B"/>
    <w:rsid w:val="006636EF"/>
    <w:rsid w:val="00664800"/>
    <w:rsid w:val="0067269E"/>
    <w:rsid w:val="00676A18"/>
    <w:rsid w:val="006770B4"/>
    <w:rsid w:val="00680DF8"/>
    <w:rsid w:val="006818D9"/>
    <w:rsid w:val="0068258F"/>
    <w:rsid w:val="00682C0B"/>
    <w:rsid w:val="00683984"/>
    <w:rsid w:val="0068635C"/>
    <w:rsid w:val="00686D65"/>
    <w:rsid w:val="00691430"/>
    <w:rsid w:val="00695D62"/>
    <w:rsid w:val="0069621B"/>
    <w:rsid w:val="006A0310"/>
    <w:rsid w:val="006A05CC"/>
    <w:rsid w:val="006A54F2"/>
    <w:rsid w:val="006A61E6"/>
    <w:rsid w:val="006B0036"/>
    <w:rsid w:val="006B0601"/>
    <w:rsid w:val="006B1EE7"/>
    <w:rsid w:val="006B32D5"/>
    <w:rsid w:val="006B3470"/>
    <w:rsid w:val="006B4BEF"/>
    <w:rsid w:val="006B78D2"/>
    <w:rsid w:val="006C1DFA"/>
    <w:rsid w:val="006C32DA"/>
    <w:rsid w:val="006C56B0"/>
    <w:rsid w:val="006C6439"/>
    <w:rsid w:val="006E556A"/>
    <w:rsid w:val="006E7439"/>
    <w:rsid w:val="006F0DD7"/>
    <w:rsid w:val="006F100A"/>
    <w:rsid w:val="006F1FEC"/>
    <w:rsid w:val="006F2D98"/>
    <w:rsid w:val="006F39FE"/>
    <w:rsid w:val="006F665E"/>
    <w:rsid w:val="006F685C"/>
    <w:rsid w:val="006F7EB4"/>
    <w:rsid w:val="0070013C"/>
    <w:rsid w:val="0070110B"/>
    <w:rsid w:val="007026A1"/>
    <w:rsid w:val="00702C26"/>
    <w:rsid w:val="00702DDE"/>
    <w:rsid w:val="007054D6"/>
    <w:rsid w:val="00711520"/>
    <w:rsid w:val="0071467F"/>
    <w:rsid w:val="007230C5"/>
    <w:rsid w:val="0072371F"/>
    <w:rsid w:val="00724320"/>
    <w:rsid w:val="00724E5D"/>
    <w:rsid w:val="007255DE"/>
    <w:rsid w:val="00727A86"/>
    <w:rsid w:val="007356A4"/>
    <w:rsid w:val="00746FBF"/>
    <w:rsid w:val="00750A3B"/>
    <w:rsid w:val="00752484"/>
    <w:rsid w:val="00754C37"/>
    <w:rsid w:val="007613B3"/>
    <w:rsid w:val="00764E2A"/>
    <w:rsid w:val="0076672D"/>
    <w:rsid w:val="007702DF"/>
    <w:rsid w:val="007715FF"/>
    <w:rsid w:val="0077344D"/>
    <w:rsid w:val="00773E00"/>
    <w:rsid w:val="0078034D"/>
    <w:rsid w:val="00790853"/>
    <w:rsid w:val="0079271F"/>
    <w:rsid w:val="00795758"/>
    <w:rsid w:val="007A2D4C"/>
    <w:rsid w:val="007A368C"/>
    <w:rsid w:val="007A66D1"/>
    <w:rsid w:val="007A7249"/>
    <w:rsid w:val="007B0747"/>
    <w:rsid w:val="007B21F7"/>
    <w:rsid w:val="007B398D"/>
    <w:rsid w:val="007B4F27"/>
    <w:rsid w:val="007B5369"/>
    <w:rsid w:val="007B660C"/>
    <w:rsid w:val="007B69EB"/>
    <w:rsid w:val="007C1705"/>
    <w:rsid w:val="007C6BC2"/>
    <w:rsid w:val="007C6ED9"/>
    <w:rsid w:val="007D1753"/>
    <w:rsid w:val="007D3FC4"/>
    <w:rsid w:val="007D7328"/>
    <w:rsid w:val="007D7394"/>
    <w:rsid w:val="007D7576"/>
    <w:rsid w:val="007E16CB"/>
    <w:rsid w:val="007E2FFC"/>
    <w:rsid w:val="007E4E99"/>
    <w:rsid w:val="007E7D6F"/>
    <w:rsid w:val="007F34C7"/>
    <w:rsid w:val="007F3ACA"/>
    <w:rsid w:val="007F420C"/>
    <w:rsid w:val="008022C7"/>
    <w:rsid w:val="0080774C"/>
    <w:rsid w:val="008078BB"/>
    <w:rsid w:val="008141DC"/>
    <w:rsid w:val="00815D20"/>
    <w:rsid w:val="00820485"/>
    <w:rsid w:val="00822605"/>
    <w:rsid w:val="00824A9B"/>
    <w:rsid w:val="00825167"/>
    <w:rsid w:val="008268C3"/>
    <w:rsid w:val="00830C2A"/>
    <w:rsid w:val="00831DD7"/>
    <w:rsid w:val="008330EB"/>
    <w:rsid w:val="0083329D"/>
    <w:rsid w:val="008402C6"/>
    <w:rsid w:val="008410D8"/>
    <w:rsid w:val="00843CAC"/>
    <w:rsid w:val="00844C63"/>
    <w:rsid w:val="00845B8E"/>
    <w:rsid w:val="0084753B"/>
    <w:rsid w:val="00850B72"/>
    <w:rsid w:val="00852DB9"/>
    <w:rsid w:val="0085424D"/>
    <w:rsid w:val="0085469C"/>
    <w:rsid w:val="008563B1"/>
    <w:rsid w:val="00857C9C"/>
    <w:rsid w:val="008601AF"/>
    <w:rsid w:val="00860E00"/>
    <w:rsid w:val="00862DB0"/>
    <w:rsid w:val="008637BF"/>
    <w:rsid w:val="00864250"/>
    <w:rsid w:val="00864277"/>
    <w:rsid w:val="00865AF1"/>
    <w:rsid w:val="00866113"/>
    <w:rsid w:val="00867A42"/>
    <w:rsid w:val="00872565"/>
    <w:rsid w:val="00872D68"/>
    <w:rsid w:val="00875033"/>
    <w:rsid w:val="008759D7"/>
    <w:rsid w:val="008802E9"/>
    <w:rsid w:val="00880611"/>
    <w:rsid w:val="008833AE"/>
    <w:rsid w:val="00884E7C"/>
    <w:rsid w:val="00885ACE"/>
    <w:rsid w:val="00891AC0"/>
    <w:rsid w:val="00895A21"/>
    <w:rsid w:val="00896EF0"/>
    <w:rsid w:val="008A1479"/>
    <w:rsid w:val="008A253B"/>
    <w:rsid w:val="008A6EE9"/>
    <w:rsid w:val="008B16F6"/>
    <w:rsid w:val="008B3E85"/>
    <w:rsid w:val="008B4458"/>
    <w:rsid w:val="008B48E5"/>
    <w:rsid w:val="008B6905"/>
    <w:rsid w:val="008C0FB7"/>
    <w:rsid w:val="008C227A"/>
    <w:rsid w:val="008C25D9"/>
    <w:rsid w:val="008C5FA1"/>
    <w:rsid w:val="008D0154"/>
    <w:rsid w:val="008D1856"/>
    <w:rsid w:val="008D1D98"/>
    <w:rsid w:val="008D20F6"/>
    <w:rsid w:val="008D6293"/>
    <w:rsid w:val="008D73D7"/>
    <w:rsid w:val="008D7DCF"/>
    <w:rsid w:val="008E077D"/>
    <w:rsid w:val="008E19FA"/>
    <w:rsid w:val="008E3AEC"/>
    <w:rsid w:val="008E542B"/>
    <w:rsid w:val="008E77F7"/>
    <w:rsid w:val="008F0847"/>
    <w:rsid w:val="008F41F0"/>
    <w:rsid w:val="008F4B0D"/>
    <w:rsid w:val="008F53E9"/>
    <w:rsid w:val="008F5779"/>
    <w:rsid w:val="008F5C1B"/>
    <w:rsid w:val="008F6287"/>
    <w:rsid w:val="008F788C"/>
    <w:rsid w:val="00900397"/>
    <w:rsid w:val="00905D6B"/>
    <w:rsid w:val="00906408"/>
    <w:rsid w:val="00914F3F"/>
    <w:rsid w:val="009153BB"/>
    <w:rsid w:val="00920DAE"/>
    <w:rsid w:val="009221F6"/>
    <w:rsid w:val="00922EFE"/>
    <w:rsid w:val="00923AF8"/>
    <w:rsid w:val="00924CCE"/>
    <w:rsid w:val="00925C55"/>
    <w:rsid w:val="0092672D"/>
    <w:rsid w:val="00933082"/>
    <w:rsid w:val="00935833"/>
    <w:rsid w:val="00936902"/>
    <w:rsid w:val="00936DE0"/>
    <w:rsid w:val="0093754A"/>
    <w:rsid w:val="00941B1C"/>
    <w:rsid w:val="00943AA9"/>
    <w:rsid w:val="00943C33"/>
    <w:rsid w:val="0094433F"/>
    <w:rsid w:val="00945080"/>
    <w:rsid w:val="00945219"/>
    <w:rsid w:val="00946CDD"/>
    <w:rsid w:val="00950119"/>
    <w:rsid w:val="009544D2"/>
    <w:rsid w:val="00954E40"/>
    <w:rsid w:val="00955B44"/>
    <w:rsid w:val="00955BB1"/>
    <w:rsid w:val="00963854"/>
    <w:rsid w:val="00964DEE"/>
    <w:rsid w:val="00972EB6"/>
    <w:rsid w:val="0097795D"/>
    <w:rsid w:val="00977EE1"/>
    <w:rsid w:val="00980D91"/>
    <w:rsid w:val="0098309D"/>
    <w:rsid w:val="009844C9"/>
    <w:rsid w:val="009856F2"/>
    <w:rsid w:val="009859AB"/>
    <w:rsid w:val="0098673F"/>
    <w:rsid w:val="00990278"/>
    <w:rsid w:val="00991FA2"/>
    <w:rsid w:val="00992BDF"/>
    <w:rsid w:val="00992F0A"/>
    <w:rsid w:val="00993911"/>
    <w:rsid w:val="00995A5A"/>
    <w:rsid w:val="009A1E13"/>
    <w:rsid w:val="009A3218"/>
    <w:rsid w:val="009A53A7"/>
    <w:rsid w:val="009A5C3F"/>
    <w:rsid w:val="009A7C25"/>
    <w:rsid w:val="009B1A3F"/>
    <w:rsid w:val="009B1B68"/>
    <w:rsid w:val="009B5549"/>
    <w:rsid w:val="009B5BF3"/>
    <w:rsid w:val="009B6FF8"/>
    <w:rsid w:val="009B70EB"/>
    <w:rsid w:val="009C245D"/>
    <w:rsid w:val="009C4067"/>
    <w:rsid w:val="009C5D0B"/>
    <w:rsid w:val="009C6728"/>
    <w:rsid w:val="009D004C"/>
    <w:rsid w:val="009D03F2"/>
    <w:rsid w:val="009D15C2"/>
    <w:rsid w:val="009D2504"/>
    <w:rsid w:val="009D6399"/>
    <w:rsid w:val="009D74B0"/>
    <w:rsid w:val="009E11D1"/>
    <w:rsid w:val="009E3644"/>
    <w:rsid w:val="009E7FA8"/>
    <w:rsid w:val="009F0158"/>
    <w:rsid w:val="009F0734"/>
    <w:rsid w:val="009F2DB1"/>
    <w:rsid w:val="009F516F"/>
    <w:rsid w:val="009F5F60"/>
    <w:rsid w:val="009F6647"/>
    <w:rsid w:val="00A022FE"/>
    <w:rsid w:val="00A03732"/>
    <w:rsid w:val="00A11194"/>
    <w:rsid w:val="00A1132C"/>
    <w:rsid w:val="00A12CB0"/>
    <w:rsid w:val="00A13C0A"/>
    <w:rsid w:val="00A15EA2"/>
    <w:rsid w:val="00A17999"/>
    <w:rsid w:val="00A2197C"/>
    <w:rsid w:val="00A21BFC"/>
    <w:rsid w:val="00A2371E"/>
    <w:rsid w:val="00A265D6"/>
    <w:rsid w:val="00A31C47"/>
    <w:rsid w:val="00A33225"/>
    <w:rsid w:val="00A35A11"/>
    <w:rsid w:val="00A404AA"/>
    <w:rsid w:val="00A4141A"/>
    <w:rsid w:val="00A437F2"/>
    <w:rsid w:val="00A574BE"/>
    <w:rsid w:val="00A60B8E"/>
    <w:rsid w:val="00A62A05"/>
    <w:rsid w:val="00A636FE"/>
    <w:rsid w:val="00A6626A"/>
    <w:rsid w:val="00A66AE4"/>
    <w:rsid w:val="00A709E8"/>
    <w:rsid w:val="00A71624"/>
    <w:rsid w:val="00A72EDA"/>
    <w:rsid w:val="00A8302A"/>
    <w:rsid w:val="00A853EB"/>
    <w:rsid w:val="00A859AC"/>
    <w:rsid w:val="00A85AF4"/>
    <w:rsid w:val="00A87294"/>
    <w:rsid w:val="00A91114"/>
    <w:rsid w:val="00A94C9C"/>
    <w:rsid w:val="00A94CD0"/>
    <w:rsid w:val="00AA2AFC"/>
    <w:rsid w:val="00AA40B9"/>
    <w:rsid w:val="00AA5A03"/>
    <w:rsid w:val="00AA5DA4"/>
    <w:rsid w:val="00AB037E"/>
    <w:rsid w:val="00AB171C"/>
    <w:rsid w:val="00AB1D2F"/>
    <w:rsid w:val="00AB2748"/>
    <w:rsid w:val="00AB2D62"/>
    <w:rsid w:val="00AB2F75"/>
    <w:rsid w:val="00AC2D4C"/>
    <w:rsid w:val="00AC2E64"/>
    <w:rsid w:val="00AC312D"/>
    <w:rsid w:val="00AC541E"/>
    <w:rsid w:val="00AC702D"/>
    <w:rsid w:val="00AC75F2"/>
    <w:rsid w:val="00AD2CC6"/>
    <w:rsid w:val="00AD5309"/>
    <w:rsid w:val="00AE00F9"/>
    <w:rsid w:val="00AE2706"/>
    <w:rsid w:val="00AE27F6"/>
    <w:rsid w:val="00AE3CC4"/>
    <w:rsid w:val="00AE43D2"/>
    <w:rsid w:val="00AE5107"/>
    <w:rsid w:val="00AE563C"/>
    <w:rsid w:val="00AE56A8"/>
    <w:rsid w:val="00AE591C"/>
    <w:rsid w:val="00AE6272"/>
    <w:rsid w:val="00AF6521"/>
    <w:rsid w:val="00AF6794"/>
    <w:rsid w:val="00AF6EE3"/>
    <w:rsid w:val="00AF71BE"/>
    <w:rsid w:val="00B07A1F"/>
    <w:rsid w:val="00B07CE6"/>
    <w:rsid w:val="00B12520"/>
    <w:rsid w:val="00B1528B"/>
    <w:rsid w:val="00B206D3"/>
    <w:rsid w:val="00B27A49"/>
    <w:rsid w:val="00B301BA"/>
    <w:rsid w:val="00B417FA"/>
    <w:rsid w:val="00B41C90"/>
    <w:rsid w:val="00B42AE7"/>
    <w:rsid w:val="00B47065"/>
    <w:rsid w:val="00B50E81"/>
    <w:rsid w:val="00B5372A"/>
    <w:rsid w:val="00B55BA1"/>
    <w:rsid w:val="00B56E07"/>
    <w:rsid w:val="00B609D2"/>
    <w:rsid w:val="00B615C1"/>
    <w:rsid w:val="00B61DD0"/>
    <w:rsid w:val="00B62C78"/>
    <w:rsid w:val="00B645C9"/>
    <w:rsid w:val="00B65A0E"/>
    <w:rsid w:val="00B6600E"/>
    <w:rsid w:val="00B7084A"/>
    <w:rsid w:val="00B73233"/>
    <w:rsid w:val="00B75BC4"/>
    <w:rsid w:val="00B81985"/>
    <w:rsid w:val="00B83D20"/>
    <w:rsid w:val="00B84D6D"/>
    <w:rsid w:val="00B84E4B"/>
    <w:rsid w:val="00B854B5"/>
    <w:rsid w:val="00B9148A"/>
    <w:rsid w:val="00B92F95"/>
    <w:rsid w:val="00B976CD"/>
    <w:rsid w:val="00BA0643"/>
    <w:rsid w:val="00BA0956"/>
    <w:rsid w:val="00BA0BCE"/>
    <w:rsid w:val="00BA1A44"/>
    <w:rsid w:val="00BA7EF4"/>
    <w:rsid w:val="00BB1E3C"/>
    <w:rsid w:val="00BB3884"/>
    <w:rsid w:val="00BB6E98"/>
    <w:rsid w:val="00BB7D84"/>
    <w:rsid w:val="00BC3FF5"/>
    <w:rsid w:val="00BC4902"/>
    <w:rsid w:val="00BC493C"/>
    <w:rsid w:val="00BD097E"/>
    <w:rsid w:val="00BD1771"/>
    <w:rsid w:val="00BD1D6B"/>
    <w:rsid w:val="00BD1E36"/>
    <w:rsid w:val="00BD4B2A"/>
    <w:rsid w:val="00BD515A"/>
    <w:rsid w:val="00BD6E3E"/>
    <w:rsid w:val="00BD712E"/>
    <w:rsid w:val="00BD776F"/>
    <w:rsid w:val="00BD792F"/>
    <w:rsid w:val="00BE34EA"/>
    <w:rsid w:val="00BE6C41"/>
    <w:rsid w:val="00BF0F48"/>
    <w:rsid w:val="00BF3734"/>
    <w:rsid w:val="00BF408A"/>
    <w:rsid w:val="00BF51CF"/>
    <w:rsid w:val="00BF60B2"/>
    <w:rsid w:val="00BF702D"/>
    <w:rsid w:val="00C002B1"/>
    <w:rsid w:val="00C003C9"/>
    <w:rsid w:val="00C0231F"/>
    <w:rsid w:val="00C02420"/>
    <w:rsid w:val="00C032F8"/>
    <w:rsid w:val="00C0423E"/>
    <w:rsid w:val="00C05C32"/>
    <w:rsid w:val="00C05CB4"/>
    <w:rsid w:val="00C07701"/>
    <w:rsid w:val="00C130FA"/>
    <w:rsid w:val="00C14C5F"/>
    <w:rsid w:val="00C16217"/>
    <w:rsid w:val="00C25B6B"/>
    <w:rsid w:val="00C37CCA"/>
    <w:rsid w:val="00C405A9"/>
    <w:rsid w:val="00C40889"/>
    <w:rsid w:val="00C40C42"/>
    <w:rsid w:val="00C41047"/>
    <w:rsid w:val="00C41457"/>
    <w:rsid w:val="00C4210C"/>
    <w:rsid w:val="00C42C43"/>
    <w:rsid w:val="00C43B10"/>
    <w:rsid w:val="00C4581A"/>
    <w:rsid w:val="00C5272B"/>
    <w:rsid w:val="00C53091"/>
    <w:rsid w:val="00C552D5"/>
    <w:rsid w:val="00C567B8"/>
    <w:rsid w:val="00C56CBE"/>
    <w:rsid w:val="00C57A85"/>
    <w:rsid w:val="00C631ED"/>
    <w:rsid w:val="00C64EA4"/>
    <w:rsid w:val="00C661D2"/>
    <w:rsid w:val="00C66A3B"/>
    <w:rsid w:val="00C72C37"/>
    <w:rsid w:val="00C72F59"/>
    <w:rsid w:val="00C762AF"/>
    <w:rsid w:val="00C8171D"/>
    <w:rsid w:val="00C83E64"/>
    <w:rsid w:val="00C84788"/>
    <w:rsid w:val="00C864D2"/>
    <w:rsid w:val="00C86A79"/>
    <w:rsid w:val="00C90AAA"/>
    <w:rsid w:val="00C9243B"/>
    <w:rsid w:val="00C9281C"/>
    <w:rsid w:val="00C95125"/>
    <w:rsid w:val="00C9717E"/>
    <w:rsid w:val="00CA4DEA"/>
    <w:rsid w:val="00CA7580"/>
    <w:rsid w:val="00CA7701"/>
    <w:rsid w:val="00CA7740"/>
    <w:rsid w:val="00CB1BFD"/>
    <w:rsid w:val="00CB76F4"/>
    <w:rsid w:val="00CC1B3A"/>
    <w:rsid w:val="00CC1F88"/>
    <w:rsid w:val="00CC38F4"/>
    <w:rsid w:val="00CC6989"/>
    <w:rsid w:val="00CD442F"/>
    <w:rsid w:val="00CD6007"/>
    <w:rsid w:val="00CD6A7A"/>
    <w:rsid w:val="00CD6AE5"/>
    <w:rsid w:val="00CD6E86"/>
    <w:rsid w:val="00CE0CDA"/>
    <w:rsid w:val="00CE1D6A"/>
    <w:rsid w:val="00CE3ED7"/>
    <w:rsid w:val="00CE4EA7"/>
    <w:rsid w:val="00CE5585"/>
    <w:rsid w:val="00CE62B9"/>
    <w:rsid w:val="00CE6C1B"/>
    <w:rsid w:val="00CF0D06"/>
    <w:rsid w:val="00CF1BDA"/>
    <w:rsid w:val="00CF2F1F"/>
    <w:rsid w:val="00CF472A"/>
    <w:rsid w:val="00CF5B7A"/>
    <w:rsid w:val="00CF796A"/>
    <w:rsid w:val="00D02A97"/>
    <w:rsid w:val="00D037CF"/>
    <w:rsid w:val="00D04646"/>
    <w:rsid w:val="00D07F42"/>
    <w:rsid w:val="00D10104"/>
    <w:rsid w:val="00D11565"/>
    <w:rsid w:val="00D124CC"/>
    <w:rsid w:val="00D13DAC"/>
    <w:rsid w:val="00D17225"/>
    <w:rsid w:val="00D22036"/>
    <w:rsid w:val="00D23800"/>
    <w:rsid w:val="00D23EB5"/>
    <w:rsid w:val="00D26B34"/>
    <w:rsid w:val="00D32546"/>
    <w:rsid w:val="00D33040"/>
    <w:rsid w:val="00D43503"/>
    <w:rsid w:val="00D4352C"/>
    <w:rsid w:val="00D44DA7"/>
    <w:rsid w:val="00D453DF"/>
    <w:rsid w:val="00D537D3"/>
    <w:rsid w:val="00D56EB9"/>
    <w:rsid w:val="00D627E3"/>
    <w:rsid w:val="00D71D99"/>
    <w:rsid w:val="00D74143"/>
    <w:rsid w:val="00D772F9"/>
    <w:rsid w:val="00D832A4"/>
    <w:rsid w:val="00D83326"/>
    <w:rsid w:val="00D864B2"/>
    <w:rsid w:val="00D87307"/>
    <w:rsid w:val="00D87F1C"/>
    <w:rsid w:val="00D9474B"/>
    <w:rsid w:val="00D953A8"/>
    <w:rsid w:val="00D956F8"/>
    <w:rsid w:val="00D9621E"/>
    <w:rsid w:val="00DA2EA9"/>
    <w:rsid w:val="00DB1C96"/>
    <w:rsid w:val="00DC20DF"/>
    <w:rsid w:val="00DC63ED"/>
    <w:rsid w:val="00DC726C"/>
    <w:rsid w:val="00DD2B6A"/>
    <w:rsid w:val="00DD4963"/>
    <w:rsid w:val="00DD5CE9"/>
    <w:rsid w:val="00DD5E2B"/>
    <w:rsid w:val="00DE1811"/>
    <w:rsid w:val="00DE2AB4"/>
    <w:rsid w:val="00DE4FD4"/>
    <w:rsid w:val="00DE5898"/>
    <w:rsid w:val="00DE7021"/>
    <w:rsid w:val="00DF350E"/>
    <w:rsid w:val="00DF3812"/>
    <w:rsid w:val="00DF662B"/>
    <w:rsid w:val="00E0198D"/>
    <w:rsid w:val="00E0201B"/>
    <w:rsid w:val="00E020C0"/>
    <w:rsid w:val="00E02873"/>
    <w:rsid w:val="00E032DE"/>
    <w:rsid w:val="00E05318"/>
    <w:rsid w:val="00E13E35"/>
    <w:rsid w:val="00E1465E"/>
    <w:rsid w:val="00E14ADB"/>
    <w:rsid w:val="00E161D4"/>
    <w:rsid w:val="00E16A00"/>
    <w:rsid w:val="00E17AE4"/>
    <w:rsid w:val="00E204ED"/>
    <w:rsid w:val="00E210C5"/>
    <w:rsid w:val="00E23098"/>
    <w:rsid w:val="00E23A40"/>
    <w:rsid w:val="00E2657B"/>
    <w:rsid w:val="00E32359"/>
    <w:rsid w:val="00E32E79"/>
    <w:rsid w:val="00E36F08"/>
    <w:rsid w:val="00E40CDA"/>
    <w:rsid w:val="00E439CE"/>
    <w:rsid w:val="00E47452"/>
    <w:rsid w:val="00E54B67"/>
    <w:rsid w:val="00E55417"/>
    <w:rsid w:val="00E55B76"/>
    <w:rsid w:val="00E57B30"/>
    <w:rsid w:val="00E57EF8"/>
    <w:rsid w:val="00E61D46"/>
    <w:rsid w:val="00E64E95"/>
    <w:rsid w:val="00E7179A"/>
    <w:rsid w:val="00E71C95"/>
    <w:rsid w:val="00E71F35"/>
    <w:rsid w:val="00E72838"/>
    <w:rsid w:val="00E7515D"/>
    <w:rsid w:val="00E758AA"/>
    <w:rsid w:val="00E75FAF"/>
    <w:rsid w:val="00E85E69"/>
    <w:rsid w:val="00E86A5A"/>
    <w:rsid w:val="00E87FE5"/>
    <w:rsid w:val="00E907AD"/>
    <w:rsid w:val="00E9091C"/>
    <w:rsid w:val="00E930EB"/>
    <w:rsid w:val="00EA0483"/>
    <w:rsid w:val="00EA0D6A"/>
    <w:rsid w:val="00EA52AE"/>
    <w:rsid w:val="00EA6815"/>
    <w:rsid w:val="00EA70C1"/>
    <w:rsid w:val="00EB127F"/>
    <w:rsid w:val="00EB2C67"/>
    <w:rsid w:val="00EB3B33"/>
    <w:rsid w:val="00EB6873"/>
    <w:rsid w:val="00EC407E"/>
    <w:rsid w:val="00EC42D7"/>
    <w:rsid w:val="00EC4336"/>
    <w:rsid w:val="00EC5FCF"/>
    <w:rsid w:val="00EC66A0"/>
    <w:rsid w:val="00EC6B83"/>
    <w:rsid w:val="00ED005A"/>
    <w:rsid w:val="00ED6558"/>
    <w:rsid w:val="00ED6F63"/>
    <w:rsid w:val="00ED7D03"/>
    <w:rsid w:val="00EE074D"/>
    <w:rsid w:val="00EE0A81"/>
    <w:rsid w:val="00EE2A42"/>
    <w:rsid w:val="00EE2ED4"/>
    <w:rsid w:val="00EE7805"/>
    <w:rsid w:val="00EF25C4"/>
    <w:rsid w:val="00EF3655"/>
    <w:rsid w:val="00EF6011"/>
    <w:rsid w:val="00EF6E24"/>
    <w:rsid w:val="00F0260F"/>
    <w:rsid w:val="00F07186"/>
    <w:rsid w:val="00F13208"/>
    <w:rsid w:val="00F146F2"/>
    <w:rsid w:val="00F20128"/>
    <w:rsid w:val="00F21D40"/>
    <w:rsid w:val="00F23EB6"/>
    <w:rsid w:val="00F24CCB"/>
    <w:rsid w:val="00F24F3B"/>
    <w:rsid w:val="00F30AB9"/>
    <w:rsid w:val="00F31102"/>
    <w:rsid w:val="00F3204E"/>
    <w:rsid w:val="00F325E5"/>
    <w:rsid w:val="00F32988"/>
    <w:rsid w:val="00F34EA8"/>
    <w:rsid w:val="00F372F2"/>
    <w:rsid w:val="00F43E48"/>
    <w:rsid w:val="00F46529"/>
    <w:rsid w:val="00F46F7E"/>
    <w:rsid w:val="00F475C0"/>
    <w:rsid w:val="00F4773B"/>
    <w:rsid w:val="00F47D71"/>
    <w:rsid w:val="00F528D7"/>
    <w:rsid w:val="00F53F9A"/>
    <w:rsid w:val="00F60798"/>
    <w:rsid w:val="00F615C7"/>
    <w:rsid w:val="00F61C6D"/>
    <w:rsid w:val="00F62072"/>
    <w:rsid w:val="00F660A6"/>
    <w:rsid w:val="00F71C8C"/>
    <w:rsid w:val="00F802B4"/>
    <w:rsid w:val="00F8212A"/>
    <w:rsid w:val="00F826EE"/>
    <w:rsid w:val="00F82CEC"/>
    <w:rsid w:val="00F911AB"/>
    <w:rsid w:val="00F964EB"/>
    <w:rsid w:val="00F968A1"/>
    <w:rsid w:val="00FA0353"/>
    <w:rsid w:val="00FA07CF"/>
    <w:rsid w:val="00FA1BEB"/>
    <w:rsid w:val="00FA3745"/>
    <w:rsid w:val="00FA6070"/>
    <w:rsid w:val="00FA6964"/>
    <w:rsid w:val="00FB1188"/>
    <w:rsid w:val="00FB18A4"/>
    <w:rsid w:val="00FB1B9F"/>
    <w:rsid w:val="00FB2B77"/>
    <w:rsid w:val="00FB4A03"/>
    <w:rsid w:val="00FC2C37"/>
    <w:rsid w:val="00FC329D"/>
    <w:rsid w:val="00FC4155"/>
    <w:rsid w:val="00FC4249"/>
    <w:rsid w:val="00FC671F"/>
    <w:rsid w:val="00FD1FAE"/>
    <w:rsid w:val="00FD27A9"/>
    <w:rsid w:val="00FD373F"/>
    <w:rsid w:val="00FD37B1"/>
    <w:rsid w:val="00FD472A"/>
    <w:rsid w:val="00FD4C81"/>
    <w:rsid w:val="00FD5E01"/>
    <w:rsid w:val="00FE0E24"/>
    <w:rsid w:val="00FE381A"/>
    <w:rsid w:val="00FE517B"/>
    <w:rsid w:val="00FE705C"/>
    <w:rsid w:val="00FF00DA"/>
    <w:rsid w:val="00FF099F"/>
    <w:rsid w:val="00FF15ED"/>
    <w:rsid w:val="00FF1E17"/>
    <w:rsid w:val="00FF2566"/>
    <w:rsid w:val="00FF2E7E"/>
    <w:rsid w:val="00FF46C5"/>
    <w:rsid w:val="00FF71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943B4"/>
  <w15:chartTrackingRefBased/>
  <w15:docId w15:val="{61CE5A59-4A67-4200-A4F1-82924FB4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6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D4"/>
    <w:rPr>
      <w:rFonts w:eastAsiaTheme="majorEastAsia" w:cstheme="majorBidi"/>
      <w:color w:val="272727" w:themeColor="text1" w:themeTint="D8"/>
    </w:rPr>
  </w:style>
  <w:style w:type="paragraph" w:styleId="Title">
    <w:name w:val="Title"/>
    <w:basedOn w:val="Normal"/>
    <w:next w:val="Normal"/>
    <w:link w:val="TitleChar"/>
    <w:uiPriority w:val="10"/>
    <w:qFormat/>
    <w:rsid w:val="00E16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D4"/>
    <w:pPr>
      <w:spacing w:before="160"/>
      <w:jc w:val="center"/>
    </w:pPr>
    <w:rPr>
      <w:i/>
      <w:iCs/>
      <w:color w:val="404040" w:themeColor="text1" w:themeTint="BF"/>
    </w:rPr>
  </w:style>
  <w:style w:type="character" w:customStyle="1" w:styleId="QuoteChar">
    <w:name w:val="Quote Char"/>
    <w:basedOn w:val="DefaultParagraphFont"/>
    <w:link w:val="Quote"/>
    <w:uiPriority w:val="29"/>
    <w:rsid w:val="00E161D4"/>
    <w:rPr>
      <w:i/>
      <w:iCs/>
      <w:color w:val="404040" w:themeColor="text1" w:themeTint="BF"/>
    </w:rPr>
  </w:style>
  <w:style w:type="paragraph" w:styleId="ListParagraph">
    <w:name w:val="List Paragraph"/>
    <w:basedOn w:val="Normal"/>
    <w:uiPriority w:val="34"/>
    <w:qFormat/>
    <w:rsid w:val="00E161D4"/>
    <w:pPr>
      <w:ind w:left="720"/>
      <w:contextualSpacing/>
    </w:pPr>
  </w:style>
  <w:style w:type="character" w:styleId="IntenseEmphasis">
    <w:name w:val="Intense Emphasis"/>
    <w:basedOn w:val="DefaultParagraphFont"/>
    <w:uiPriority w:val="21"/>
    <w:qFormat/>
    <w:rsid w:val="00E161D4"/>
    <w:rPr>
      <w:i/>
      <w:iCs/>
      <w:color w:val="2F5496" w:themeColor="accent1" w:themeShade="BF"/>
    </w:rPr>
  </w:style>
  <w:style w:type="paragraph" w:styleId="IntenseQuote">
    <w:name w:val="Intense Quote"/>
    <w:basedOn w:val="Normal"/>
    <w:next w:val="Normal"/>
    <w:link w:val="IntenseQuoteChar"/>
    <w:uiPriority w:val="30"/>
    <w:qFormat/>
    <w:rsid w:val="00E16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1D4"/>
    <w:rPr>
      <w:i/>
      <w:iCs/>
      <w:color w:val="2F5496" w:themeColor="accent1" w:themeShade="BF"/>
    </w:rPr>
  </w:style>
  <w:style w:type="character" w:styleId="IntenseReference">
    <w:name w:val="Intense Reference"/>
    <w:basedOn w:val="DefaultParagraphFont"/>
    <w:uiPriority w:val="32"/>
    <w:qFormat/>
    <w:rsid w:val="00E161D4"/>
    <w:rPr>
      <w:b/>
      <w:bCs/>
      <w:smallCaps/>
      <w:color w:val="2F5496" w:themeColor="accent1" w:themeShade="BF"/>
      <w:spacing w:val="5"/>
    </w:rPr>
  </w:style>
  <w:style w:type="paragraph" w:styleId="Header">
    <w:name w:val="header"/>
    <w:basedOn w:val="Normal"/>
    <w:link w:val="HeaderChar"/>
    <w:uiPriority w:val="99"/>
    <w:unhideWhenUsed/>
    <w:rsid w:val="00E16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1D4"/>
  </w:style>
  <w:style w:type="paragraph" w:styleId="Footer">
    <w:name w:val="footer"/>
    <w:basedOn w:val="Normal"/>
    <w:link w:val="FooterChar"/>
    <w:uiPriority w:val="99"/>
    <w:unhideWhenUsed/>
    <w:rsid w:val="00E16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1D4"/>
  </w:style>
  <w:style w:type="paragraph" w:styleId="Revision">
    <w:name w:val="Revision"/>
    <w:hidden/>
    <w:uiPriority w:val="99"/>
    <w:semiHidden/>
    <w:rsid w:val="00EB2C67"/>
    <w:pPr>
      <w:spacing w:after="0" w:line="240" w:lineRule="auto"/>
    </w:pPr>
  </w:style>
  <w:style w:type="paragraph" w:customStyle="1" w:styleId="Default">
    <w:name w:val="Default"/>
    <w:rsid w:val="00EB2C6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236A7B"/>
    <w:rPr>
      <w:color w:val="0563C1" w:themeColor="hyperlink"/>
      <w:u w:val="single"/>
    </w:rPr>
  </w:style>
  <w:style w:type="character" w:customStyle="1" w:styleId="UnresolvedMention1">
    <w:name w:val="Unresolved Mention1"/>
    <w:basedOn w:val="DefaultParagraphFont"/>
    <w:uiPriority w:val="99"/>
    <w:semiHidden/>
    <w:unhideWhenUsed/>
    <w:rsid w:val="00236A7B"/>
    <w:rPr>
      <w:color w:val="605E5C"/>
      <w:shd w:val="clear" w:color="auto" w:fill="E1DFDD"/>
    </w:rPr>
  </w:style>
  <w:style w:type="paragraph" w:styleId="BalloonText">
    <w:name w:val="Balloon Text"/>
    <w:basedOn w:val="Normal"/>
    <w:link w:val="BalloonTextChar"/>
    <w:uiPriority w:val="99"/>
    <w:semiHidden/>
    <w:unhideWhenUsed/>
    <w:rsid w:val="00025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21</Pages>
  <Words>5832</Words>
  <Characters>33245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Kudya</dc:creator>
  <cp:keywords/>
  <dc:description/>
  <cp:lastModifiedBy>usr</cp:lastModifiedBy>
  <cp:revision>22</cp:revision>
  <cp:lastPrinted>2025-07-28T07:33:00Z</cp:lastPrinted>
  <dcterms:created xsi:type="dcterms:W3CDTF">2025-07-28T07:12:00Z</dcterms:created>
  <dcterms:modified xsi:type="dcterms:W3CDTF">2025-07-28T12:40:00Z</dcterms:modified>
</cp:coreProperties>
</file>