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94" w:rsidRDefault="00A90DE0">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TANGANDA TEA COMPANY</w:t>
      </w:r>
    </w:p>
    <w:p w:rsidR="00892594" w:rsidRDefault="00A90DE0">
      <w:pPr>
        <w:spacing w:after="0" w:line="240" w:lineRule="auto"/>
        <w:jc w:val="both"/>
        <w:rPr>
          <w:rFonts w:ascii="Times New Roman" w:hAnsi="Times New Roman"/>
          <w:sz w:val="24"/>
          <w:szCs w:val="24"/>
        </w:rPr>
      </w:pPr>
      <w:r>
        <w:rPr>
          <w:rFonts w:ascii="Times New Roman" w:hAnsi="Times New Roman"/>
          <w:sz w:val="24"/>
          <w:szCs w:val="24"/>
        </w:rPr>
        <w:t>versus</w:t>
      </w:r>
    </w:p>
    <w:p w:rsidR="00892594" w:rsidRDefault="00A90DE0">
      <w:pPr>
        <w:spacing w:after="0" w:line="240" w:lineRule="auto"/>
        <w:jc w:val="both"/>
        <w:rPr>
          <w:rFonts w:ascii="Times New Roman" w:hAnsi="Times New Roman"/>
          <w:sz w:val="24"/>
          <w:szCs w:val="24"/>
        </w:rPr>
      </w:pPr>
      <w:r>
        <w:rPr>
          <w:rFonts w:ascii="Times New Roman" w:hAnsi="Times New Roman"/>
          <w:sz w:val="24"/>
          <w:szCs w:val="24"/>
        </w:rPr>
        <w:t>DARLINGTON MATSITUKWA</w:t>
      </w:r>
    </w:p>
    <w:p w:rsidR="00892594" w:rsidRDefault="00892594">
      <w:pPr>
        <w:spacing w:after="0" w:line="240" w:lineRule="auto"/>
        <w:jc w:val="both"/>
        <w:rPr>
          <w:rFonts w:ascii="Times New Roman" w:hAnsi="Times New Roman"/>
          <w:sz w:val="24"/>
          <w:szCs w:val="24"/>
        </w:rPr>
      </w:pPr>
    </w:p>
    <w:p w:rsidR="00892594" w:rsidRDefault="00892594">
      <w:pPr>
        <w:spacing w:after="0" w:line="240" w:lineRule="auto"/>
        <w:jc w:val="both"/>
        <w:rPr>
          <w:rFonts w:ascii="Times New Roman" w:hAnsi="Times New Roman"/>
          <w:sz w:val="24"/>
          <w:szCs w:val="24"/>
        </w:rPr>
      </w:pPr>
    </w:p>
    <w:p w:rsidR="00892594" w:rsidRDefault="00A90DE0">
      <w:pPr>
        <w:spacing w:after="0" w:line="240" w:lineRule="auto"/>
        <w:jc w:val="both"/>
        <w:rPr>
          <w:rFonts w:ascii="Times New Roman" w:hAnsi="Times New Roman"/>
          <w:sz w:val="24"/>
          <w:szCs w:val="24"/>
        </w:rPr>
      </w:pPr>
      <w:r>
        <w:rPr>
          <w:rFonts w:ascii="Times New Roman" w:hAnsi="Times New Roman"/>
          <w:sz w:val="24"/>
          <w:szCs w:val="24"/>
        </w:rPr>
        <w:t>HIGH COURT OF ZIMBABWE</w:t>
      </w:r>
    </w:p>
    <w:p w:rsidR="00892594" w:rsidRDefault="00A90DE0">
      <w:pPr>
        <w:spacing w:after="0" w:line="240" w:lineRule="auto"/>
        <w:jc w:val="both"/>
        <w:rPr>
          <w:rFonts w:ascii="Times New Roman" w:hAnsi="Times New Roman"/>
          <w:b/>
          <w:bCs/>
          <w:sz w:val="24"/>
          <w:szCs w:val="24"/>
        </w:rPr>
      </w:pPr>
      <w:r>
        <w:rPr>
          <w:rFonts w:ascii="Times New Roman" w:hAnsi="Times New Roman"/>
          <w:b/>
          <w:bCs/>
          <w:sz w:val="24"/>
          <w:szCs w:val="24"/>
        </w:rPr>
        <w:t>MUSHURE J</w:t>
      </w:r>
    </w:p>
    <w:p w:rsidR="00892594" w:rsidRDefault="00A90DE0">
      <w:pPr>
        <w:spacing w:after="0" w:line="240" w:lineRule="auto"/>
        <w:jc w:val="both"/>
        <w:rPr>
          <w:rFonts w:ascii="Times New Roman" w:hAnsi="Times New Roman"/>
          <w:sz w:val="24"/>
          <w:szCs w:val="24"/>
        </w:rPr>
      </w:pPr>
      <w:r>
        <w:rPr>
          <w:rFonts w:ascii="Times New Roman" w:hAnsi="Times New Roman"/>
          <w:sz w:val="24"/>
          <w:szCs w:val="24"/>
        </w:rPr>
        <w:t xml:space="preserve">HARARE; 15 November 2024 &amp; 22 April 2025 </w:t>
      </w:r>
    </w:p>
    <w:p w:rsidR="00892594" w:rsidRDefault="00892594">
      <w:pPr>
        <w:spacing w:after="0" w:line="240" w:lineRule="auto"/>
        <w:jc w:val="both"/>
        <w:rPr>
          <w:rFonts w:ascii="Times New Roman" w:hAnsi="Times New Roman"/>
          <w:sz w:val="24"/>
          <w:szCs w:val="24"/>
        </w:rPr>
      </w:pPr>
    </w:p>
    <w:p w:rsidR="00892594" w:rsidRDefault="00892594">
      <w:pPr>
        <w:spacing w:after="0" w:line="240" w:lineRule="auto"/>
        <w:jc w:val="both"/>
        <w:rPr>
          <w:rFonts w:ascii="Times New Roman" w:hAnsi="Times New Roman"/>
          <w:sz w:val="24"/>
          <w:szCs w:val="24"/>
        </w:rPr>
      </w:pPr>
    </w:p>
    <w:p w:rsidR="00892594" w:rsidRDefault="00A90DE0">
      <w:pPr>
        <w:spacing w:after="0"/>
        <w:jc w:val="both"/>
        <w:rPr>
          <w:rFonts w:ascii="Times New Roman" w:hAnsi="Times New Roman"/>
          <w:b/>
          <w:sz w:val="24"/>
          <w:szCs w:val="24"/>
        </w:rPr>
      </w:pPr>
      <w:r>
        <w:rPr>
          <w:rFonts w:ascii="Times New Roman" w:hAnsi="Times New Roman"/>
          <w:b/>
          <w:sz w:val="24"/>
          <w:szCs w:val="24"/>
        </w:rPr>
        <w:t>Special case</w:t>
      </w:r>
    </w:p>
    <w:p w:rsidR="00892594" w:rsidRDefault="00892594">
      <w:pPr>
        <w:pStyle w:val="NoSpacing"/>
        <w:jc w:val="both"/>
        <w:rPr>
          <w:i/>
        </w:rPr>
      </w:pPr>
    </w:p>
    <w:p w:rsidR="00892594" w:rsidRDefault="00892594">
      <w:pPr>
        <w:pStyle w:val="NoSpacing"/>
        <w:jc w:val="both"/>
        <w:rPr>
          <w:i/>
        </w:rPr>
      </w:pPr>
    </w:p>
    <w:p w:rsidR="00892594" w:rsidRDefault="00A90DE0">
      <w:pPr>
        <w:pStyle w:val="NoSpacing"/>
        <w:jc w:val="both"/>
        <w:rPr>
          <w:rFonts w:ascii="Times New Roman" w:hAnsi="Times New Roman" w:cs="Times New Roman"/>
          <w:sz w:val="24"/>
          <w:szCs w:val="24"/>
        </w:rPr>
      </w:pPr>
      <w:r>
        <w:rPr>
          <w:rFonts w:ascii="Times New Roman" w:hAnsi="Times New Roman" w:cs="Times New Roman"/>
          <w:i/>
          <w:sz w:val="24"/>
          <w:szCs w:val="24"/>
        </w:rPr>
        <w:t>G Ganda,</w:t>
      </w:r>
      <w:r>
        <w:rPr>
          <w:rFonts w:ascii="Times New Roman" w:hAnsi="Times New Roman" w:cs="Times New Roman"/>
          <w:sz w:val="24"/>
          <w:szCs w:val="24"/>
        </w:rPr>
        <w:t xml:space="preserve"> for the plaintiff </w:t>
      </w:r>
    </w:p>
    <w:p w:rsidR="00892594" w:rsidRDefault="00A90DE0">
      <w:pPr>
        <w:spacing w:after="0" w:line="240" w:lineRule="auto"/>
        <w:jc w:val="both"/>
        <w:rPr>
          <w:rFonts w:ascii="Times New Roman" w:hAnsi="Times New Roman"/>
          <w:sz w:val="24"/>
          <w:szCs w:val="24"/>
        </w:rPr>
      </w:pPr>
      <w:r>
        <w:rPr>
          <w:rFonts w:ascii="Times New Roman" w:hAnsi="Times New Roman"/>
          <w:i/>
          <w:sz w:val="24"/>
          <w:szCs w:val="24"/>
        </w:rPr>
        <w:t>T Gombiro</w:t>
      </w:r>
      <w:r>
        <w:rPr>
          <w:rFonts w:ascii="Times New Roman" w:hAnsi="Times New Roman"/>
          <w:sz w:val="24"/>
          <w:szCs w:val="24"/>
        </w:rPr>
        <w:t xml:space="preserve">, for the defendant </w:t>
      </w:r>
    </w:p>
    <w:p w:rsidR="00892594" w:rsidRDefault="00892594">
      <w:pPr>
        <w:spacing w:after="0" w:line="240" w:lineRule="auto"/>
        <w:jc w:val="both"/>
        <w:rPr>
          <w:rFonts w:ascii="Times New Roman" w:hAnsi="Times New Roman"/>
          <w:sz w:val="24"/>
          <w:szCs w:val="24"/>
        </w:rPr>
      </w:pPr>
    </w:p>
    <w:p w:rsidR="00892594" w:rsidRDefault="00A90DE0">
      <w:pPr>
        <w:tabs>
          <w:tab w:val="left" w:pos="720"/>
          <w:tab w:val="left" w:pos="1440"/>
          <w:tab w:val="left" w:pos="2160"/>
          <w:tab w:val="left" w:pos="66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MUSHURE J:</w:t>
      </w:r>
      <w:r>
        <w:rPr>
          <w:rFonts w:ascii="Times New Roman" w:hAnsi="Times New Roman" w:cs="Times New Roman"/>
          <w:sz w:val="24"/>
          <w:szCs w:val="24"/>
        </w:rPr>
        <w:tab/>
      </w:r>
      <w:r>
        <w:rPr>
          <w:rFonts w:ascii="Times New Roman" w:hAnsi="Times New Roman" w:cs="Times New Roman"/>
          <w:sz w:val="24"/>
          <w:szCs w:val="24"/>
        </w:rPr>
        <w:tab/>
      </w:r>
    </w:p>
    <w:p w:rsidR="00892594" w:rsidRDefault="00892594">
      <w:pPr>
        <w:spacing w:after="0" w:line="240" w:lineRule="auto"/>
        <w:jc w:val="both"/>
        <w:rPr>
          <w:rFonts w:ascii="Times New Roman" w:hAnsi="Times New Roman" w:cs="Times New Roman"/>
          <w:sz w:val="24"/>
          <w:szCs w:val="24"/>
          <w:u w:val="single"/>
        </w:rPr>
      </w:pPr>
    </w:p>
    <w:p w:rsidR="00892594" w:rsidRDefault="00A90DE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892594" w:rsidRDefault="00A90DE0">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The matter before the Court is a special case provided for in terms of r52 of the High Court Rules, 2021. The issue in dispute relates to the waiver of the plaintiff’s right to repayment of a debt in foreign currency arising from an unfulfilled contractual</w:t>
      </w:r>
      <w:r>
        <w:rPr>
          <w:rFonts w:ascii="Times New Roman" w:hAnsi="Times New Roman" w:cs="Times New Roman"/>
          <w:sz w:val="24"/>
          <w:szCs w:val="24"/>
        </w:rPr>
        <w:t xml:space="preserve"> agreement with the defendant.  </w:t>
      </w:r>
    </w:p>
    <w:p w:rsidR="00892594" w:rsidRDefault="00A90DE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BACKGROUND</w:t>
      </w:r>
    </w:p>
    <w:p w:rsidR="00892594" w:rsidRDefault="00A90DE0">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The legal proceedings between the parties have been long and drawn out, with the matter first proceeding by way of application proceedings on 28 February 2020. Following an appeal to the Supreme Court, the matter</w:t>
      </w:r>
      <w:r>
        <w:rPr>
          <w:rFonts w:ascii="Times New Roman" w:hAnsi="Times New Roman" w:cs="Times New Roman"/>
          <w:sz w:val="24"/>
          <w:szCs w:val="24"/>
        </w:rPr>
        <w:t xml:space="preserve"> was remitted to this Court, where it was subsequently referred </w:t>
      </w:r>
      <w:r>
        <w:rPr>
          <w:rFonts w:ascii="Times New Roman" w:hAnsi="Times New Roman" w:cs="Times New Roman"/>
          <w:sz w:val="24"/>
          <w:szCs w:val="24"/>
          <w:lang w:val="en-ZW"/>
        </w:rPr>
        <w:t xml:space="preserve">for trial.  It was at this juncture that the </w:t>
      </w:r>
      <w:r>
        <w:rPr>
          <w:rFonts w:ascii="Times New Roman" w:hAnsi="Times New Roman" w:cs="Times New Roman"/>
          <w:sz w:val="24"/>
          <w:szCs w:val="24"/>
        </w:rPr>
        <w:t xml:space="preserve">parties agreed that the matter would proceed as a special case in terms of r52 of the High Court Rules, 2021. </w:t>
      </w:r>
    </w:p>
    <w:p w:rsidR="00892594" w:rsidRDefault="00A90DE0">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Consequently, the parties filed their statement of agreed facts and heads of argument. They were in concert that there would be no need for a hearing to argue the matter and that the Court ought to make its determination based on the papers filed of record</w:t>
      </w:r>
      <w:r>
        <w:rPr>
          <w:rFonts w:ascii="Times New Roman" w:hAnsi="Times New Roman" w:cs="Times New Roman"/>
          <w:sz w:val="24"/>
          <w:szCs w:val="24"/>
        </w:rPr>
        <w:t xml:space="preserve">. </w:t>
      </w:r>
    </w:p>
    <w:p w:rsidR="00892594" w:rsidRDefault="00A90DE0">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The facts of the matter as presented in the parties’ statement of agreed facts are reproduced verbatim hereunder: </w:t>
      </w:r>
    </w:p>
    <w:p w:rsidR="00892594" w:rsidRDefault="00A90DE0">
      <w:pPr>
        <w:widowControl w:val="0"/>
        <w:autoSpaceDE w:val="0"/>
        <w:autoSpaceDN w:val="0"/>
        <w:spacing w:before="1"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Pr>
          <w:rFonts w:ascii="Times New Roman" w:eastAsia="Times New Roman" w:hAnsi="Times New Roman" w:cs="Times New Roman"/>
          <w:b/>
          <w:sz w:val="24"/>
          <w:szCs w:val="24"/>
        </w:rPr>
        <w:t>The agreed facts</w:t>
      </w:r>
    </w:p>
    <w:p w:rsidR="00892594" w:rsidRDefault="00A90DE0">
      <w:pPr>
        <w:pStyle w:val="ListParagraph"/>
        <w:widowControl w:val="0"/>
        <w:numPr>
          <w:ilvl w:val="1"/>
          <w:numId w:val="2"/>
        </w:numPr>
        <w:autoSpaceDE w:val="0"/>
        <w:autoSpaceDN w:val="0"/>
        <w:spacing w:before="1"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Prior to 1 January 2018, the applicant and the respondent entered into an agreement in </w:t>
      </w:r>
      <w:r>
        <w:rPr>
          <w:rFonts w:ascii="Times New Roman" w:eastAsia="Times New Roman" w:hAnsi="Times New Roman" w:cs="Times New Roman"/>
          <w:sz w:val="24"/>
          <w:szCs w:val="24"/>
        </w:rPr>
        <w:lastRenderedPageBreak/>
        <w:t>which Applicant agreed to se</w:t>
      </w:r>
      <w:r>
        <w:rPr>
          <w:rFonts w:ascii="Times New Roman" w:eastAsia="Times New Roman" w:hAnsi="Times New Roman" w:cs="Times New Roman"/>
          <w:sz w:val="24"/>
          <w:szCs w:val="24"/>
        </w:rPr>
        <w:t xml:space="preserve">ll tea products worth USD 47 493.17 to the Respondent for resale in Malawi. </w:t>
      </w:r>
    </w:p>
    <w:p w:rsidR="00892594" w:rsidRDefault="00A90DE0">
      <w:pPr>
        <w:pStyle w:val="ListParagraph"/>
        <w:widowControl w:val="0"/>
        <w:numPr>
          <w:ilvl w:val="1"/>
          <w:numId w:val="2"/>
        </w:numPr>
        <w:autoSpaceDE w:val="0"/>
        <w:autoSpaceDN w:val="0"/>
        <w:spacing w:before="1"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Applicant effected delivery of the tea products to the Respondent, the latter failed to make payment of the tea products. </w:t>
      </w:r>
    </w:p>
    <w:p w:rsidR="00892594" w:rsidRDefault="00A90DE0">
      <w:pPr>
        <w:pStyle w:val="ListParagraph"/>
        <w:widowControl w:val="0"/>
        <w:numPr>
          <w:ilvl w:val="1"/>
          <w:numId w:val="2"/>
        </w:numPr>
        <w:autoSpaceDE w:val="0"/>
        <w:autoSpaceDN w:val="0"/>
        <w:spacing w:before="1"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Applicant sued the Respondent under HC</w:t>
      </w:r>
      <w:r>
        <w:rPr>
          <w:rFonts w:ascii="Times New Roman" w:eastAsia="Times New Roman" w:hAnsi="Times New Roman" w:cs="Times New Roman"/>
          <w:sz w:val="24"/>
          <w:szCs w:val="24"/>
        </w:rPr>
        <w:t xml:space="preserve">9854/18 and only ZWL$ 5 876.38 was recovered. </w:t>
      </w:r>
    </w:p>
    <w:p w:rsidR="00892594" w:rsidRDefault="00A90DE0">
      <w:pPr>
        <w:pStyle w:val="ListParagraph"/>
        <w:widowControl w:val="0"/>
        <w:numPr>
          <w:ilvl w:val="1"/>
          <w:numId w:val="2"/>
        </w:numPr>
        <w:autoSpaceDE w:val="0"/>
        <w:autoSpaceDN w:val="0"/>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 proceeded to make two separate payments in ZWL currency $16 000 and $ 25 717.70 to the Trust account of the Applicant’s legal representatives, thereby extinguishing the debt before the 22 Novemb</w:t>
      </w:r>
      <w:r>
        <w:rPr>
          <w:rFonts w:ascii="Times New Roman" w:eastAsia="Times New Roman" w:hAnsi="Times New Roman" w:cs="Times New Roman"/>
          <w:sz w:val="24"/>
          <w:szCs w:val="24"/>
        </w:rPr>
        <w:t xml:space="preserve">er 2019. </w:t>
      </w:r>
    </w:p>
    <w:p w:rsidR="00892594" w:rsidRDefault="00A90DE0">
      <w:pPr>
        <w:pStyle w:val="ListParagraph"/>
        <w:widowControl w:val="0"/>
        <w:numPr>
          <w:ilvl w:val="1"/>
          <w:numId w:val="2"/>
        </w:numPr>
        <w:autoSpaceDE w:val="0"/>
        <w:autoSpaceDN w:val="0"/>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has declined to accept the payments insisting that the debt was a foreign debt which should be settled in USD. </w:t>
      </w:r>
    </w:p>
    <w:p w:rsidR="00892594" w:rsidRDefault="00A90DE0">
      <w:pPr>
        <w:pStyle w:val="ListParagraph"/>
        <w:widowControl w:val="0"/>
        <w:numPr>
          <w:ilvl w:val="1"/>
          <w:numId w:val="2"/>
        </w:numPr>
        <w:autoSpaceDE w:val="0"/>
        <w:autoSpaceDN w:val="0"/>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have agreed that indeed the debt is a foreign debt and should have been settled in USD, the point of departu</w:t>
      </w:r>
      <w:r>
        <w:rPr>
          <w:rFonts w:ascii="Times New Roman" w:eastAsia="Times New Roman" w:hAnsi="Times New Roman" w:cs="Times New Roman"/>
          <w:sz w:val="24"/>
          <w:szCs w:val="24"/>
        </w:rPr>
        <w:t>re is whether the initial payment in ZWL and its acceptance extinguished the obligation to settle the debt in USD.”</w:t>
      </w:r>
    </w:p>
    <w:p w:rsidR="00892594" w:rsidRDefault="00892594">
      <w:pPr>
        <w:pStyle w:val="ListParagraph"/>
        <w:tabs>
          <w:tab w:val="left" w:pos="270"/>
        </w:tabs>
        <w:spacing w:line="360" w:lineRule="auto"/>
        <w:ind w:left="-180"/>
        <w:jc w:val="both"/>
        <w:rPr>
          <w:rFonts w:ascii="Times New Roman" w:hAnsi="Times New Roman" w:cs="Times New Roman"/>
          <w:b/>
          <w:sz w:val="24"/>
          <w:szCs w:val="24"/>
          <w:u w:val="single"/>
        </w:rPr>
      </w:pPr>
    </w:p>
    <w:p w:rsidR="00892594" w:rsidRDefault="00A90DE0">
      <w:pPr>
        <w:pStyle w:val="ListParagraph"/>
        <w:tabs>
          <w:tab w:val="left" w:pos="270"/>
        </w:tabs>
        <w:spacing w:line="360" w:lineRule="auto"/>
        <w:ind w:left="-180"/>
        <w:jc w:val="both"/>
        <w:rPr>
          <w:rFonts w:ascii="Times New Roman" w:hAnsi="Times New Roman" w:cs="Times New Roman"/>
          <w:b/>
          <w:sz w:val="24"/>
          <w:szCs w:val="24"/>
          <w:u w:val="single"/>
        </w:rPr>
      </w:pPr>
      <w:r>
        <w:rPr>
          <w:rFonts w:ascii="Times New Roman" w:hAnsi="Times New Roman" w:cs="Times New Roman"/>
          <w:b/>
          <w:sz w:val="24"/>
          <w:szCs w:val="24"/>
          <w:u w:val="single"/>
        </w:rPr>
        <w:t>PLAINTIFF’S SUBMISSIONS</w:t>
      </w:r>
    </w:p>
    <w:p w:rsidR="00892594" w:rsidRDefault="00A90DE0">
      <w:pPr>
        <w:widowControl w:val="0"/>
        <w:numPr>
          <w:ilvl w:val="0"/>
          <w:numId w:val="1"/>
        </w:numPr>
        <w:autoSpaceDE w:val="0"/>
        <w:autoSpaceDN w:val="0"/>
        <w:spacing w:before="1" w:after="0" w:line="360" w:lineRule="auto"/>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It is the plaintiff’s submission that the payment of the debt ought to be satisfied in foreign currency. It is subm</w:t>
      </w:r>
      <w:r>
        <w:rPr>
          <w:rFonts w:ascii="Times New Roman" w:eastAsia="Times New Roman" w:hAnsi="Times New Roman" w:cs="Times New Roman"/>
          <w:sz w:val="24"/>
          <w:szCs w:val="24"/>
        </w:rPr>
        <w:t>itted that, once the tea products were sold in Malawi and the defendant received payment in foreign currency, the plaintiff was equally entitled to payment in foreign currency. The plaintiff avers that it would be untenable to expect the plaintiff to recei</w:t>
      </w:r>
      <w:r>
        <w:rPr>
          <w:rFonts w:ascii="Times New Roman" w:eastAsia="Times New Roman" w:hAnsi="Times New Roman" w:cs="Times New Roman"/>
          <w:sz w:val="24"/>
          <w:szCs w:val="24"/>
        </w:rPr>
        <w:t xml:space="preserve">ve payment in local currency in the circumstances. </w:t>
      </w:r>
    </w:p>
    <w:p w:rsidR="00892594" w:rsidRDefault="00A90DE0">
      <w:pPr>
        <w:widowControl w:val="0"/>
        <w:numPr>
          <w:ilvl w:val="0"/>
          <w:numId w:val="1"/>
        </w:numPr>
        <w:autoSpaceDE w:val="0"/>
        <w:autoSpaceDN w:val="0"/>
        <w:spacing w:before="1" w:after="0" w:line="360" w:lineRule="auto"/>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The plaintiff avers that the agreement was regulated by the country’s exchange control legislation. CD1 forms were secured and submitted to facilitate the export delivery to the defendant. The plaintiff a</w:t>
      </w:r>
      <w:r>
        <w:rPr>
          <w:rFonts w:ascii="Times New Roman" w:eastAsia="Times New Roman" w:hAnsi="Times New Roman" w:cs="Times New Roman"/>
          <w:sz w:val="24"/>
          <w:szCs w:val="24"/>
        </w:rPr>
        <w:t>vers, further, that a declaration was made in the CD1 forms that the currency in which the goods would be paid would be United States Dollars (USD). To serve the interests of the country, the plaintiff argues, the prescribed payment is in USD in respect of</w:t>
      </w:r>
      <w:r>
        <w:rPr>
          <w:rFonts w:ascii="Times New Roman" w:eastAsia="Times New Roman" w:hAnsi="Times New Roman" w:cs="Times New Roman"/>
          <w:sz w:val="24"/>
          <w:szCs w:val="24"/>
        </w:rPr>
        <w:t xml:space="preserve"> exports as opposed to applying the one is to one principle that was in operation at the material time. </w:t>
      </w:r>
    </w:p>
    <w:p w:rsidR="00892594" w:rsidRDefault="00A90DE0">
      <w:pPr>
        <w:widowControl w:val="0"/>
        <w:numPr>
          <w:ilvl w:val="0"/>
          <w:numId w:val="1"/>
        </w:numPr>
        <w:autoSpaceDE w:val="0"/>
        <w:autoSpaceDN w:val="0"/>
        <w:spacing w:before="1" w:after="0" w:line="360" w:lineRule="auto"/>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Further, the plaintiff contends that export businesses are obligated by s7 of the Exchange Control (Currency Exchange) Order, 2004, to offer a proporti</w:t>
      </w:r>
      <w:r>
        <w:rPr>
          <w:rFonts w:ascii="Times New Roman" w:eastAsia="Times New Roman" w:hAnsi="Times New Roman" w:cs="Times New Roman"/>
          <w:sz w:val="24"/>
          <w:szCs w:val="24"/>
        </w:rPr>
        <w:t>on of foreign currency for auction to the Reserve Bank of Zimbabwe. Accordingly, the plaintiff asserts that this requirement of the law cannot be implemented if the defendant refuses or neglects to satisfy his debt in foreign currency or if the plaintiff i</w:t>
      </w:r>
      <w:r>
        <w:rPr>
          <w:rFonts w:ascii="Times New Roman" w:eastAsia="Times New Roman" w:hAnsi="Times New Roman" w:cs="Times New Roman"/>
          <w:sz w:val="24"/>
          <w:szCs w:val="24"/>
        </w:rPr>
        <w:t xml:space="preserve">s allowed to waive its right to be paid in USD. </w:t>
      </w:r>
    </w:p>
    <w:p w:rsidR="00892594" w:rsidRDefault="00A90DE0">
      <w:pPr>
        <w:widowControl w:val="0"/>
        <w:numPr>
          <w:ilvl w:val="0"/>
          <w:numId w:val="1"/>
        </w:numPr>
        <w:autoSpaceDE w:val="0"/>
        <w:autoSpaceDN w:val="0"/>
        <w:spacing w:before="1" w:after="0" w:line="360" w:lineRule="auto"/>
        <w:contextualSpacing/>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The plaintiff also argues that by statutory command, particularly s44C ss (2) (b) and (10) </w:t>
      </w:r>
      <w:r>
        <w:rPr>
          <w:rFonts w:ascii="Times New Roman" w:eastAsia="Times New Roman" w:hAnsi="Times New Roman" w:cs="Times New Roman"/>
          <w:sz w:val="24"/>
          <w:szCs w:val="24"/>
        </w:rPr>
        <w:lastRenderedPageBreak/>
        <w:t>(d) of the Reserve Bank of Zimbabwe Act [</w:t>
      </w:r>
      <w:r>
        <w:rPr>
          <w:rFonts w:ascii="Times New Roman" w:eastAsia="Times New Roman" w:hAnsi="Times New Roman" w:cs="Times New Roman"/>
          <w:i/>
          <w:sz w:val="24"/>
          <w:szCs w:val="24"/>
        </w:rPr>
        <w:t>Chapter 22:15</w:t>
      </w:r>
      <w:r>
        <w:rPr>
          <w:rFonts w:ascii="Times New Roman" w:eastAsia="Times New Roman" w:hAnsi="Times New Roman" w:cs="Times New Roman"/>
          <w:sz w:val="24"/>
          <w:szCs w:val="24"/>
        </w:rPr>
        <w:t>] (‘the RBZ Act’), a party owed a foreign debt cannot receive</w:t>
      </w:r>
      <w:r>
        <w:rPr>
          <w:rFonts w:ascii="Times New Roman" w:eastAsia="Times New Roman" w:hAnsi="Times New Roman" w:cs="Times New Roman"/>
          <w:sz w:val="24"/>
          <w:szCs w:val="24"/>
        </w:rPr>
        <w:t xml:space="preserve"> or accept payment of a foreign debt under the one as to one principle; but such a debt remains payable in USD. </w:t>
      </w:r>
    </w:p>
    <w:p w:rsidR="00892594" w:rsidRDefault="00A90DE0">
      <w:pPr>
        <w:widowControl w:val="0"/>
        <w:numPr>
          <w:ilvl w:val="0"/>
          <w:numId w:val="1"/>
        </w:numPr>
        <w:autoSpaceDE w:val="0"/>
        <w:autoSpaceDN w:val="0"/>
        <w:spacing w:before="1" w:after="0" w:line="360" w:lineRule="auto"/>
        <w:contextualSpacing/>
        <w:jc w:val="both"/>
        <w:rPr>
          <w:rFonts w:ascii="Times New Roman" w:eastAsia="Times New Roman" w:hAnsi="Times New Roman" w:cs="Times New Roman"/>
          <w:sz w:val="24"/>
          <w:szCs w:val="24"/>
          <w:lang w:val="en-ZW"/>
        </w:rPr>
      </w:pPr>
      <w:r>
        <w:rPr>
          <w:rFonts w:ascii="Times New Roman" w:eastAsia="Times New Roman" w:hAnsi="Times New Roman" w:cs="Times New Roman"/>
          <w:sz w:val="24"/>
          <w:szCs w:val="24"/>
        </w:rPr>
        <w:t xml:space="preserve">On the issue of waiver, the plaintiff denies that it waived its right to receive the payment in USD and takes the position that the party </w:t>
      </w:r>
      <w:r>
        <w:rPr>
          <w:rFonts w:ascii="Times New Roman" w:eastAsia="Times New Roman" w:hAnsi="Times New Roman" w:cs="Times New Roman"/>
          <w:sz w:val="24"/>
          <w:szCs w:val="24"/>
        </w:rPr>
        <w:t>alleging waiver must provide clear evidence of such waiver. The plaintiff is of the view that there cannot be any waiver of a right where the right arises from statute. It is submitted by the plaintiff that in the present circumstances, waiver will attract</w:t>
      </w:r>
      <w:r>
        <w:rPr>
          <w:rFonts w:ascii="Times New Roman" w:eastAsia="Times New Roman" w:hAnsi="Times New Roman" w:cs="Times New Roman"/>
          <w:sz w:val="24"/>
          <w:szCs w:val="24"/>
        </w:rPr>
        <w:t xml:space="preserve"> a penalty in terms of s</w:t>
      </w:r>
      <w:r>
        <w:rPr>
          <w:rFonts w:ascii="Times New Roman" w:eastAsia="Times New Roman" w:hAnsi="Times New Roman" w:cs="Times New Roman"/>
          <w:bCs/>
          <w:sz w:val="24"/>
          <w:szCs w:val="24"/>
        </w:rPr>
        <w:t xml:space="preserve">ection 7 (5) </w:t>
      </w:r>
      <w:r>
        <w:rPr>
          <w:rFonts w:ascii="Times New Roman" w:eastAsia="Times New Roman" w:hAnsi="Times New Roman" w:cs="Times New Roman"/>
          <w:sz w:val="24"/>
          <w:szCs w:val="24"/>
        </w:rPr>
        <w:t xml:space="preserve">of </w:t>
      </w:r>
      <w:r>
        <w:rPr>
          <w:rFonts w:ascii="Times New Roman" w:eastAsia="Times New Roman" w:hAnsi="Times New Roman" w:cs="Times New Roman"/>
          <w:bCs/>
          <w:sz w:val="24"/>
          <w:szCs w:val="24"/>
        </w:rPr>
        <w:t xml:space="preserve">the Exchange Control (Currency Exchange) Order 2004. </w:t>
      </w:r>
    </w:p>
    <w:p w:rsidR="00892594" w:rsidRDefault="00892594">
      <w:pPr>
        <w:widowControl w:val="0"/>
        <w:autoSpaceDE w:val="0"/>
        <w:autoSpaceDN w:val="0"/>
        <w:spacing w:before="1" w:after="0" w:line="360" w:lineRule="auto"/>
        <w:ind w:left="907"/>
        <w:contextualSpacing/>
        <w:jc w:val="both"/>
        <w:rPr>
          <w:rFonts w:ascii="Times New Roman" w:eastAsia="Times New Roman" w:hAnsi="Times New Roman" w:cs="Times New Roman"/>
          <w:sz w:val="24"/>
          <w:szCs w:val="24"/>
          <w:lang w:val="en-ZW"/>
        </w:rPr>
      </w:pPr>
    </w:p>
    <w:p w:rsidR="00892594" w:rsidRDefault="00A90DE0">
      <w:pPr>
        <w:pStyle w:val="ListParagraph"/>
        <w:tabs>
          <w:tab w:val="left" w:pos="270"/>
        </w:tabs>
        <w:spacing w:line="360" w:lineRule="auto"/>
        <w:ind w:left="-180"/>
        <w:jc w:val="both"/>
        <w:rPr>
          <w:rFonts w:ascii="Times New Roman" w:hAnsi="Times New Roman" w:cs="Times New Roman"/>
          <w:b/>
          <w:sz w:val="24"/>
          <w:szCs w:val="24"/>
          <w:u w:val="single"/>
        </w:rPr>
      </w:pPr>
      <w:r>
        <w:rPr>
          <w:rFonts w:ascii="Times New Roman" w:hAnsi="Times New Roman" w:cs="Times New Roman"/>
          <w:b/>
          <w:sz w:val="24"/>
          <w:szCs w:val="24"/>
          <w:u w:val="single"/>
        </w:rPr>
        <w:t>DEFENDANT’S SUBMISSIONS</w:t>
      </w:r>
    </w:p>
    <w:p w:rsidR="00892594" w:rsidRDefault="00A90DE0">
      <w:pPr>
        <w:pStyle w:val="ListParagraph"/>
        <w:widowControl w:val="0"/>
        <w:numPr>
          <w:ilvl w:val="0"/>
          <w:numId w:val="1"/>
        </w:numPr>
        <w:autoSpaceDE w:val="0"/>
        <w:autoSpaceDN w:val="0"/>
        <w:spacing w:before="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defendant argues that the plaintiff waived its right to have payment of the debt in USD. He argues that following the issuance of the judgment under HC 10306/18, a writ of execution was duly issued, resulting in ZWL 5 876.38 being realised from the def</w:t>
      </w:r>
      <w:r>
        <w:rPr>
          <w:rFonts w:ascii="Times New Roman" w:eastAsia="Times New Roman" w:hAnsi="Times New Roman" w:cs="Times New Roman"/>
          <w:sz w:val="24"/>
          <w:szCs w:val="24"/>
        </w:rPr>
        <w:t xml:space="preserve">endant. The defendant further argues that the plaintiff, in trying to recover the remaining balance of USD 41 616.79, issued a summons for civil imprisonment against the defendant for payment of the outstanding balance. </w:t>
      </w:r>
    </w:p>
    <w:p w:rsidR="00892594" w:rsidRDefault="00A90DE0">
      <w:pPr>
        <w:pStyle w:val="ListParagraph"/>
        <w:widowControl w:val="0"/>
        <w:numPr>
          <w:ilvl w:val="0"/>
          <w:numId w:val="1"/>
        </w:numPr>
        <w:autoSpaceDE w:val="0"/>
        <w:autoSpaceDN w:val="0"/>
        <w:spacing w:before="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defendant urges the Court to no</w:t>
      </w:r>
      <w:r>
        <w:rPr>
          <w:rFonts w:ascii="Times New Roman" w:eastAsia="Times New Roman" w:hAnsi="Times New Roman" w:cs="Times New Roman"/>
          <w:sz w:val="24"/>
          <w:szCs w:val="24"/>
        </w:rPr>
        <w:t xml:space="preserve">te the deduction of the ZWL payment from the principal sum of USD$ 47 483.17 by the plaintiff, leaving the balance at USD$ 41 616.79 which it claimed in the summons for civil imprisonment under HC6686/19. The defendant submits that the plaintiff should be </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stopped</w:t>
      </w:r>
      <w:r>
        <w:rPr>
          <w:rFonts w:ascii="Times New Roman" w:eastAsia="Times New Roman" w:hAnsi="Times New Roman" w:cs="Times New Roman"/>
          <w:sz w:val="24"/>
          <w:szCs w:val="24"/>
        </w:rPr>
        <w:t xml:space="preserve"> from retracting its prior acceptance of payments made in ZWL currency. </w:t>
      </w:r>
    </w:p>
    <w:p w:rsidR="00892594" w:rsidRDefault="00A90DE0">
      <w:pPr>
        <w:pStyle w:val="ListParagraph"/>
        <w:widowControl w:val="0"/>
        <w:numPr>
          <w:ilvl w:val="0"/>
          <w:numId w:val="1"/>
        </w:numPr>
        <w:autoSpaceDE w:val="0"/>
        <w:autoSpaceDN w:val="0"/>
        <w:spacing w:before="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defendant submits that he construed the plaintiff’s actions as constituting a waiver of its right to demand payment in USD. The defendant further submits that acting on th</w:t>
      </w:r>
      <w:r>
        <w:rPr>
          <w:rFonts w:ascii="Times New Roman" w:eastAsia="Times New Roman" w:hAnsi="Times New Roman" w:cs="Times New Roman"/>
          <w:sz w:val="24"/>
          <w:szCs w:val="24"/>
        </w:rPr>
        <w:t>is ‘reasonable interpretation’, the defendant tendered payments of ZWL16 000 and ZWL25 717.70 to extinguish the debt in full. The defendant avers that the said matter was set down on the unopposed roll on the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November 2019. The plaintiff failed to </w:t>
      </w:r>
      <w:r>
        <w:rPr>
          <w:rFonts w:ascii="Times New Roman" w:eastAsia="Times New Roman" w:hAnsi="Times New Roman" w:cs="Times New Roman"/>
          <w:sz w:val="24"/>
          <w:szCs w:val="24"/>
        </w:rPr>
        <w:t xml:space="preserve">appear. The defendant submits that the failure to appear on the date of the hearing was an indication of the plaintiff's acceptance of the payment he had made in ZWL. </w:t>
      </w:r>
    </w:p>
    <w:p w:rsidR="00892594" w:rsidRDefault="00A90DE0">
      <w:pPr>
        <w:pStyle w:val="ListParagraph"/>
        <w:widowControl w:val="0"/>
        <w:numPr>
          <w:ilvl w:val="0"/>
          <w:numId w:val="1"/>
        </w:numPr>
        <w:autoSpaceDE w:val="0"/>
        <w:autoSpaceDN w:val="0"/>
        <w:spacing w:before="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Relying on this Court’s decision in </w:t>
      </w:r>
      <w:r>
        <w:rPr>
          <w:rFonts w:ascii="Times New Roman" w:eastAsia="Times New Roman" w:hAnsi="Times New Roman" w:cs="Times New Roman"/>
          <w:i/>
          <w:sz w:val="24"/>
          <w:szCs w:val="24"/>
        </w:rPr>
        <w:t xml:space="preserve">Charariza </w:t>
      </w:r>
      <w:r>
        <w:rPr>
          <w:rFonts w:ascii="Times New Roman" w:eastAsia="Times New Roman" w:hAnsi="Times New Roman" w:cs="Times New Roman"/>
          <w:sz w:val="24"/>
          <w:szCs w:val="24"/>
        </w:rPr>
        <w:t>v</w:t>
      </w:r>
      <w:r>
        <w:rPr>
          <w:rFonts w:ascii="Times New Roman" w:eastAsia="Times New Roman" w:hAnsi="Times New Roman" w:cs="Times New Roman"/>
          <w:i/>
          <w:sz w:val="24"/>
          <w:szCs w:val="24"/>
        </w:rPr>
        <w:t xml:space="preserve"> Matipano</w:t>
      </w:r>
      <w:r>
        <w:rPr>
          <w:rFonts w:ascii="Times New Roman" w:eastAsia="Times New Roman" w:hAnsi="Times New Roman" w:cs="Times New Roman"/>
          <w:sz w:val="24"/>
          <w:szCs w:val="24"/>
        </w:rPr>
        <w:t xml:space="preserve"> HH531-22, the defendant </w:t>
      </w:r>
      <w:r>
        <w:rPr>
          <w:rFonts w:ascii="Times New Roman" w:eastAsia="Times New Roman" w:hAnsi="Times New Roman" w:cs="Times New Roman"/>
          <w:sz w:val="24"/>
          <w:szCs w:val="24"/>
        </w:rPr>
        <w:lastRenderedPageBreak/>
        <w:t>submits</w:t>
      </w:r>
      <w:r>
        <w:rPr>
          <w:rFonts w:ascii="Times New Roman" w:eastAsia="Times New Roman" w:hAnsi="Times New Roman" w:cs="Times New Roman"/>
          <w:sz w:val="24"/>
          <w:szCs w:val="24"/>
        </w:rPr>
        <w:t>, further, that the plaintiff accepted payment in a currency different from what was originally agreed upon over an extended period and this may be interpreted as a waiver of its right to demand payment in USD. It is the defendant’s argument that the plain</w:t>
      </w:r>
      <w:r>
        <w:rPr>
          <w:rFonts w:ascii="Times New Roman" w:eastAsia="Times New Roman" w:hAnsi="Times New Roman" w:cs="Times New Roman"/>
          <w:sz w:val="24"/>
          <w:szCs w:val="24"/>
        </w:rPr>
        <w:t xml:space="preserve">tiff is estopped from demanding payment in USD. </w:t>
      </w:r>
    </w:p>
    <w:p w:rsidR="00892594" w:rsidRDefault="00A90DE0">
      <w:pPr>
        <w:pStyle w:val="ListParagraph"/>
        <w:widowControl w:val="0"/>
        <w:numPr>
          <w:ilvl w:val="0"/>
          <w:numId w:val="1"/>
        </w:numPr>
        <w:autoSpaceDE w:val="0"/>
        <w:autoSpaceDN w:val="0"/>
        <w:spacing w:before="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defendant contends that requiring him to pay the debt in USD would be unjust and inequitable, considering his reliance on the plaintiff’s tacit agreement and conduct, as well as the economic prejudice to</w:t>
      </w:r>
      <w:r>
        <w:rPr>
          <w:rFonts w:ascii="Times New Roman" w:eastAsia="Times New Roman" w:hAnsi="Times New Roman" w:cs="Times New Roman"/>
          <w:sz w:val="24"/>
          <w:szCs w:val="24"/>
        </w:rPr>
        <w:t xml:space="preserve"> him. </w:t>
      </w:r>
    </w:p>
    <w:p w:rsidR="00892594" w:rsidRDefault="00892594">
      <w:pPr>
        <w:pStyle w:val="ListParagraph"/>
        <w:widowControl w:val="0"/>
        <w:autoSpaceDE w:val="0"/>
        <w:autoSpaceDN w:val="0"/>
        <w:spacing w:before="1" w:after="0" w:line="360" w:lineRule="auto"/>
        <w:ind w:left="907"/>
        <w:jc w:val="both"/>
        <w:rPr>
          <w:rFonts w:ascii="Times New Roman" w:eastAsia="Times New Roman" w:hAnsi="Times New Roman" w:cs="Times New Roman"/>
          <w:sz w:val="24"/>
          <w:szCs w:val="24"/>
        </w:rPr>
      </w:pPr>
    </w:p>
    <w:p w:rsidR="00892594" w:rsidRDefault="00A90DE0">
      <w:pPr>
        <w:pStyle w:val="ListParagraph"/>
        <w:tabs>
          <w:tab w:val="left" w:pos="270"/>
        </w:tabs>
        <w:spacing w:line="360" w:lineRule="auto"/>
        <w:ind w:left="-180"/>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ISSUE FOR DETERMINATION</w:t>
      </w:r>
    </w:p>
    <w:p w:rsidR="00892594" w:rsidRDefault="00A90DE0">
      <w:pPr>
        <w:pStyle w:val="ListParagraph"/>
        <w:numPr>
          <w:ilvl w:val="0"/>
          <w:numId w:val="1"/>
        </w:numPr>
        <w:tabs>
          <w:tab w:val="left" w:pos="270"/>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The sole issue for determination is whether or not the plaintiff waived its right to repayment in foreign currency.</w:t>
      </w:r>
    </w:p>
    <w:p w:rsidR="00892594" w:rsidRDefault="00A90DE0">
      <w:pPr>
        <w:pStyle w:val="ListParagraph"/>
        <w:tabs>
          <w:tab w:val="left" w:pos="270"/>
        </w:tabs>
        <w:spacing w:line="360" w:lineRule="auto"/>
        <w:ind w:left="907"/>
        <w:jc w:val="both"/>
        <w:rPr>
          <w:rFonts w:ascii="Times New Roman" w:hAnsi="Times New Roman" w:cs="Times New Roman"/>
          <w:b/>
          <w:sz w:val="24"/>
          <w:szCs w:val="24"/>
          <w:u w:val="single"/>
        </w:rPr>
      </w:pPr>
      <w:r>
        <w:rPr>
          <w:rFonts w:ascii="Times New Roman" w:hAnsi="Times New Roman" w:cs="Times New Roman"/>
          <w:sz w:val="24"/>
          <w:szCs w:val="24"/>
        </w:rPr>
        <w:t xml:space="preserve"> </w:t>
      </w:r>
    </w:p>
    <w:p w:rsidR="00892594" w:rsidRDefault="00A90DE0">
      <w:pPr>
        <w:pStyle w:val="ListParagraph"/>
        <w:tabs>
          <w:tab w:val="left" w:pos="270"/>
        </w:tabs>
        <w:spacing w:line="360" w:lineRule="auto"/>
        <w:ind w:left="-180"/>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WHETHER OR NOT THE PLAINTIFF WAIVED ITS RIGHT TO REPAYMENT IN FOREIGN CURRENCY</w:t>
      </w:r>
    </w:p>
    <w:p w:rsidR="00892594" w:rsidRDefault="00A90DE0">
      <w:pPr>
        <w:pStyle w:val="ListParagraph"/>
        <w:numPr>
          <w:ilvl w:val="0"/>
          <w:numId w:val="1"/>
        </w:numPr>
        <w:spacing w:line="360" w:lineRule="auto"/>
        <w:jc w:val="both"/>
        <w:rPr>
          <w:rFonts w:ascii="Times New Roman" w:hAnsi="Times New Roman" w:cs="Times New Roman"/>
          <w:b/>
          <w:sz w:val="24"/>
          <w:szCs w:val="24"/>
          <w:u w:val="single"/>
          <w:lang w:val="en-ZW"/>
        </w:rPr>
      </w:pPr>
      <w:r>
        <w:rPr>
          <w:rFonts w:ascii="Times New Roman" w:hAnsi="Times New Roman" w:cs="Times New Roman"/>
          <w:sz w:val="24"/>
          <w:szCs w:val="24"/>
        </w:rPr>
        <w:t xml:space="preserve">In the present matter, it is important to relate to the nature of the proceedings before determining the issue at hand. </w:t>
      </w:r>
      <w:r>
        <w:rPr>
          <w:rFonts w:ascii="Times New Roman" w:hAnsi="Times New Roman" w:cs="Times New Roman"/>
          <w:sz w:val="24"/>
          <w:szCs w:val="24"/>
          <w:lang w:val="en-ZW"/>
        </w:rPr>
        <w:t>When a matter proceeds by way of a special case, parties agree on a set of facts and invite the court to determine a question of law ari</w:t>
      </w:r>
      <w:r>
        <w:rPr>
          <w:rFonts w:ascii="Times New Roman" w:hAnsi="Times New Roman" w:cs="Times New Roman"/>
          <w:sz w:val="24"/>
          <w:szCs w:val="24"/>
          <w:lang w:val="en-ZW"/>
        </w:rPr>
        <w:t xml:space="preserve">sing therefrom: See </w:t>
      </w:r>
      <w:r>
        <w:rPr>
          <w:rFonts w:ascii="Times New Roman" w:hAnsi="Times New Roman" w:cs="Times New Roman"/>
          <w:i/>
          <w:sz w:val="24"/>
          <w:szCs w:val="24"/>
          <w:lang w:val="en-ZW"/>
        </w:rPr>
        <w:t>Lutzkie</w:t>
      </w:r>
      <w:r>
        <w:rPr>
          <w:rFonts w:ascii="Times New Roman" w:hAnsi="Times New Roman" w:cs="Times New Roman"/>
          <w:sz w:val="24"/>
          <w:szCs w:val="24"/>
          <w:lang w:val="en-ZW"/>
        </w:rPr>
        <w:t xml:space="preserve"> v </w:t>
      </w:r>
      <w:r>
        <w:rPr>
          <w:rFonts w:ascii="Times New Roman" w:hAnsi="Times New Roman" w:cs="Times New Roman"/>
          <w:i/>
          <w:sz w:val="24"/>
          <w:szCs w:val="24"/>
          <w:lang w:val="en-ZW"/>
        </w:rPr>
        <w:t>Chief Immigration Officer</w:t>
      </w:r>
      <w:r>
        <w:rPr>
          <w:rFonts w:ascii="Times New Roman" w:hAnsi="Times New Roman" w:cs="Times New Roman"/>
          <w:sz w:val="24"/>
          <w:szCs w:val="24"/>
          <w:lang w:val="en-ZW"/>
        </w:rPr>
        <w:t xml:space="preserve"> SC48-17 at p.5. When the facts have been agreed upon, the court cannot delve into whether or not the facts are correct, but it is bound to accept those facts as being correct and make a determination </w:t>
      </w:r>
      <w:r>
        <w:rPr>
          <w:rFonts w:ascii="Times New Roman" w:hAnsi="Times New Roman" w:cs="Times New Roman"/>
          <w:sz w:val="24"/>
          <w:szCs w:val="24"/>
          <w:lang w:val="en-ZW"/>
        </w:rPr>
        <w:t xml:space="preserve">from the facts as presented by the parties: </w:t>
      </w:r>
      <w:r>
        <w:rPr>
          <w:rFonts w:ascii="Times New Roman" w:hAnsi="Times New Roman" w:cs="Times New Roman"/>
          <w:i/>
          <w:sz w:val="24"/>
          <w:szCs w:val="24"/>
          <w:lang w:val="en-ZW"/>
        </w:rPr>
        <w:t>Kunonga</w:t>
      </w:r>
      <w:r>
        <w:rPr>
          <w:rFonts w:ascii="Times New Roman" w:hAnsi="Times New Roman" w:cs="Times New Roman"/>
          <w:sz w:val="24"/>
          <w:szCs w:val="24"/>
          <w:lang w:val="en-ZW"/>
        </w:rPr>
        <w:t xml:space="preserve"> v </w:t>
      </w:r>
      <w:r>
        <w:rPr>
          <w:rFonts w:ascii="Times New Roman" w:hAnsi="Times New Roman" w:cs="Times New Roman"/>
          <w:i/>
          <w:sz w:val="24"/>
          <w:szCs w:val="24"/>
          <w:lang w:val="en-ZW"/>
        </w:rPr>
        <w:t>The Church of the Province of Central Africa</w:t>
      </w:r>
      <w:r>
        <w:rPr>
          <w:rFonts w:ascii="Times New Roman" w:hAnsi="Times New Roman" w:cs="Times New Roman"/>
          <w:sz w:val="24"/>
          <w:szCs w:val="24"/>
          <w:lang w:val="en-ZW"/>
        </w:rPr>
        <w:t xml:space="preserve"> SC25-17 at p.10. </w:t>
      </w:r>
    </w:p>
    <w:p w:rsidR="00892594" w:rsidRDefault="00A90DE0">
      <w:pPr>
        <w:pStyle w:val="ListParagraph"/>
        <w:numPr>
          <w:ilvl w:val="0"/>
          <w:numId w:val="1"/>
        </w:numPr>
        <w:spacing w:line="360" w:lineRule="auto"/>
        <w:jc w:val="both"/>
        <w:rPr>
          <w:rFonts w:ascii="Times New Roman" w:hAnsi="Times New Roman" w:cs="Times New Roman"/>
          <w:b/>
          <w:sz w:val="24"/>
          <w:szCs w:val="24"/>
          <w:u w:val="single"/>
          <w:lang w:val="en-ZW"/>
        </w:rPr>
      </w:pPr>
      <w:r>
        <w:rPr>
          <w:rFonts w:ascii="Times New Roman" w:hAnsi="Times New Roman" w:cs="Times New Roman"/>
          <w:sz w:val="24"/>
          <w:szCs w:val="24"/>
          <w:lang w:val="en-ZW"/>
        </w:rPr>
        <w:t>This is also underscored by r52(6) of the High Court Rules, 2021, which states that the Court shall be at liberty to draw from the facts an</w:t>
      </w:r>
      <w:r>
        <w:rPr>
          <w:rFonts w:ascii="Times New Roman" w:hAnsi="Times New Roman" w:cs="Times New Roman"/>
          <w:sz w:val="24"/>
          <w:szCs w:val="24"/>
          <w:lang w:val="en-ZW"/>
        </w:rPr>
        <w:t>d documents stated in any such special case any inference, whether of fact or law, which might have been drawn therefrom if proved at a trial. Therefore, the facts that are placed before the Court are critical in disposing of the dispute between the partie</w:t>
      </w:r>
      <w:r>
        <w:rPr>
          <w:rFonts w:ascii="Times New Roman" w:hAnsi="Times New Roman" w:cs="Times New Roman"/>
          <w:sz w:val="24"/>
          <w:szCs w:val="24"/>
          <w:lang w:val="en-ZW"/>
        </w:rPr>
        <w:t>s.</w:t>
      </w:r>
    </w:p>
    <w:p w:rsidR="00892594" w:rsidRDefault="00A90DE0">
      <w:pPr>
        <w:pStyle w:val="ListParagraph"/>
        <w:numPr>
          <w:ilvl w:val="0"/>
          <w:numId w:val="1"/>
        </w:numPr>
        <w:spacing w:line="360" w:lineRule="auto"/>
        <w:jc w:val="both"/>
        <w:rPr>
          <w:rFonts w:ascii="Times New Roman" w:hAnsi="Times New Roman" w:cs="Times New Roman"/>
          <w:b/>
          <w:sz w:val="24"/>
          <w:szCs w:val="24"/>
          <w:u w:val="single"/>
          <w:lang w:val="en-ZW"/>
        </w:rPr>
      </w:pPr>
      <w:r>
        <w:rPr>
          <w:rFonts w:ascii="Times New Roman" w:hAnsi="Times New Roman" w:cs="Times New Roman"/>
          <w:sz w:val="24"/>
          <w:szCs w:val="24"/>
          <w:lang w:val="en-ZW"/>
        </w:rPr>
        <w:t xml:space="preserve">The only permissible exception to this norm is that parties can, however, depart from the agreed set of facts upon good cause being shown, and the court has the discretion to allow </w:t>
      </w:r>
      <w:r>
        <w:rPr>
          <w:rFonts w:ascii="Times New Roman" w:hAnsi="Times New Roman" w:cs="Times New Roman"/>
          <w:sz w:val="24"/>
          <w:szCs w:val="24"/>
          <w:lang w:val="en-ZW"/>
        </w:rPr>
        <w:lastRenderedPageBreak/>
        <w:t xml:space="preserve">the withdrawal of an admission- </w:t>
      </w:r>
      <w:r>
        <w:rPr>
          <w:rFonts w:ascii="Times New Roman" w:hAnsi="Times New Roman" w:cs="Times New Roman"/>
          <w:i/>
          <w:sz w:val="24"/>
          <w:szCs w:val="24"/>
          <w:lang w:val="en-ZW"/>
        </w:rPr>
        <w:t>Rural Electrification Fund</w:t>
      </w:r>
      <w:r>
        <w:rPr>
          <w:rFonts w:ascii="Times New Roman" w:hAnsi="Times New Roman" w:cs="Times New Roman"/>
          <w:sz w:val="24"/>
          <w:szCs w:val="24"/>
          <w:lang w:val="en-ZW"/>
        </w:rPr>
        <w:t xml:space="preserve"> v</w:t>
      </w:r>
      <w:r>
        <w:rPr>
          <w:rFonts w:ascii="Times New Roman" w:hAnsi="Times New Roman" w:cs="Times New Roman"/>
          <w:i/>
          <w:sz w:val="24"/>
          <w:szCs w:val="24"/>
          <w:lang w:val="en-ZW"/>
        </w:rPr>
        <w:t xml:space="preserve"> Lomagundi P</w:t>
      </w:r>
      <w:r>
        <w:rPr>
          <w:rFonts w:ascii="Times New Roman" w:hAnsi="Times New Roman" w:cs="Times New Roman"/>
          <w:i/>
          <w:sz w:val="24"/>
          <w:szCs w:val="24"/>
          <w:lang w:val="en-ZW"/>
        </w:rPr>
        <w:t>oles (P</w:t>
      </w:r>
      <w:r>
        <w:rPr>
          <w:rFonts w:ascii="Times New Roman" w:hAnsi="Times New Roman" w:cs="Times New Roman"/>
          <w:i/>
          <w:sz w:val="24"/>
          <w:szCs w:val="24"/>
        </w:rPr>
        <w:t>rivate</w:t>
      </w:r>
      <w:r>
        <w:rPr>
          <w:rFonts w:ascii="Times New Roman" w:hAnsi="Times New Roman" w:cs="Times New Roman"/>
          <w:i/>
          <w:sz w:val="24"/>
          <w:szCs w:val="24"/>
          <w:lang w:val="en-ZW"/>
        </w:rPr>
        <w:t>) L</w:t>
      </w:r>
      <w:r>
        <w:rPr>
          <w:rFonts w:ascii="Times New Roman" w:hAnsi="Times New Roman" w:cs="Times New Roman"/>
          <w:i/>
          <w:sz w:val="24"/>
          <w:szCs w:val="24"/>
        </w:rPr>
        <w:t>imite</w:t>
      </w:r>
      <w:r>
        <w:rPr>
          <w:rFonts w:ascii="Times New Roman" w:hAnsi="Times New Roman" w:cs="Times New Roman"/>
          <w:i/>
          <w:sz w:val="24"/>
          <w:szCs w:val="24"/>
          <w:lang w:val="en-ZW"/>
        </w:rPr>
        <w:t>d</w:t>
      </w:r>
      <w:r>
        <w:rPr>
          <w:rFonts w:ascii="Times New Roman" w:hAnsi="Times New Roman" w:cs="Times New Roman"/>
          <w:sz w:val="24"/>
          <w:szCs w:val="24"/>
          <w:lang w:val="en-ZW"/>
        </w:rPr>
        <w:t xml:space="preserve"> 2016 (1) ZLR 403 (H).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iCs/>
          <w:sz w:val="24"/>
          <w:szCs w:val="24"/>
        </w:rPr>
        <w:t xml:space="preserve">casu, </w:t>
      </w:r>
      <w:r>
        <w:rPr>
          <w:rFonts w:ascii="Times New Roman" w:hAnsi="Times New Roman" w:cs="Times New Roman"/>
          <w:sz w:val="24"/>
          <w:szCs w:val="24"/>
        </w:rPr>
        <w:t>whilst the point of departure relates to whether or not the plaintiff tacitly waived the debt repayment in foreign currency, it is important to clarify the legal implications of a right arising from st</w:t>
      </w:r>
      <w:r>
        <w:rPr>
          <w:rFonts w:ascii="Times New Roman" w:hAnsi="Times New Roman" w:cs="Times New Roman"/>
          <w:sz w:val="24"/>
          <w:szCs w:val="24"/>
        </w:rPr>
        <w:t xml:space="preserve">atutory command. The parties are at odds as to whether the plaintiff can be held to have waived a statutory right emanating from the RBZ Act. It is necessary for the disposition of this matter to clarify in the first instance whether a statutory right can </w:t>
      </w:r>
      <w:r>
        <w:rPr>
          <w:rFonts w:ascii="Times New Roman" w:hAnsi="Times New Roman" w:cs="Times New Roman"/>
          <w:sz w:val="24"/>
          <w:szCs w:val="24"/>
        </w:rPr>
        <w:t xml:space="preserve">be legally waived by its beneficiary.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 xml:space="preserve">Several leading authorities provide guidance in this regard. </w:t>
      </w:r>
      <w:r>
        <w:rPr>
          <w:rFonts w:ascii="Times New Roman" w:eastAsia="Times New Roman" w:hAnsi="Times New Roman" w:cs="Times New Roman"/>
          <w:sz w:val="24"/>
          <w:szCs w:val="24"/>
        </w:rPr>
        <w:t xml:space="preserve">R.H Christie, in the text </w:t>
      </w:r>
      <w:r>
        <w:rPr>
          <w:rFonts w:ascii="Times New Roman" w:eastAsia="Times New Roman" w:hAnsi="Times New Roman" w:cs="Times New Roman"/>
          <w:i/>
          <w:sz w:val="24"/>
          <w:szCs w:val="24"/>
        </w:rPr>
        <w:t>The Law of Contract in South Africa, 3</w:t>
      </w:r>
      <w:r>
        <w:rPr>
          <w:rFonts w:ascii="Times New Roman" w:eastAsia="Times New Roman" w:hAnsi="Times New Roman" w:cs="Times New Roman"/>
          <w:i/>
          <w:sz w:val="24"/>
          <w:szCs w:val="24"/>
          <w:vertAlign w:val="superscript"/>
        </w:rPr>
        <w:t>rd</w:t>
      </w:r>
      <w:r>
        <w:rPr>
          <w:rFonts w:ascii="Times New Roman" w:eastAsia="Times New Roman" w:hAnsi="Times New Roman" w:cs="Times New Roman"/>
          <w:i/>
          <w:sz w:val="24"/>
          <w:szCs w:val="24"/>
        </w:rPr>
        <w:t xml:space="preserve"> Edition, 1996 </w:t>
      </w:r>
      <w:r>
        <w:rPr>
          <w:rFonts w:ascii="Times New Roman" w:eastAsia="Times New Roman" w:hAnsi="Times New Roman" w:cs="Times New Roman"/>
          <w:sz w:val="24"/>
          <w:szCs w:val="24"/>
        </w:rPr>
        <w:t xml:space="preserve">at page 495 posits the following on this aspect: </w:t>
      </w:r>
    </w:p>
    <w:p w:rsidR="00892594" w:rsidRDefault="00A90DE0">
      <w:pPr>
        <w:widowControl w:val="0"/>
        <w:autoSpaceDE w:val="0"/>
        <w:autoSpaceDN w:val="0"/>
        <w:spacing w:before="1"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“Another way in which the legislature may contribute towards the terms of a contract is by conferring a statutory right on one or both of the parties. </w:t>
      </w:r>
      <w:r>
        <w:rPr>
          <w:rFonts w:ascii="Times New Roman" w:eastAsia="Times New Roman" w:hAnsi="Times New Roman" w:cs="Times New Roman"/>
          <w:u w:val="single"/>
        </w:rPr>
        <w:t>The question then is whether the contract may be varied by waiver or contracting out of the statutory rig</w:t>
      </w:r>
      <w:r>
        <w:rPr>
          <w:rFonts w:ascii="Times New Roman" w:eastAsia="Times New Roman" w:hAnsi="Times New Roman" w:cs="Times New Roman"/>
          <w:u w:val="single"/>
        </w:rPr>
        <w:t xml:space="preserve">ht. The answer must be found by applying the principles restated by Kotze JA in </w:t>
      </w:r>
      <w:bookmarkStart w:id="1" w:name="_Hlk195005840"/>
      <w:r>
        <w:rPr>
          <w:rFonts w:ascii="Times New Roman" w:eastAsia="Times New Roman" w:hAnsi="Times New Roman" w:cs="Times New Roman"/>
          <w:i/>
          <w:u w:val="single"/>
        </w:rPr>
        <w:t>Bezuidenhaout</w:t>
      </w:r>
      <w:r>
        <w:rPr>
          <w:rFonts w:ascii="Times New Roman" w:eastAsia="Times New Roman" w:hAnsi="Times New Roman" w:cs="Times New Roman"/>
          <w:u w:val="single"/>
        </w:rPr>
        <w:t xml:space="preserve"> v </w:t>
      </w:r>
      <w:r>
        <w:rPr>
          <w:rFonts w:ascii="Times New Roman" w:eastAsia="Times New Roman" w:hAnsi="Times New Roman" w:cs="Times New Roman"/>
          <w:i/>
          <w:u w:val="single"/>
        </w:rPr>
        <w:t>AA Mutual Insurance Association L</w:t>
      </w:r>
      <w:r>
        <w:rPr>
          <w:rFonts w:ascii="Times New Roman" w:eastAsia="Times New Roman" w:hAnsi="Times New Roman" w:cs="Times New Roman"/>
          <w:i/>
          <w:u w:val="single"/>
        </w:rPr>
        <w:t>imi</w:t>
      </w:r>
      <w:r>
        <w:rPr>
          <w:rFonts w:ascii="Times New Roman" w:eastAsia="Times New Roman" w:hAnsi="Times New Roman" w:cs="Times New Roman"/>
          <w:i/>
          <w:u w:val="single"/>
        </w:rPr>
        <w:t>t</w:t>
      </w:r>
      <w:r>
        <w:rPr>
          <w:rFonts w:ascii="Times New Roman" w:eastAsia="Times New Roman" w:hAnsi="Times New Roman" w:cs="Times New Roman"/>
          <w:i/>
          <w:u w:val="single"/>
        </w:rPr>
        <w:t>e</w:t>
      </w:r>
      <w:r>
        <w:rPr>
          <w:rFonts w:ascii="Times New Roman" w:eastAsia="Times New Roman" w:hAnsi="Times New Roman" w:cs="Times New Roman"/>
          <w:i/>
          <w:u w:val="single"/>
        </w:rPr>
        <w:t xml:space="preserve">d </w:t>
      </w:r>
      <w:bookmarkEnd w:id="1"/>
      <w:r>
        <w:rPr>
          <w:rFonts w:ascii="Times New Roman" w:eastAsia="Times New Roman" w:hAnsi="Times New Roman" w:cs="Times New Roman"/>
          <w:i/>
          <w:u w:val="single"/>
        </w:rPr>
        <w:t>1978 1 SA 703 (A) 710A-D</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(my emphasis) </w:t>
      </w:r>
    </w:p>
    <w:p w:rsidR="00892594" w:rsidRDefault="00892594">
      <w:pPr>
        <w:widowControl w:val="0"/>
        <w:autoSpaceDE w:val="0"/>
        <w:autoSpaceDN w:val="0"/>
        <w:spacing w:before="1" w:after="0" w:line="240" w:lineRule="auto"/>
        <w:ind w:left="720"/>
        <w:jc w:val="both"/>
        <w:rPr>
          <w:rFonts w:ascii="Times New Roman" w:eastAsia="Times New Roman" w:hAnsi="Times New Roman" w:cs="Times New Roman"/>
        </w:rPr>
      </w:pPr>
    </w:p>
    <w:p w:rsidR="00892594" w:rsidRDefault="00A90DE0">
      <w:pPr>
        <w:widowControl w:val="0"/>
        <w:numPr>
          <w:ilvl w:val="0"/>
          <w:numId w:val="1"/>
        </w:numPr>
        <w:autoSpaceDE w:val="0"/>
        <w:autoSpaceDN w:val="0"/>
        <w:spacing w:before="1" w:after="0" w:line="360" w:lineRule="auto"/>
        <w:contextualSpacing/>
        <w:jc w:val="both"/>
        <w:rPr>
          <w:rFonts w:ascii="Times New Roman" w:eastAsia="Times New Roman" w:hAnsi="Times New Roman" w:cs="Times New Roman"/>
          <w:i/>
        </w:rPr>
      </w:pPr>
      <w:r>
        <w:rPr>
          <w:rFonts w:ascii="Times New Roman" w:eastAsia="Times New Roman" w:hAnsi="Times New Roman" w:cs="Times New Roman"/>
          <w:sz w:val="24"/>
          <w:szCs w:val="24"/>
        </w:rPr>
        <w:t xml:space="preserve"> The case of </w:t>
      </w:r>
      <w:r>
        <w:rPr>
          <w:rFonts w:ascii="Times New Roman" w:eastAsia="Times New Roman" w:hAnsi="Times New Roman" w:cs="Times New Roman"/>
          <w:bCs/>
          <w:i/>
          <w:sz w:val="24"/>
          <w:szCs w:val="24"/>
          <w:lang w:val="en-ZW"/>
        </w:rPr>
        <w:t xml:space="preserve">Bezuidenhout </w:t>
      </w:r>
      <w:r>
        <w:rPr>
          <w:rFonts w:ascii="Times New Roman" w:eastAsia="Times New Roman" w:hAnsi="Times New Roman" w:cs="Times New Roman"/>
          <w:bCs/>
          <w:sz w:val="24"/>
          <w:szCs w:val="24"/>
          <w:lang w:val="en-ZW"/>
        </w:rPr>
        <w:t>v</w:t>
      </w:r>
      <w:r>
        <w:rPr>
          <w:rFonts w:ascii="Times New Roman" w:eastAsia="Times New Roman" w:hAnsi="Times New Roman" w:cs="Times New Roman"/>
          <w:bCs/>
          <w:i/>
          <w:sz w:val="24"/>
          <w:szCs w:val="24"/>
          <w:lang w:val="en-ZW"/>
        </w:rPr>
        <w:t xml:space="preserve"> AA Mutual Insurance Association L</w:t>
      </w:r>
      <w:r>
        <w:rPr>
          <w:rFonts w:ascii="Times New Roman" w:eastAsia="Times New Roman" w:hAnsi="Times New Roman" w:cs="Times New Roman"/>
          <w:bCs/>
          <w:i/>
          <w:sz w:val="24"/>
          <w:szCs w:val="24"/>
        </w:rPr>
        <w:t>imi</w:t>
      </w:r>
      <w:r>
        <w:rPr>
          <w:rFonts w:ascii="Times New Roman" w:eastAsia="Times New Roman" w:hAnsi="Times New Roman" w:cs="Times New Roman"/>
          <w:bCs/>
          <w:i/>
          <w:sz w:val="24"/>
          <w:szCs w:val="24"/>
          <w:lang w:val="en-ZW"/>
        </w:rPr>
        <w:t>t</w:t>
      </w:r>
      <w:r>
        <w:rPr>
          <w:rFonts w:ascii="Times New Roman" w:eastAsia="Times New Roman" w:hAnsi="Times New Roman" w:cs="Times New Roman"/>
          <w:bCs/>
          <w:i/>
          <w:sz w:val="24"/>
          <w:szCs w:val="24"/>
        </w:rPr>
        <w:t>e</w:t>
      </w:r>
      <w:r>
        <w:rPr>
          <w:rFonts w:ascii="Times New Roman" w:eastAsia="Times New Roman" w:hAnsi="Times New Roman" w:cs="Times New Roman"/>
          <w:bCs/>
          <w:i/>
          <w:sz w:val="24"/>
          <w:szCs w:val="24"/>
          <w:lang w:val="en-ZW"/>
        </w:rPr>
        <w:t>d</w:t>
      </w:r>
      <w:r>
        <w:rPr>
          <w:rFonts w:ascii="Times New Roman" w:eastAsia="Times New Roman" w:hAnsi="Times New Roman" w:cs="Times New Roman"/>
          <w:bCs/>
          <w:sz w:val="24"/>
          <w:szCs w:val="24"/>
          <w:lang w:val="en-ZW"/>
        </w:rPr>
        <w:t xml:space="preserve"> 1978 (1) SA 703 (A) at p.710-A-D cited by the learned author is authority for that</w:t>
      </w:r>
      <w:r>
        <w:rPr>
          <w:rFonts w:ascii="Times New Roman" w:eastAsia="Times New Roman" w:hAnsi="Times New Roman" w:cs="Times New Roman"/>
          <w:b/>
          <w:bCs/>
          <w:sz w:val="24"/>
          <w:szCs w:val="24"/>
          <w:lang w:val="en-ZW"/>
        </w:rPr>
        <w:t>:</w:t>
      </w:r>
    </w:p>
    <w:p w:rsidR="00892594" w:rsidRDefault="00A90DE0">
      <w:pPr>
        <w:widowControl w:val="0"/>
        <w:autoSpaceDE w:val="0"/>
        <w:autoSpaceDN w:val="0"/>
        <w:spacing w:before="1" w:after="0" w:line="240" w:lineRule="auto"/>
        <w:ind w:left="1440"/>
        <w:contextualSpacing/>
        <w:jc w:val="both"/>
        <w:rPr>
          <w:rFonts w:ascii="Times New Roman" w:eastAsia="Times New Roman" w:hAnsi="Times New Roman" w:cs="Times New Roman"/>
          <w:i/>
        </w:rPr>
      </w:pPr>
      <w:r>
        <w:rPr>
          <w:rFonts w:ascii="Times New Roman" w:eastAsia="Times New Roman" w:hAnsi="Times New Roman" w:cs="Times New Roman"/>
        </w:rPr>
        <w:t xml:space="preserve">“even a peremptory statutory provision may be renounced by a person for whose benefit it has been introduced. The scope of the rule is stated as follows by Craies on </w:t>
      </w:r>
      <w:r>
        <w:rPr>
          <w:rFonts w:ascii="Times New Roman" w:eastAsia="Times New Roman" w:hAnsi="Times New Roman" w:cs="Times New Roman"/>
          <w:i/>
        </w:rPr>
        <w:t>Statu</w:t>
      </w:r>
      <w:r>
        <w:rPr>
          <w:rFonts w:ascii="Times New Roman" w:eastAsia="Times New Roman" w:hAnsi="Times New Roman" w:cs="Times New Roman"/>
          <w:i/>
        </w:rPr>
        <w:t>te Law, 7</w:t>
      </w:r>
      <w:r>
        <w:rPr>
          <w:rFonts w:ascii="Times New Roman" w:eastAsia="Times New Roman" w:hAnsi="Times New Roman" w:cs="Times New Roman"/>
          <w:i/>
          <w:vertAlign w:val="superscript"/>
        </w:rPr>
        <w:t>th</w:t>
      </w:r>
      <w:r>
        <w:rPr>
          <w:rFonts w:ascii="Times New Roman" w:eastAsia="Times New Roman" w:hAnsi="Times New Roman" w:cs="Times New Roman"/>
          <w:i/>
        </w:rPr>
        <w:t xml:space="preserve"> ed, p 269:</w:t>
      </w:r>
    </w:p>
    <w:p w:rsidR="00892594" w:rsidRDefault="00A90DE0">
      <w:pPr>
        <w:widowControl w:val="0"/>
        <w:autoSpaceDE w:val="0"/>
        <w:autoSpaceDN w:val="0"/>
        <w:spacing w:before="1" w:after="0" w:line="240" w:lineRule="auto"/>
        <w:ind w:left="2160"/>
        <w:jc w:val="both"/>
        <w:rPr>
          <w:rFonts w:ascii="Times New Roman" w:hAnsi="Times New Roman" w:cs="Times New Roman"/>
          <w:sz w:val="20"/>
          <w:lang w:val="en-ZW"/>
        </w:rPr>
      </w:pPr>
      <w:r>
        <w:rPr>
          <w:rFonts w:ascii="Times New Roman" w:eastAsia="Times New Roman" w:hAnsi="Times New Roman" w:cs="Times New Roman"/>
          <w:sz w:val="20"/>
        </w:rPr>
        <w:t>‘if an object of the statute is not one of general policy, or the thing which is being done will benefit only a particular person or class of person, then conditions prescribed by the statute are not considered as being indispensable</w:t>
      </w:r>
      <w:r>
        <w:rPr>
          <w:rFonts w:ascii="Times New Roman" w:eastAsia="Times New Roman" w:hAnsi="Times New Roman" w:cs="Times New Roman"/>
          <w:sz w:val="20"/>
        </w:rPr>
        <w:t xml:space="preserve">. This rule is expressed by the maxim of law, </w:t>
      </w:r>
      <w:r>
        <w:rPr>
          <w:rFonts w:ascii="Times New Roman" w:hAnsi="Times New Roman" w:cs="Times New Roman"/>
          <w:i/>
          <w:sz w:val="20"/>
          <w:lang w:val="en-ZW"/>
        </w:rPr>
        <w:t>quilibet potest renuntiare Juri pro se intoducto</w:t>
      </w:r>
      <w:r>
        <w:rPr>
          <w:rFonts w:ascii="Times New Roman" w:hAnsi="Times New Roman" w:cs="Times New Roman"/>
          <w:sz w:val="20"/>
          <w:lang w:val="en-ZW"/>
        </w:rPr>
        <w:t>.’</w:t>
      </w:r>
    </w:p>
    <w:p w:rsidR="00892594" w:rsidRDefault="00A90DE0">
      <w:pPr>
        <w:widowControl w:val="0"/>
        <w:autoSpaceDE w:val="0"/>
        <w:autoSpaceDN w:val="0"/>
        <w:spacing w:before="1"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In </w:t>
      </w:r>
      <w:r>
        <w:rPr>
          <w:rFonts w:ascii="Times New Roman" w:eastAsia="Times New Roman" w:hAnsi="Times New Roman" w:cs="Times New Roman"/>
          <w:i/>
        </w:rPr>
        <w:t>Ritch and Bhyat</w:t>
      </w:r>
      <w:r>
        <w:rPr>
          <w:rFonts w:ascii="Times New Roman" w:eastAsia="Times New Roman" w:hAnsi="Times New Roman" w:cs="Times New Roman"/>
        </w:rPr>
        <w:t xml:space="preserve"> v </w:t>
      </w:r>
      <w:r>
        <w:rPr>
          <w:rFonts w:ascii="Times New Roman" w:eastAsia="Times New Roman" w:hAnsi="Times New Roman" w:cs="Times New Roman"/>
          <w:i/>
        </w:rPr>
        <w:t>Union Government</w:t>
      </w:r>
      <w:r>
        <w:rPr>
          <w:rFonts w:ascii="Times New Roman" w:eastAsia="Times New Roman" w:hAnsi="Times New Roman" w:cs="Times New Roman"/>
        </w:rPr>
        <w:t xml:space="preserve"> 1912 AD 719 at pp 734-5, Innes ACJ points out that the rule of our common law is to the same effect:</w:t>
      </w:r>
    </w:p>
    <w:p w:rsidR="00892594" w:rsidRDefault="00A90DE0">
      <w:pPr>
        <w:widowControl w:val="0"/>
        <w:autoSpaceDE w:val="0"/>
        <w:autoSpaceDN w:val="0"/>
        <w:spacing w:before="1" w:after="0" w:line="240" w:lineRule="auto"/>
        <w:ind w:left="2160"/>
        <w:jc w:val="both"/>
        <w:rPr>
          <w:rFonts w:ascii="Times New Roman" w:eastAsia="Times New Roman" w:hAnsi="Times New Roman" w:cs="Times New Roman"/>
          <w:sz w:val="20"/>
        </w:rPr>
      </w:pPr>
      <w:r>
        <w:rPr>
          <w:rFonts w:ascii="Times New Roman" w:eastAsia="Times New Roman" w:hAnsi="Times New Roman" w:cs="Times New Roman"/>
          <w:sz w:val="20"/>
        </w:rPr>
        <w:t>‘The maxim of the Ci</w:t>
      </w:r>
      <w:r>
        <w:rPr>
          <w:rFonts w:ascii="Times New Roman" w:eastAsia="Times New Roman" w:hAnsi="Times New Roman" w:cs="Times New Roman"/>
          <w:sz w:val="20"/>
        </w:rPr>
        <w:t>vil Law (C 2 3 29) that every man is able to renounce a right conferred by law for his own benefit was fully recognized by the law of Holland. But it was subject to certain exceptions, of which one was that no one could renounce a right contrary to law, or</w:t>
      </w:r>
      <w:r>
        <w:rPr>
          <w:rFonts w:ascii="Times New Roman" w:eastAsia="Times New Roman" w:hAnsi="Times New Roman" w:cs="Times New Roman"/>
          <w:sz w:val="20"/>
        </w:rPr>
        <w:t xml:space="preserve"> a right introduced not only for his own benefit but in the interests of the public as well (Grot 3 24 6 n 16; </w:t>
      </w:r>
      <w:r>
        <w:rPr>
          <w:rFonts w:ascii="Times New Roman" w:eastAsia="Times New Roman" w:hAnsi="Times New Roman" w:cs="Times New Roman"/>
          <w:i/>
          <w:sz w:val="20"/>
        </w:rPr>
        <w:t>Schorer</w:t>
      </w:r>
      <w:r>
        <w:rPr>
          <w:rFonts w:ascii="Times New Roman" w:eastAsia="Times New Roman" w:hAnsi="Times New Roman" w:cs="Times New Roman"/>
          <w:sz w:val="20"/>
        </w:rPr>
        <w:t xml:space="preserve"> n 423; </w:t>
      </w:r>
      <w:r>
        <w:rPr>
          <w:rFonts w:ascii="Times New Roman" w:eastAsia="Times New Roman" w:hAnsi="Times New Roman" w:cs="Times New Roman"/>
          <w:i/>
          <w:sz w:val="20"/>
        </w:rPr>
        <w:t>Schrasssert</w:t>
      </w:r>
      <w:r>
        <w:rPr>
          <w:rFonts w:ascii="Times New Roman" w:eastAsia="Times New Roman" w:hAnsi="Times New Roman" w:cs="Times New Roman"/>
          <w:sz w:val="20"/>
        </w:rPr>
        <w:t xml:space="preserve"> 1 cl n 3 etc).’ </w:t>
      </w:r>
    </w:p>
    <w:p w:rsidR="00892594" w:rsidRDefault="00A90DE0">
      <w:pPr>
        <w:widowControl w:val="0"/>
        <w:autoSpaceDE w:val="0"/>
        <w:autoSpaceDN w:val="0"/>
        <w:spacing w:before="1" w:after="0" w:line="240" w:lineRule="auto"/>
        <w:ind w:left="1440"/>
        <w:jc w:val="both"/>
        <w:rPr>
          <w:rFonts w:ascii="Times New Roman" w:eastAsia="Times New Roman" w:hAnsi="Times New Roman" w:cs="Times New Roman"/>
        </w:rPr>
      </w:pPr>
      <w:r>
        <w:rPr>
          <w:rFonts w:ascii="Times New Roman" w:eastAsia="Times New Roman" w:hAnsi="Times New Roman" w:cs="Times New Roman"/>
          <w:i/>
        </w:rPr>
        <w:t>Schrassert</w:t>
      </w:r>
      <w:r>
        <w:rPr>
          <w:rFonts w:ascii="Times New Roman" w:eastAsia="Times New Roman" w:hAnsi="Times New Roman" w:cs="Times New Roman"/>
        </w:rPr>
        <w:t xml:space="preserve">, in the passage referred to by Innes ACJ, indicates that, while everyone is entitled to </w:t>
      </w:r>
      <w:r>
        <w:rPr>
          <w:rFonts w:ascii="Times New Roman" w:eastAsia="Times New Roman" w:hAnsi="Times New Roman" w:cs="Times New Roman"/>
        </w:rPr>
        <w:t>renounce a right introduced for his benefit, that right ceases when a law prohibits the renunciation, especially when the prohibition is based not only on the debtor’s right but also on public interest: for the agreements of private individuals cannot dero</w:t>
      </w:r>
      <w:r>
        <w:rPr>
          <w:rFonts w:ascii="Times New Roman" w:eastAsia="Times New Roman" w:hAnsi="Times New Roman" w:cs="Times New Roman"/>
        </w:rPr>
        <w:t>gate from public laws.”</w:t>
      </w:r>
    </w:p>
    <w:p w:rsidR="00892594" w:rsidRDefault="00892594">
      <w:pPr>
        <w:widowControl w:val="0"/>
        <w:autoSpaceDE w:val="0"/>
        <w:autoSpaceDN w:val="0"/>
        <w:spacing w:before="1" w:after="0" w:line="240" w:lineRule="auto"/>
        <w:ind w:left="1440"/>
        <w:jc w:val="both"/>
        <w:rPr>
          <w:rFonts w:ascii="Times New Roman" w:eastAsia="Times New Roman" w:hAnsi="Times New Roman" w:cs="Times New Roman"/>
        </w:rPr>
      </w:pP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I deduce from the above-cited authorities that the beneficiary of a statutory right is at liberty to waive such an entitlement conferred by the law for his or her benefit. It is evidently clear that rights accruing by virtue of statutory command may also b</w:t>
      </w:r>
      <w:r>
        <w:rPr>
          <w:rFonts w:ascii="Times New Roman" w:hAnsi="Times New Roman" w:cs="Times New Roman"/>
          <w:sz w:val="24"/>
          <w:szCs w:val="24"/>
          <w:lang w:val="en-ZW"/>
        </w:rPr>
        <w:t xml:space="preserve">e waived by the stated beneficiary. This is, however, subject to the following limitations.  Firstly, one cannot waive a right contrary to the law. </w:t>
      </w:r>
      <w:r>
        <w:rPr>
          <w:rFonts w:ascii="Times New Roman" w:hAnsi="Times New Roman" w:cs="Times New Roman"/>
          <w:sz w:val="24"/>
          <w:szCs w:val="24"/>
        </w:rPr>
        <w:t xml:space="preserve">There is strong support on this exception from respectable authority in this jurisdiction including the </w:t>
      </w:r>
      <w:r>
        <w:rPr>
          <w:rFonts w:ascii="Times New Roman" w:hAnsi="Times New Roman" w:cs="Times New Roman"/>
          <w:i/>
          <w:sz w:val="24"/>
          <w:szCs w:val="24"/>
        </w:rPr>
        <w:t>dict</w:t>
      </w:r>
      <w:r>
        <w:rPr>
          <w:rFonts w:ascii="Times New Roman" w:hAnsi="Times New Roman" w:cs="Times New Roman"/>
          <w:i/>
          <w:sz w:val="24"/>
          <w:szCs w:val="24"/>
        </w:rPr>
        <w:t xml:space="preserve">um </w:t>
      </w:r>
      <w:r>
        <w:rPr>
          <w:rFonts w:ascii="Times New Roman" w:hAnsi="Times New Roman" w:cs="Times New Roman"/>
          <w:sz w:val="24"/>
          <w:szCs w:val="24"/>
        </w:rPr>
        <w:t xml:space="preserve">in </w:t>
      </w:r>
      <w:r>
        <w:rPr>
          <w:rFonts w:ascii="Times New Roman" w:hAnsi="Times New Roman" w:cs="Times New Roman"/>
          <w:i/>
          <w:sz w:val="24"/>
          <w:szCs w:val="24"/>
        </w:rPr>
        <w:t>Bulawayo Bottlers (P</w:t>
      </w:r>
      <w:r>
        <w:rPr>
          <w:rFonts w:ascii="Times New Roman" w:hAnsi="Times New Roman" w:cs="Times New Roman"/>
          <w:i/>
          <w:sz w:val="24"/>
          <w:szCs w:val="24"/>
        </w:rPr>
        <w:t>rivate</w:t>
      </w:r>
      <w:r>
        <w:rPr>
          <w:rFonts w:ascii="Times New Roman" w:hAnsi="Times New Roman" w:cs="Times New Roman"/>
          <w:i/>
          <w:sz w:val="24"/>
          <w:szCs w:val="24"/>
        </w:rPr>
        <w:t>) L</w:t>
      </w:r>
      <w:r>
        <w:rPr>
          <w:rFonts w:ascii="Times New Roman" w:hAnsi="Times New Roman" w:cs="Times New Roman"/>
          <w:i/>
          <w:sz w:val="24"/>
          <w:szCs w:val="24"/>
        </w:rPr>
        <w:t>imi</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 xml:space="preserve">d </w:t>
      </w:r>
      <w:r>
        <w:rPr>
          <w:rFonts w:ascii="Times New Roman" w:hAnsi="Times New Roman" w:cs="Times New Roman"/>
          <w:sz w:val="24"/>
          <w:szCs w:val="24"/>
        </w:rPr>
        <w:t>v</w:t>
      </w:r>
      <w:r>
        <w:rPr>
          <w:rFonts w:ascii="Times New Roman" w:hAnsi="Times New Roman" w:cs="Times New Roman"/>
          <w:i/>
          <w:sz w:val="24"/>
          <w:szCs w:val="24"/>
        </w:rPr>
        <w:t xml:space="preserve"> Minister of Labour &amp; Ors </w:t>
      </w:r>
      <w:r>
        <w:rPr>
          <w:rFonts w:ascii="Times New Roman" w:hAnsi="Times New Roman" w:cs="Times New Roman"/>
          <w:sz w:val="24"/>
          <w:szCs w:val="24"/>
        </w:rPr>
        <w:t xml:space="preserve">1988 (2) ZLR 129 (H) at p.143D  and the case of </w:t>
      </w:r>
      <w:r>
        <w:rPr>
          <w:rFonts w:ascii="Times New Roman" w:hAnsi="Times New Roman" w:cs="Times New Roman"/>
          <w:i/>
          <w:sz w:val="24"/>
          <w:szCs w:val="24"/>
        </w:rPr>
        <w:t xml:space="preserve">Choga </w:t>
      </w:r>
      <w:r>
        <w:rPr>
          <w:rFonts w:ascii="Times New Roman" w:hAnsi="Times New Roman" w:cs="Times New Roman"/>
          <w:sz w:val="24"/>
          <w:szCs w:val="24"/>
        </w:rPr>
        <w:t>v</w:t>
      </w:r>
      <w:r>
        <w:rPr>
          <w:rFonts w:ascii="Times New Roman" w:hAnsi="Times New Roman" w:cs="Times New Roman"/>
          <w:i/>
          <w:sz w:val="24"/>
          <w:szCs w:val="24"/>
        </w:rPr>
        <w:t xml:space="preserve"> Johnston’s Motor Transport (P</w:t>
      </w:r>
      <w:r>
        <w:rPr>
          <w:rFonts w:ascii="Times New Roman" w:hAnsi="Times New Roman" w:cs="Times New Roman"/>
          <w:i/>
          <w:sz w:val="24"/>
          <w:szCs w:val="24"/>
        </w:rPr>
        <w:t>rivate</w:t>
      </w:r>
      <w:r>
        <w:rPr>
          <w:rFonts w:ascii="Times New Roman" w:hAnsi="Times New Roman" w:cs="Times New Roman"/>
          <w:i/>
          <w:sz w:val="24"/>
          <w:szCs w:val="24"/>
        </w:rPr>
        <w:t xml:space="preserve">) </w:t>
      </w:r>
      <w:r>
        <w:rPr>
          <w:rFonts w:ascii="Times New Roman" w:hAnsi="Times New Roman" w:cs="Times New Roman"/>
          <w:i/>
          <w:sz w:val="24"/>
          <w:szCs w:val="24"/>
        </w:rPr>
        <w:t>Limited</w:t>
      </w:r>
      <w:r>
        <w:rPr>
          <w:rFonts w:ascii="Times New Roman" w:hAnsi="Times New Roman" w:cs="Times New Roman"/>
          <w:i/>
          <w:sz w:val="24"/>
          <w:szCs w:val="24"/>
        </w:rPr>
        <w:t xml:space="preserve"> </w:t>
      </w:r>
      <w:r>
        <w:rPr>
          <w:rFonts w:ascii="Times New Roman" w:hAnsi="Times New Roman" w:cs="Times New Roman"/>
          <w:sz w:val="24"/>
          <w:szCs w:val="24"/>
        </w:rPr>
        <w:t xml:space="preserve">1998 (2) ZLR 560 (H) at p564F-G. In addition, one cannot waive something which is not </w:t>
      </w:r>
      <w:r>
        <w:rPr>
          <w:rFonts w:ascii="Times New Roman" w:hAnsi="Times New Roman" w:cs="Times New Roman"/>
          <w:sz w:val="24"/>
          <w:szCs w:val="24"/>
        </w:rPr>
        <w:t xml:space="preserve">there to be waived. A nullity cannot be cured by conduct amounting to a waiver, acquiescence or consent. Similarly, in </w:t>
      </w:r>
      <w:r>
        <w:rPr>
          <w:rFonts w:ascii="Times New Roman" w:hAnsi="Times New Roman" w:cs="Times New Roman"/>
          <w:sz w:val="24"/>
          <w:szCs w:val="24"/>
          <w:lang w:val="en-ZW"/>
        </w:rPr>
        <w:t xml:space="preserve">instances where the statutory provision prohibits such waiver, the right cannot be exercised. </w:t>
      </w:r>
      <w:r>
        <w:rPr>
          <w:rFonts w:ascii="Times New Roman" w:hAnsi="Times New Roman" w:cs="Times New Roman"/>
          <w:sz w:val="24"/>
          <w:szCs w:val="24"/>
        </w:rPr>
        <w:t xml:space="preserve">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Secondly, there cannot be a waiver in res</w:t>
      </w:r>
      <w:r>
        <w:rPr>
          <w:rFonts w:ascii="Times New Roman" w:hAnsi="Times New Roman" w:cs="Times New Roman"/>
          <w:sz w:val="24"/>
          <w:szCs w:val="24"/>
          <w:lang w:val="en-ZW"/>
        </w:rPr>
        <w:t>pect of statutory provisions which are made for the benefit of someone other than the party against whom the waiver is asserted. Thirdly, the latitude to renounce a right is restricted where the statutory obligation is in the public interest. Thus, it beco</w:t>
      </w:r>
      <w:r>
        <w:rPr>
          <w:rFonts w:ascii="Times New Roman" w:hAnsi="Times New Roman" w:cs="Times New Roman"/>
          <w:sz w:val="24"/>
          <w:szCs w:val="24"/>
          <w:lang w:val="en-ZW"/>
        </w:rPr>
        <w:t>mes necessary in this matter to examine the relevant provisions of the RBZ Act in order to ascertain whether they were framed for public benefit/interest or whether they are covered by one of the listed exceptions.</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Section 44C of the RBZ Act reads as follo</w:t>
      </w:r>
      <w:r>
        <w:rPr>
          <w:rFonts w:ascii="Times New Roman" w:hAnsi="Times New Roman" w:cs="Times New Roman"/>
          <w:sz w:val="24"/>
          <w:szCs w:val="24"/>
        </w:rPr>
        <w:t>ws:</w:t>
      </w:r>
    </w:p>
    <w:p w:rsidR="00892594" w:rsidRDefault="00A90DE0">
      <w:pPr>
        <w:spacing w:after="0" w:line="240" w:lineRule="auto"/>
        <w:ind w:left="1530" w:hanging="810"/>
        <w:jc w:val="both"/>
        <w:rPr>
          <w:rFonts w:ascii="Times New Roman" w:hAnsi="Times New Roman" w:cs="Times New Roman"/>
          <w:b/>
          <w:szCs w:val="24"/>
        </w:rPr>
      </w:pPr>
      <w:r>
        <w:rPr>
          <w:rFonts w:ascii="Times New Roman" w:hAnsi="Times New Roman" w:cs="Times New Roman"/>
          <w:sz w:val="24"/>
          <w:szCs w:val="24"/>
        </w:rPr>
        <w:t xml:space="preserve">     </w:t>
      </w:r>
      <w:r>
        <w:rPr>
          <w:rFonts w:ascii="Times New Roman" w:hAnsi="Times New Roman" w:cs="Times New Roman"/>
          <w:szCs w:val="24"/>
        </w:rPr>
        <w:t>“</w:t>
      </w:r>
      <w:r>
        <w:rPr>
          <w:rFonts w:ascii="Times New Roman" w:hAnsi="Times New Roman" w:cs="Times New Roman"/>
          <w:b/>
          <w:szCs w:val="24"/>
        </w:rPr>
        <w:t>44C Issuance and legal tender of electronic currency</w:t>
      </w:r>
    </w:p>
    <w:p w:rsidR="00892594" w:rsidRDefault="00892594">
      <w:pPr>
        <w:spacing w:after="0" w:line="240" w:lineRule="auto"/>
        <w:ind w:left="1530" w:hanging="810"/>
        <w:jc w:val="both"/>
        <w:rPr>
          <w:rFonts w:ascii="Times New Roman" w:hAnsi="Times New Roman" w:cs="Times New Roman"/>
          <w:szCs w:val="24"/>
        </w:rPr>
      </w:pPr>
    </w:p>
    <w:p w:rsidR="00892594" w:rsidRDefault="00A90DE0">
      <w:pPr>
        <w:spacing w:after="0" w:line="240" w:lineRule="auto"/>
        <w:ind w:left="1530" w:hanging="810"/>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(1) … </w:t>
      </w:r>
    </w:p>
    <w:p w:rsidR="00892594" w:rsidRDefault="00A90DE0">
      <w:pPr>
        <w:spacing w:after="0" w:line="240" w:lineRule="auto"/>
        <w:ind w:left="2182" w:hanging="22"/>
        <w:jc w:val="both"/>
        <w:rPr>
          <w:rFonts w:ascii="Times New Roman" w:hAnsi="Times New Roman" w:cs="Times New Roman"/>
          <w:szCs w:val="24"/>
        </w:rPr>
      </w:pPr>
      <w:r>
        <w:rPr>
          <w:rFonts w:ascii="Times New Roman" w:hAnsi="Times New Roman" w:cs="Times New Roman"/>
          <w:szCs w:val="24"/>
        </w:rPr>
        <w:t>(2) for the avoidance of doubt it is declared that the issuance of any electronic   currency shall not affect or apply in respect of –</w:t>
      </w:r>
    </w:p>
    <w:p w:rsidR="00892594" w:rsidRDefault="00A90DE0">
      <w:pPr>
        <w:spacing w:after="0" w:line="240" w:lineRule="auto"/>
        <w:ind w:left="2970" w:hanging="810"/>
        <w:jc w:val="both"/>
        <w:rPr>
          <w:rFonts w:ascii="Times New Roman" w:hAnsi="Times New Roman" w:cs="Times New Roman"/>
          <w:szCs w:val="24"/>
        </w:rPr>
      </w:pPr>
      <w:r>
        <w:rPr>
          <w:rFonts w:ascii="Times New Roman" w:hAnsi="Times New Roman" w:cs="Times New Roman"/>
          <w:szCs w:val="24"/>
        </w:rPr>
        <w:t>(a) …</w:t>
      </w:r>
    </w:p>
    <w:p w:rsidR="00892594" w:rsidRDefault="00892594">
      <w:pPr>
        <w:spacing w:after="0" w:line="240" w:lineRule="auto"/>
        <w:ind w:left="2880" w:hanging="720"/>
        <w:jc w:val="both"/>
        <w:rPr>
          <w:rFonts w:ascii="Times New Roman" w:hAnsi="Times New Roman" w:cs="Times New Roman"/>
          <w:szCs w:val="24"/>
        </w:rPr>
      </w:pPr>
    </w:p>
    <w:p w:rsidR="00892594" w:rsidRDefault="00A90DE0">
      <w:pPr>
        <w:spacing w:after="0" w:line="240" w:lineRule="auto"/>
        <w:ind w:left="2552" w:hanging="392"/>
        <w:jc w:val="both"/>
        <w:rPr>
          <w:rFonts w:ascii="Times New Roman" w:hAnsi="Times New Roman" w:cs="Times New Roman"/>
          <w:sz w:val="24"/>
          <w:szCs w:val="24"/>
        </w:rPr>
      </w:pPr>
      <w:r>
        <w:rPr>
          <w:rFonts w:ascii="Times New Roman" w:hAnsi="Times New Roman" w:cs="Times New Roman"/>
          <w:szCs w:val="24"/>
        </w:rPr>
        <w:t xml:space="preserve">(b) </w:t>
      </w:r>
      <w:r>
        <w:rPr>
          <w:rFonts w:ascii="Times New Roman" w:hAnsi="Times New Roman" w:cs="Times New Roman"/>
          <w:szCs w:val="24"/>
          <w:u w:val="single"/>
        </w:rPr>
        <w:t>foreign loans and foreign obligations</w:t>
      </w:r>
      <w:r>
        <w:rPr>
          <w:rFonts w:ascii="Times New Roman" w:hAnsi="Times New Roman" w:cs="Times New Roman"/>
          <w:szCs w:val="24"/>
          <w:u w:val="single"/>
        </w:rPr>
        <w:t xml:space="preserve"> denominated in any foreign currency, which shall continue to be payable in such foreign currency.”</w:t>
      </w:r>
      <w:r>
        <w:rPr>
          <w:rFonts w:ascii="Times New Roman" w:hAnsi="Times New Roman" w:cs="Times New Roman"/>
          <w:szCs w:val="24"/>
        </w:rPr>
        <w:t xml:space="preserve"> </w:t>
      </w:r>
      <w:r>
        <w:rPr>
          <w:rFonts w:ascii="Times New Roman" w:hAnsi="Times New Roman" w:cs="Times New Roman"/>
          <w:sz w:val="24"/>
          <w:szCs w:val="24"/>
        </w:rPr>
        <w:t>(the underlining is for emphasis)</w:t>
      </w:r>
    </w:p>
    <w:p w:rsidR="00892594" w:rsidRDefault="00892594">
      <w:pPr>
        <w:spacing w:after="0" w:line="240" w:lineRule="auto"/>
        <w:ind w:left="1530" w:hanging="810"/>
        <w:jc w:val="both"/>
        <w:rPr>
          <w:rFonts w:ascii="Times New Roman" w:hAnsi="Times New Roman" w:cs="Times New Roman"/>
          <w:sz w:val="24"/>
          <w:szCs w:val="24"/>
        </w:rPr>
      </w:pP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provision is essentially an exception clause to the general position that </w:t>
      </w:r>
      <w:r>
        <w:rPr>
          <w:rFonts w:ascii="Times New Roman" w:hAnsi="Times New Roman" w:cs="Times New Roman"/>
          <w:sz w:val="24"/>
          <w:szCs w:val="24"/>
          <w:lang w:bidi="en-US"/>
        </w:rPr>
        <w:t>contractual obligations valued in United St</w:t>
      </w:r>
      <w:r>
        <w:rPr>
          <w:rFonts w:ascii="Times New Roman" w:hAnsi="Times New Roman" w:cs="Times New Roman"/>
          <w:sz w:val="24"/>
          <w:szCs w:val="24"/>
          <w:lang w:bidi="en-US"/>
        </w:rPr>
        <w:t xml:space="preserve">ates dollars immediately before the effective date, that is 22 February 2019, were to be paid in RTGS dollars at parity or at a one-to-one rate. </w:t>
      </w:r>
      <w:r>
        <w:rPr>
          <w:rFonts w:ascii="Times New Roman" w:hAnsi="Times New Roman" w:cs="Times New Roman"/>
          <w:sz w:val="24"/>
          <w:szCs w:val="24"/>
        </w:rPr>
        <w:t xml:space="preserve">As to the interpretation of this provision, in </w:t>
      </w:r>
      <w:r>
        <w:rPr>
          <w:rFonts w:ascii="Times New Roman" w:hAnsi="Times New Roman" w:cs="Times New Roman"/>
          <w:i/>
          <w:sz w:val="24"/>
          <w:szCs w:val="24"/>
        </w:rPr>
        <w:t>Breastplate Service (P</w:t>
      </w:r>
      <w:r>
        <w:rPr>
          <w:rFonts w:ascii="Times New Roman" w:hAnsi="Times New Roman" w:cs="Times New Roman"/>
          <w:i/>
          <w:sz w:val="24"/>
          <w:szCs w:val="24"/>
        </w:rPr>
        <w:t>ri</w:t>
      </w:r>
      <w:r>
        <w:rPr>
          <w:rFonts w:ascii="Times New Roman" w:hAnsi="Times New Roman" w:cs="Times New Roman"/>
          <w:i/>
          <w:sz w:val="24"/>
          <w:szCs w:val="24"/>
        </w:rPr>
        <w:t>v</w:t>
      </w:r>
      <w:r>
        <w:rPr>
          <w:rFonts w:ascii="Times New Roman" w:hAnsi="Times New Roman" w:cs="Times New Roman"/>
          <w:i/>
          <w:sz w:val="24"/>
          <w:szCs w:val="24"/>
        </w:rPr>
        <w:t>a</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 L</w:t>
      </w:r>
      <w:r>
        <w:rPr>
          <w:rFonts w:ascii="Times New Roman" w:hAnsi="Times New Roman" w:cs="Times New Roman"/>
          <w:i/>
          <w:sz w:val="24"/>
          <w:szCs w:val="24"/>
        </w:rPr>
        <w:t>imi</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 xml:space="preserve">d </w:t>
      </w:r>
      <w:r>
        <w:rPr>
          <w:rFonts w:ascii="Times New Roman" w:hAnsi="Times New Roman" w:cs="Times New Roman"/>
          <w:iCs/>
          <w:sz w:val="24"/>
          <w:szCs w:val="24"/>
        </w:rPr>
        <w:t>v</w:t>
      </w:r>
      <w:r>
        <w:rPr>
          <w:rFonts w:ascii="Times New Roman" w:hAnsi="Times New Roman" w:cs="Times New Roman"/>
          <w:i/>
          <w:sz w:val="24"/>
          <w:szCs w:val="24"/>
        </w:rPr>
        <w:t xml:space="preserve"> Cambria </w:t>
      </w:r>
      <w:r>
        <w:rPr>
          <w:rFonts w:ascii="Times New Roman" w:hAnsi="Times New Roman" w:cs="Times New Roman"/>
          <w:i/>
          <w:sz w:val="24"/>
          <w:szCs w:val="24"/>
        </w:rPr>
        <w:lastRenderedPageBreak/>
        <w:t>Africa Plc</w:t>
      </w:r>
      <w:r>
        <w:rPr>
          <w:rFonts w:ascii="Times New Roman" w:hAnsi="Times New Roman" w:cs="Times New Roman"/>
          <w:sz w:val="24"/>
          <w:szCs w:val="24"/>
        </w:rPr>
        <w:t xml:space="preserve"> SC66-</w:t>
      </w:r>
      <w:r>
        <w:rPr>
          <w:rFonts w:ascii="Times New Roman" w:hAnsi="Times New Roman" w:cs="Times New Roman"/>
          <w:sz w:val="24"/>
          <w:szCs w:val="24"/>
        </w:rPr>
        <w:t>20 the Supreme Court stated as follows at p.5 of the cyclostyled judgment:</w:t>
      </w:r>
    </w:p>
    <w:p w:rsidR="00892594" w:rsidRDefault="00A90DE0">
      <w:pPr>
        <w:pStyle w:val="ListParagraph"/>
        <w:tabs>
          <w:tab w:val="left" w:pos="270"/>
        </w:tabs>
        <w:spacing w:line="240" w:lineRule="auto"/>
        <w:ind w:left="2160"/>
        <w:jc w:val="both"/>
        <w:rPr>
          <w:rFonts w:ascii="Times New Roman" w:hAnsi="Times New Roman" w:cs="Times New Roman"/>
          <w:szCs w:val="24"/>
        </w:rPr>
      </w:pPr>
      <w:r>
        <w:rPr>
          <w:rFonts w:ascii="Times New Roman" w:hAnsi="Times New Roman" w:cs="Times New Roman"/>
          <w:szCs w:val="24"/>
        </w:rPr>
        <w:t xml:space="preserve">     “What emerges clearly and unequivocally from s 44C(2)(b) of the Reserve Bank Act, as read with s 4(1)(d) of SI 33 of 2019, is that foreign loans and obligations denominated in </w:t>
      </w:r>
      <w:r>
        <w:rPr>
          <w:rFonts w:ascii="Times New Roman" w:hAnsi="Times New Roman" w:cs="Times New Roman"/>
          <w:szCs w:val="24"/>
        </w:rPr>
        <w:t>any foreign currency are excluded from the broad remit of SI 33 of 2019. Thus, foreign loans and obligations continue to be valued and payable in the foreign currency in which they are denominated.”</w:t>
      </w:r>
    </w:p>
    <w:p w:rsidR="00892594" w:rsidRDefault="00892594">
      <w:pPr>
        <w:pStyle w:val="ListParagraph"/>
        <w:tabs>
          <w:tab w:val="left" w:pos="270"/>
        </w:tabs>
        <w:spacing w:line="240" w:lineRule="auto"/>
        <w:ind w:left="2160"/>
        <w:jc w:val="both"/>
        <w:rPr>
          <w:rFonts w:ascii="Times New Roman" w:hAnsi="Times New Roman" w:cs="Times New Roman"/>
          <w:szCs w:val="24"/>
        </w:rPr>
      </w:pP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Once a debt satisfies the jurisdictional facts that esta</w:t>
      </w:r>
      <w:r>
        <w:rPr>
          <w:rFonts w:ascii="Times New Roman" w:hAnsi="Times New Roman" w:cs="Times New Roman"/>
          <w:sz w:val="24"/>
          <w:szCs w:val="24"/>
        </w:rPr>
        <w:t xml:space="preserve">blish a foreign obligation, such a debt, by operation of the law, is excluded from the ambit of SI33 of 2019. That a foreign obligation is payable in foreign currency is trite: </w:t>
      </w:r>
      <w:r>
        <w:rPr>
          <w:rFonts w:ascii="Times New Roman" w:hAnsi="Times New Roman" w:cs="Times New Roman"/>
          <w:i/>
          <w:sz w:val="24"/>
          <w:szCs w:val="24"/>
          <w:lang w:val="en-ZW"/>
        </w:rPr>
        <w:t xml:space="preserve">Mushayakarara </w:t>
      </w:r>
      <w:r>
        <w:rPr>
          <w:rFonts w:ascii="Times New Roman" w:hAnsi="Times New Roman" w:cs="Times New Roman"/>
          <w:sz w:val="24"/>
          <w:szCs w:val="24"/>
          <w:lang w:val="en-ZW"/>
        </w:rPr>
        <w:t>v</w:t>
      </w:r>
      <w:r>
        <w:rPr>
          <w:rFonts w:ascii="Times New Roman" w:hAnsi="Times New Roman" w:cs="Times New Roman"/>
          <w:i/>
          <w:sz w:val="24"/>
          <w:szCs w:val="24"/>
          <w:lang w:val="en-ZW"/>
        </w:rPr>
        <w:t xml:space="preserve"> Zimbabwe Leaf Tobacco Company (Private) Limited</w:t>
      </w:r>
      <w:r>
        <w:rPr>
          <w:rFonts w:ascii="Times New Roman" w:hAnsi="Times New Roman" w:cs="Times New Roman"/>
          <w:sz w:val="24"/>
          <w:szCs w:val="24"/>
          <w:lang w:val="en-ZW"/>
        </w:rPr>
        <w:t xml:space="preserve"> SC 108-21, </w:t>
      </w:r>
      <w:r>
        <w:rPr>
          <w:rFonts w:ascii="Times New Roman" w:hAnsi="Times New Roman" w:cs="Times New Roman"/>
          <w:i/>
          <w:sz w:val="24"/>
          <w:szCs w:val="24"/>
        </w:rPr>
        <w:t xml:space="preserve">Mugweni </w:t>
      </w:r>
      <w:r>
        <w:rPr>
          <w:rFonts w:ascii="Times New Roman" w:hAnsi="Times New Roman" w:cs="Times New Roman"/>
          <w:iCs/>
          <w:sz w:val="24"/>
          <w:szCs w:val="24"/>
        </w:rPr>
        <w:t>v</w:t>
      </w:r>
      <w:r>
        <w:rPr>
          <w:rFonts w:ascii="Times New Roman" w:hAnsi="Times New Roman" w:cs="Times New Roman"/>
          <w:i/>
          <w:sz w:val="24"/>
          <w:szCs w:val="24"/>
        </w:rPr>
        <w:t xml:space="preserve"> Tian Ze Tobacco (P</w:t>
      </w:r>
      <w:r>
        <w:rPr>
          <w:rFonts w:ascii="Times New Roman" w:hAnsi="Times New Roman" w:cs="Times New Roman"/>
          <w:i/>
          <w:sz w:val="24"/>
          <w:szCs w:val="24"/>
        </w:rPr>
        <w:t>ri</w:t>
      </w:r>
      <w:r>
        <w:rPr>
          <w:rFonts w:ascii="Times New Roman" w:hAnsi="Times New Roman" w:cs="Times New Roman"/>
          <w:i/>
          <w:sz w:val="24"/>
          <w:szCs w:val="24"/>
        </w:rPr>
        <w:t>v</w:t>
      </w:r>
      <w:r>
        <w:rPr>
          <w:rFonts w:ascii="Times New Roman" w:hAnsi="Times New Roman" w:cs="Times New Roman"/>
          <w:i/>
          <w:sz w:val="24"/>
          <w:szCs w:val="24"/>
        </w:rPr>
        <w:t>a</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 L</w:t>
      </w:r>
      <w:r>
        <w:rPr>
          <w:rFonts w:ascii="Times New Roman" w:hAnsi="Times New Roman" w:cs="Times New Roman"/>
          <w:i/>
          <w:sz w:val="24"/>
          <w:szCs w:val="24"/>
        </w:rPr>
        <w:t>imi</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d</w:t>
      </w:r>
      <w:r>
        <w:rPr>
          <w:rFonts w:ascii="Times New Roman" w:hAnsi="Times New Roman" w:cs="Times New Roman"/>
          <w:sz w:val="24"/>
          <w:szCs w:val="24"/>
        </w:rPr>
        <w:t xml:space="preserve"> SC120-21</w:t>
      </w:r>
      <w:r>
        <w:rPr>
          <w:rFonts w:ascii="Times New Roman" w:hAnsi="Times New Roman" w:cs="Times New Roman"/>
          <w:sz w:val="24"/>
          <w:szCs w:val="24"/>
          <w:lang w:val="en-ZW"/>
        </w:rPr>
        <w:t xml:space="preserve"> &amp; </w:t>
      </w:r>
      <w:r>
        <w:rPr>
          <w:rFonts w:ascii="Times New Roman" w:hAnsi="Times New Roman" w:cs="Times New Roman"/>
          <w:i/>
          <w:sz w:val="24"/>
          <w:szCs w:val="24"/>
        </w:rPr>
        <w:t xml:space="preserve">Baron </w:t>
      </w:r>
      <w:r>
        <w:rPr>
          <w:rFonts w:ascii="Times New Roman" w:hAnsi="Times New Roman" w:cs="Times New Roman"/>
          <w:sz w:val="24"/>
          <w:szCs w:val="24"/>
        </w:rPr>
        <w:t>v</w:t>
      </w:r>
      <w:r>
        <w:rPr>
          <w:rFonts w:ascii="Times New Roman" w:hAnsi="Times New Roman" w:cs="Times New Roman"/>
          <w:i/>
          <w:sz w:val="24"/>
          <w:szCs w:val="24"/>
        </w:rPr>
        <w:t xml:space="preserve"> Verdure Investments &amp; 2 Ors</w:t>
      </w:r>
      <w:r>
        <w:rPr>
          <w:rFonts w:ascii="Times New Roman" w:hAnsi="Times New Roman" w:cs="Times New Roman"/>
          <w:sz w:val="24"/>
          <w:szCs w:val="24"/>
        </w:rPr>
        <w:t xml:space="preserve"> SC28-24 .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I take note of the plaintiff’s submissions on the strength </w:t>
      </w:r>
      <w:r>
        <w:rPr>
          <w:rFonts w:ascii="Times New Roman" w:hAnsi="Times New Roman" w:cs="Times New Roman"/>
          <w:i/>
          <w:sz w:val="24"/>
          <w:szCs w:val="24"/>
        </w:rPr>
        <w:t>of Tobacco Processors Zimbabwe (P</w:t>
      </w:r>
      <w:r>
        <w:rPr>
          <w:rFonts w:ascii="Times New Roman" w:hAnsi="Times New Roman" w:cs="Times New Roman"/>
          <w:i/>
          <w:sz w:val="24"/>
          <w:szCs w:val="24"/>
        </w:rPr>
        <w:t>ri</w:t>
      </w:r>
      <w:r>
        <w:rPr>
          <w:rFonts w:ascii="Times New Roman" w:hAnsi="Times New Roman" w:cs="Times New Roman"/>
          <w:i/>
          <w:sz w:val="24"/>
          <w:szCs w:val="24"/>
        </w:rPr>
        <w:t>v</w:t>
      </w:r>
      <w:r>
        <w:rPr>
          <w:rFonts w:ascii="Times New Roman" w:hAnsi="Times New Roman" w:cs="Times New Roman"/>
          <w:i/>
          <w:sz w:val="24"/>
          <w:szCs w:val="24"/>
        </w:rPr>
        <w:t>a</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 L</w:t>
      </w:r>
      <w:r>
        <w:rPr>
          <w:rFonts w:ascii="Times New Roman" w:hAnsi="Times New Roman" w:cs="Times New Roman"/>
          <w:i/>
          <w:sz w:val="24"/>
          <w:szCs w:val="24"/>
        </w:rPr>
        <w:t>imi</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 xml:space="preserve">d </w:t>
      </w:r>
      <w:r>
        <w:rPr>
          <w:rFonts w:ascii="Times New Roman" w:hAnsi="Times New Roman" w:cs="Times New Roman"/>
          <w:sz w:val="24"/>
          <w:szCs w:val="24"/>
        </w:rPr>
        <w:t>v</w:t>
      </w:r>
      <w:r>
        <w:rPr>
          <w:rFonts w:ascii="Times New Roman" w:hAnsi="Times New Roman" w:cs="Times New Roman"/>
          <w:i/>
          <w:sz w:val="24"/>
          <w:szCs w:val="24"/>
        </w:rPr>
        <w:t xml:space="preserve"> Mutasa &amp; 11 Ors </w:t>
      </w:r>
      <w:r>
        <w:rPr>
          <w:rFonts w:ascii="Times New Roman" w:hAnsi="Times New Roman" w:cs="Times New Roman"/>
          <w:sz w:val="24"/>
          <w:szCs w:val="24"/>
        </w:rPr>
        <w:t xml:space="preserve">SC12-21 on the </w:t>
      </w:r>
      <w:r>
        <w:rPr>
          <w:rFonts w:ascii="Times New Roman" w:hAnsi="Times New Roman" w:cs="Times New Roman"/>
          <w:sz w:val="24"/>
          <w:szCs w:val="24"/>
        </w:rPr>
        <w:t>peremptory import of the word ‘shall’ used in s44C (2) (b) of the RBZ Act, I also take note that the Supreme Court has already made a pronouncement on the practical application of the section in</w:t>
      </w:r>
      <w:r>
        <w:rPr>
          <w:rFonts w:ascii="Times New Roman" w:hAnsi="Times New Roman" w:cs="Times New Roman"/>
          <w:i/>
          <w:sz w:val="24"/>
          <w:szCs w:val="24"/>
        </w:rPr>
        <w:t xml:space="preserve"> Breastplate Service supra </w:t>
      </w:r>
      <w:r>
        <w:rPr>
          <w:rFonts w:ascii="Times New Roman" w:hAnsi="Times New Roman" w:cs="Times New Roman"/>
          <w:sz w:val="24"/>
          <w:szCs w:val="24"/>
        </w:rPr>
        <w:t>at p12 of the judgment in the follo</w:t>
      </w:r>
      <w:r>
        <w:rPr>
          <w:rFonts w:ascii="Times New Roman" w:hAnsi="Times New Roman" w:cs="Times New Roman"/>
          <w:sz w:val="24"/>
          <w:szCs w:val="24"/>
        </w:rPr>
        <w:t xml:space="preserve">wing terms: </w:t>
      </w:r>
    </w:p>
    <w:p w:rsidR="00892594" w:rsidRDefault="00A90DE0">
      <w:pPr>
        <w:pStyle w:val="ListParagraph"/>
        <w:tabs>
          <w:tab w:val="left" w:pos="270"/>
        </w:tabs>
        <w:spacing w:line="240" w:lineRule="auto"/>
        <w:ind w:left="1440"/>
        <w:jc w:val="both"/>
        <w:rPr>
          <w:rFonts w:ascii="Times New Roman" w:hAnsi="Times New Roman" w:cs="Times New Roman"/>
        </w:rPr>
      </w:pPr>
      <w:r>
        <w:rPr>
          <w:rFonts w:ascii="Times New Roman" w:hAnsi="Times New Roman" w:cs="Times New Roman"/>
        </w:rPr>
        <w:t xml:space="preserve">it would be commercially incongruous and internationally unacceptable to attempt to settle any foreign loan or obligation in local currency, </w:t>
      </w:r>
      <w:r>
        <w:rPr>
          <w:rFonts w:ascii="Times New Roman" w:hAnsi="Times New Roman" w:cs="Times New Roman"/>
          <w:i/>
        </w:rPr>
        <w:t>unless this is mutually agreed between the parties involved</w:t>
      </w:r>
      <w:r>
        <w:rPr>
          <w:rFonts w:ascii="Times New Roman" w:hAnsi="Times New Roman" w:cs="Times New Roman"/>
        </w:rPr>
        <w:t>. Secondly, and more importantly, the exemp</w:t>
      </w:r>
      <w:r>
        <w:rPr>
          <w:rFonts w:ascii="Times New Roman" w:hAnsi="Times New Roman" w:cs="Times New Roman"/>
        </w:rPr>
        <w:t>tion from the scope of local currency in respect of foreign loans and obligations is explicitly preserved and embodied in s 44C (2) (b) of the Reserve Bank Act itself. (my emphasis)</w:t>
      </w:r>
    </w:p>
    <w:p w:rsidR="00892594" w:rsidRDefault="00892594">
      <w:pPr>
        <w:pStyle w:val="ListParagraph"/>
        <w:tabs>
          <w:tab w:val="left" w:pos="270"/>
        </w:tabs>
        <w:spacing w:line="240" w:lineRule="auto"/>
        <w:ind w:left="1440"/>
        <w:jc w:val="both"/>
        <w:rPr>
          <w:rFonts w:ascii="Times New Roman" w:hAnsi="Times New Roman" w:cs="Times New Roman"/>
          <w:sz w:val="24"/>
          <w:szCs w:val="24"/>
          <w:lang w:val="en-ZW"/>
        </w:rPr>
      </w:pP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I am inclined, on the basis of the above authority, to lean towards a con</w:t>
      </w:r>
      <w:r>
        <w:rPr>
          <w:rFonts w:ascii="Times New Roman" w:hAnsi="Times New Roman" w:cs="Times New Roman"/>
          <w:sz w:val="24"/>
          <w:szCs w:val="24"/>
        </w:rPr>
        <w:t>clusion that the benefit under s44C (2) (b) of the RBZ Act is for the party against whom the foreign obligation is owed.  It seems to me that the above passage answers the question on whether or not a party can renounce its benefits under s44C (2) (b) of t</w:t>
      </w:r>
      <w:r>
        <w:rPr>
          <w:rFonts w:ascii="Times New Roman" w:hAnsi="Times New Roman" w:cs="Times New Roman"/>
          <w:sz w:val="24"/>
          <w:szCs w:val="24"/>
        </w:rPr>
        <w:t>he RBZ Act. While the Court observed that it would be commercially incongruous and internationally unacceptable to attempt to settle any foreign loan or obligation in local currency, it also issued a critical rider that the parties involved may mutually ag</w:t>
      </w:r>
      <w:r>
        <w:rPr>
          <w:rFonts w:ascii="Times New Roman" w:hAnsi="Times New Roman" w:cs="Times New Roman"/>
          <w:sz w:val="24"/>
          <w:szCs w:val="24"/>
        </w:rPr>
        <w:t xml:space="preserve">ree to settle the foreign loan or obligation in local currency.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it is settled that the plaintiff in this matter had the capacity to waive the express payment of the debt in foreign currency. Whilst the debt was without question, a </w:t>
      </w:r>
      <w:r>
        <w:rPr>
          <w:rFonts w:ascii="Times New Roman" w:hAnsi="Times New Roman" w:cs="Times New Roman"/>
          <w:sz w:val="24"/>
          <w:szCs w:val="24"/>
        </w:rPr>
        <w:lastRenderedPageBreak/>
        <w:t xml:space="preserve">foreign </w:t>
      </w:r>
      <w:r>
        <w:rPr>
          <w:rFonts w:ascii="Times New Roman" w:hAnsi="Times New Roman" w:cs="Times New Roman"/>
          <w:sz w:val="24"/>
          <w:szCs w:val="24"/>
        </w:rPr>
        <w:t>obligation, the plaintiff was at all material times endowed with the right to vary the method of repayment.</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There is no bar that operates against the settlement of a foreign obligation in local currency provided that the parties mutually agree to settle th</w:t>
      </w:r>
      <w:r>
        <w:rPr>
          <w:rFonts w:ascii="Times New Roman" w:hAnsi="Times New Roman" w:cs="Times New Roman"/>
          <w:sz w:val="24"/>
          <w:szCs w:val="24"/>
          <w:lang w:val="en-ZW"/>
        </w:rPr>
        <w:t xml:space="preserve">e debt in local currency or a party is amenable to receiving the payment in local currency at the </w:t>
      </w:r>
      <w:r>
        <w:rPr>
          <w:rFonts w:ascii="Times New Roman" w:hAnsi="Times New Roman" w:cs="Times New Roman"/>
          <w:sz w:val="24"/>
          <w:szCs w:val="24"/>
        </w:rPr>
        <w:t>inter-bank</w:t>
      </w:r>
      <w:r>
        <w:rPr>
          <w:rFonts w:ascii="Times New Roman" w:hAnsi="Times New Roman" w:cs="Times New Roman"/>
          <w:sz w:val="24"/>
          <w:szCs w:val="24"/>
          <w:lang w:val="en-ZW"/>
        </w:rPr>
        <w:t xml:space="preserve"> rate. In my view, the mutual agreement constitutes a form of renunciation of the beneficiary’s right to receive the payment in foreign currency. A </w:t>
      </w:r>
      <w:r>
        <w:rPr>
          <w:rFonts w:ascii="Times New Roman" w:hAnsi="Times New Roman" w:cs="Times New Roman"/>
          <w:sz w:val="24"/>
          <w:szCs w:val="24"/>
          <w:lang w:val="en-ZW"/>
        </w:rPr>
        <w:t xml:space="preserve">party can, in the circumstances, waive their right to receive settlement of the debt in foreign currency. </w:t>
      </w:r>
      <w:r>
        <w:rPr>
          <w:rFonts w:ascii="Times New Roman" w:hAnsi="Times New Roman" w:cs="Times New Roman"/>
          <w:sz w:val="24"/>
          <w:szCs w:val="24"/>
        </w:rPr>
        <w:t xml:space="preserve">A party has an election to waive the statutory right accruing in terms of s44C (2) (b) of the RBZ Act.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iCs/>
          <w:sz w:val="24"/>
          <w:szCs w:val="24"/>
        </w:rPr>
        <w:t xml:space="preserve">casu, </w:t>
      </w:r>
      <w:r>
        <w:rPr>
          <w:rFonts w:ascii="Times New Roman" w:hAnsi="Times New Roman" w:cs="Times New Roman"/>
          <w:sz w:val="24"/>
          <w:szCs w:val="24"/>
        </w:rPr>
        <w:t>the crux of the issue is whether or n</w:t>
      </w:r>
      <w:r>
        <w:rPr>
          <w:rFonts w:ascii="Times New Roman" w:hAnsi="Times New Roman" w:cs="Times New Roman"/>
          <w:sz w:val="24"/>
          <w:szCs w:val="24"/>
        </w:rPr>
        <w:t>ot the plaintiff waived the statutory right to have the debt settled in foreign currency.  It is critical to note that the parties are in agreement, from their joint statement before the Court, that the plaintiff only recovered ZWL$5 876.38 from the defend</w:t>
      </w:r>
      <w:r>
        <w:rPr>
          <w:rFonts w:ascii="Times New Roman" w:hAnsi="Times New Roman" w:cs="Times New Roman"/>
          <w:sz w:val="24"/>
          <w:szCs w:val="24"/>
        </w:rPr>
        <w:t xml:space="preserve">ant in the proceeding under HC 9854/18. This is amplified in the preamble of the statement of agreed facts, where it is stated as follows: </w:t>
      </w:r>
    </w:p>
    <w:p w:rsidR="00892594" w:rsidRDefault="00A90DE0">
      <w:pPr>
        <w:pStyle w:val="ListParagraph"/>
        <w:tabs>
          <w:tab w:val="left" w:pos="270"/>
        </w:tabs>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WHEREAS</w:t>
      </w:r>
      <w:r>
        <w:rPr>
          <w:rFonts w:ascii="Times New Roman" w:hAnsi="Times New Roman" w:cs="Times New Roman"/>
          <w:sz w:val="24"/>
          <w:szCs w:val="24"/>
        </w:rPr>
        <w:t xml:space="preserve"> the Applicant instituted legal proceedings against the Respondent under </w:t>
      </w:r>
      <w:r>
        <w:rPr>
          <w:rFonts w:ascii="Times New Roman" w:hAnsi="Times New Roman" w:cs="Times New Roman"/>
          <w:b/>
          <w:bCs/>
          <w:sz w:val="24"/>
          <w:szCs w:val="24"/>
        </w:rPr>
        <w:t>Case No. HC 9854/18</w:t>
      </w:r>
      <w:r>
        <w:rPr>
          <w:rFonts w:ascii="Times New Roman" w:hAnsi="Times New Roman" w:cs="Times New Roman"/>
          <w:sz w:val="24"/>
          <w:szCs w:val="24"/>
        </w:rPr>
        <w:t>, claiming an am</w:t>
      </w:r>
      <w:r>
        <w:rPr>
          <w:rFonts w:ascii="Times New Roman" w:hAnsi="Times New Roman" w:cs="Times New Roman"/>
          <w:sz w:val="24"/>
          <w:szCs w:val="24"/>
        </w:rPr>
        <w:t>ount of $</w:t>
      </w:r>
      <w:r>
        <w:rPr>
          <w:rFonts w:ascii="Times New Roman" w:hAnsi="Times New Roman" w:cs="Times New Roman"/>
          <w:b/>
          <w:bCs/>
          <w:sz w:val="24"/>
          <w:szCs w:val="24"/>
        </w:rPr>
        <w:t>47,593.17</w:t>
      </w:r>
      <w:r>
        <w:rPr>
          <w:rFonts w:ascii="Times New Roman" w:hAnsi="Times New Roman" w:cs="Times New Roman"/>
          <w:sz w:val="24"/>
          <w:szCs w:val="24"/>
        </w:rPr>
        <w:t xml:space="preserve">. The Respondent filed an </w:t>
      </w:r>
      <w:r>
        <w:rPr>
          <w:rFonts w:ascii="Times New Roman" w:hAnsi="Times New Roman" w:cs="Times New Roman"/>
          <w:b/>
          <w:bCs/>
          <w:sz w:val="24"/>
          <w:szCs w:val="24"/>
        </w:rPr>
        <w:t xml:space="preserve">Appearance to Defend </w:t>
      </w:r>
      <w:r>
        <w:rPr>
          <w:rFonts w:ascii="Times New Roman" w:hAnsi="Times New Roman" w:cs="Times New Roman"/>
          <w:sz w:val="24"/>
          <w:szCs w:val="24"/>
        </w:rPr>
        <w:t xml:space="preserve">on October 31, 2018, prompting the Applicant to apply for </w:t>
      </w:r>
      <w:r>
        <w:rPr>
          <w:rFonts w:ascii="Times New Roman" w:hAnsi="Times New Roman" w:cs="Times New Roman"/>
          <w:b/>
          <w:bCs/>
          <w:sz w:val="24"/>
          <w:szCs w:val="24"/>
        </w:rPr>
        <w:t>Summary Judgment under HC 10306/18</w:t>
      </w:r>
      <w:r>
        <w:rPr>
          <w:rFonts w:ascii="Times New Roman" w:hAnsi="Times New Roman" w:cs="Times New Roman"/>
          <w:sz w:val="24"/>
          <w:szCs w:val="24"/>
        </w:rPr>
        <w:t>. Pursuant to the granting of the judgment, a writ of execution was issued, resulting in the realiz</w:t>
      </w:r>
      <w:r>
        <w:rPr>
          <w:rFonts w:ascii="Times New Roman" w:hAnsi="Times New Roman" w:cs="Times New Roman"/>
          <w:sz w:val="24"/>
          <w:szCs w:val="24"/>
        </w:rPr>
        <w:t xml:space="preserve">ation of </w:t>
      </w:r>
      <w:r>
        <w:rPr>
          <w:rFonts w:ascii="Times New Roman" w:hAnsi="Times New Roman" w:cs="Times New Roman"/>
          <w:b/>
          <w:bCs/>
          <w:sz w:val="24"/>
          <w:szCs w:val="24"/>
        </w:rPr>
        <w:t>ZWL$5,876.38</w:t>
      </w:r>
      <w:r>
        <w:rPr>
          <w:rFonts w:ascii="Times New Roman" w:hAnsi="Times New Roman" w:cs="Times New Roman"/>
          <w:sz w:val="24"/>
          <w:szCs w:val="24"/>
        </w:rPr>
        <w:t xml:space="preserve">. </w:t>
      </w:r>
    </w:p>
    <w:p w:rsidR="00892594" w:rsidRDefault="00A90DE0">
      <w:pPr>
        <w:pStyle w:val="ListParagraph"/>
        <w:tabs>
          <w:tab w:val="left" w:pos="270"/>
        </w:tabs>
        <w:ind w:left="1440"/>
        <w:jc w:val="both"/>
        <w:rPr>
          <w:rFonts w:ascii="Times New Roman" w:hAnsi="Times New Roman" w:cs="Times New Roman"/>
          <w:sz w:val="24"/>
          <w:szCs w:val="24"/>
        </w:rPr>
      </w:pPr>
      <w:r>
        <w:rPr>
          <w:rFonts w:ascii="Times New Roman" w:hAnsi="Times New Roman" w:cs="Times New Roman"/>
          <w:b/>
          <w:bCs/>
          <w:sz w:val="24"/>
          <w:szCs w:val="24"/>
        </w:rPr>
        <w:t>AND WHEREAS</w:t>
      </w:r>
      <w:r>
        <w:rPr>
          <w:rFonts w:ascii="Times New Roman" w:hAnsi="Times New Roman" w:cs="Times New Roman"/>
          <w:sz w:val="24"/>
          <w:szCs w:val="24"/>
        </w:rPr>
        <w:t xml:space="preserve"> the Applicant accepted this amount as partial payment and deducted it from the capital sum initially claimed, leaving an outstanding balance of $41,616.79, which was communicated to the Respondent.”</w:t>
      </w:r>
    </w:p>
    <w:p w:rsidR="00892594" w:rsidRDefault="00892594">
      <w:pPr>
        <w:pStyle w:val="ListParagraph"/>
        <w:tabs>
          <w:tab w:val="left" w:pos="270"/>
        </w:tabs>
        <w:ind w:left="1440"/>
        <w:jc w:val="both"/>
        <w:rPr>
          <w:rFonts w:ascii="Times New Roman" w:hAnsi="Times New Roman" w:cs="Times New Roman"/>
          <w:sz w:val="24"/>
          <w:szCs w:val="24"/>
        </w:rPr>
      </w:pP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the par</w:t>
      </w:r>
      <w:r>
        <w:rPr>
          <w:rFonts w:ascii="Times New Roman" w:hAnsi="Times New Roman" w:cs="Times New Roman"/>
          <w:sz w:val="24"/>
          <w:szCs w:val="24"/>
        </w:rPr>
        <w:t>ties are in agreement that the two separate payments of ZWL$16 000 and ZWL$25 717.70, made by the defendant, were declined by the plaintiff. It has already been settled that the beneficiary of a statutory right under s44C of the RBZ Act can vary the manner</w:t>
      </w:r>
      <w:r>
        <w:rPr>
          <w:rFonts w:ascii="Times New Roman" w:hAnsi="Times New Roman" w:cs="Times New Roman"/>
          <w:sz w:val="24"/>
          <w:szCs w:val="24"/>
        </w:rPr>
        <w:t xml:space="preserve"> of repayment of the debt. The only issue outstanding is whether the conduct of the plaintiff in this instance amounted to a waiver of the right to have the debt satisfied in foreign currency.</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The principle of waiver has been canvassed in several authoriti</w:t>
      </w:r>
      <w:r>
        <w:rPr>
          <w:rFonts w:ascii="Times New Roman" w:hAnsi="Times New Roman" w:cs="Times New Roman"/>
          <w:sz w:val="24"/>
          <w:szCs w:val="24"/>
        </w:rPr>
        <w:t xml:space="preserve">es in our jurisdiction. In a fairly recent decision of the Supreme Court; </w:t>
      </w:r>
      <w:r>
        <w:rPr>
          <w:rFonts w:ascii="Times New Roman" w:hAnsi="Times New Roman" w:cs="Times New Roman"/>
          <w:i/>
          <w:sz w:val="24"/>
          <w:szCs w:val="24"/>
        </w:rPr>
        <w:t xml:space="preserve">Ziswa &amp; Anor </w:t>
      </w:r>
      <w:r>
        <w:rPr>
          <w:rFonts w:ascii="Times New Roman" w:hAnsi="Times New Roman" w:cs="Times New Roman"/>
          <w:sz w:val="24"/>
          <w:szCs w:val="24"/>
        </w:rPr>
        <w:t>v</w:t>
      </w:r>
      <w:r>
        <w:rPr>
          <w:rFonts w:ascii="Times New Roman" w:hAnsi="Times New Roman" w:cs="Times New Roman"/>
          <w:i/>
          <w:sz w:val="24"/>
          <w:szCs w:val="24"/>
        </w:rPr>
        <w:t xml:space="preserve"> Chadwick &amp; Anor</w:t>
      </w:r>
      <w:r>
        <w:rPr>
          <w:rFonts w:ascii="Times New Roman" w:hAnsi="Times New Roman" w:cs="Times New Roman"/>
          <w:sz w:val="24"/>
          <w:szCs w:val="24"/>
        </w:rPr>
        <w:t xml:space="preserve"> SC92-22, the principle of waiver was elucidated as follows at p14-15:</w:t>
      </w:r>
    </w:p>
    <w:p w:rsidR="00892594" w:rsidRDefault="00A90DE0">
      <w:pPr>
        <w:tabs>
          <w:tab w:val="left" w:pos="270"/>
        </w:tabs>
        <w:ind w:left="1440"/>
        <w:jc w:val="both"/>
        <w:rPr>
          <w:rFonts w:ascii="Times New Roman" w:hAnsi="Times New Roman" w:cs="Times New Roman"/>
          <w:bCs/>
          <w:i/>
          <w:iCs/>
          <w:lang w:val="en-ZW"/>
        </w:rPr>
      </w:pPr>
      <w:r>
        <w:rPr>
          <w:rFonts w:ascii="Times New Roman" w:hAnsi="Times New Roman" w:cs="Times New Roman"/>
        </w:rPr>
        <w:lastRenderedPageBreak/>
        <w:t>“</w:t>
      </w:r>
      <w:r>
        <w:rPr>
          <w:rFonts w:ascii="Times New Roman" w:hAnsi="Times New Roman" w:cs="Times New Roman"/>
          <w:bCs/>
          <w:lang w:val="en-ZW"/>
        </w:rPr>
        <w:t xml:space="preserve">A waiver is defined by GUBBAY JA (as he then was) in </w:t>
      </w:r>
      <w:r>
        <w:rPr>
          <w:rFonts w:ascii="Times New Roman" w:hAnsi="Times New Roman" w:cs="Times New Roman"/>
          <w:bCs/>
          <w:i/>
          <w:iCs/>
          <w:lang w:val="en-ZW"/>
        </w:rPr>
        <w:t>Agricultural Finance Corpor</w:t>
      </w:r>
      <w:r>
        <w:rPr>
          <w:rFonts w:ascii="Times New Roman" w:hAnsi="Times New Roman" w:cs="Times New Roman"/>
          <w:bCs/>
          <w:i/>
          <w:iCs/>
          <w:lang w:val="en-ZW"/>
        </w:rPr>
        <w:t xml:space="preserve">ation </w:t>
      </w:r>
      <w:r>
        <w:rPr>
          <w:rFonts w:ascii="Times New Roman" w:hAnsi="Times New Roman" w:cs="Times New Roman"/>
          <w:bCs/>
          <w:lang w:val="en-ZW"/>
        </w:rPr>
        <w:t>v</w:t>
      </w:r>
      <w:r>
        <w:rPr>
          <w:rFonts w:ascii="Times New Roman" w:hAnsi="Times New Roman" w:cs="Times New Roman"/>
          <w:bCs/>
          <w:i/>
          <w:iCs/>
          <w:lang w:val="en-ZW"/>
        </w:rPr>
        <w:t xml:space="preserve"> Pocock</w:t>
      </w:r>
      <w:r>
        <w:rPr>
          <w:rFonts w:ascii="Times New Roman" w:hAnsi="Times New Roman" w:cs="Times New Roman"/>
          <w:bCs/>
          <w:lang w:val="en-ZW"/>
        </w:rPr>
        <w:t xml:space="preserve"> 1986 (2) ZLR 229 (S) at 236F as:</w:t>
      </w:r>
    </w:p>
    <w:p w:rsidR="00892594" w:rsidRDefault="00A90DE0">
      <w:pPr>
        <w:tabs>
          <w:tab w:val="left" w:pos="270"/>
        </w:tabs>
        <w:ind w:left="2160"/>
        <w:jc w:val="both"/>
        <w:rPr>
          <w:rFonts w:ascii="Times New Roman" w:hAnsi="Times New Roman" w:cs="Times New Roman"/>
          <w:iCs/>
          <w:sz w:val="20"/>
          <w:lang w:val="en-ZW"/>
        </w:rPr>
      </w:pPr>
      <w:r>
        <w:rPr>
          <w:rFonts w:ascii="Times New Roman" w:hAnsi="Times New Roman" w:cs="Times New Roman"/>
          <w:bCs/>
          <w:sz w:val="20"/>
          <w:lang w:val="en-ZW"/>
        </w:rPr>
        <w:t>“</w:t>
      </w:r>
      <w:r>
        <w:rPr>
          <w:rFonts w:ascii="Times New Roman" w:hAnsi="Times New Roman" w:cs="Times New Roman"/>
          <w:iCs/>
          <w:sz w:val="20"/>
          <w:lang w:val="en-ZW"/>
        </w:rPr>
        <w:t xml:space="preserve">an abandonment or surrender with the necessary knowledge of a right accruing exclusively for the benefit of the appellant” </w:t>
      </w:r>
    </w:p>
    <w:p w:rsidR="00892594" w:rsidRDefault="00A90DE0">
      <w:pPr>
        <w:tabs>
          <w:tab w:val="left" w:pos="270"/>
        </w:tabs>
        <w:ind w:left="1440"/>
        <w:jc w:val="both"/>
        <w:rPr>
          <w:rFonts w:ascii="Times New Roman" w:hAnsi="Times New Roman" w:cs="Times New Roman"/>
          <w:lang w:val="en-ZW"/>
        </w:rPr>
      </w:pPr>
      <w:r>
        <w:rPr>
          <w:rFonts w:ascii="Times New Roman" w:hAnsi="Times New Roman" w:cs="Times New Roman"/>
          <w:lang w:val="en-ZW"/>
        </w:rPr>
        <w:t xml:space="preserve">A waiver extinguishes a right and any concomitant obligation due to a party. In </w:t>
      </w:r>
      <w:r>
        <w:rPr>
          <w:rFonts w:ascii="Times New Roman" w:hAnsi="Times New Roman" w:cs="Times New Roman"/>
          <w:i/>
          <w:iCs/>
          <w:lang w:val="en-ZW"/>
        </w:rPr>
        <w:t xml:space="preserve">Mutual Life Insurance Co of New York </w:t>
      </w:r>
      <w:r>
        <w:rPr>
          <w:rFonts w:ascii="Times New Roman" w:hAnsi="Times New Roman" w:cs="Times New Roman"/>
          <w:lang w:val="en-ZW"/>
        </w:rPr>
        <w:t>v</w:t>
      </w:r>
      <w:r>
        <w:rPr>
          <w:rFonts w:ascii="Times New Roman" w:hAnsi="Times New Roman" w:cs="Times New Roman"/>
          <w:i/>
          <w:iCs/>
          <w:lang w:val="en-ZW"/>
        </w:rPr>
        <w:t xml:space="preserve"> Ingle</w:t>
      </w:r>
      <w:r>
        <w:rPr>
          <w:rFonts w:ascii="Times New Roman" w:hAnsi="Times New Roman" w:cs="Times New Roman"/>
          <w:lang w:val="en-ZW"/>
        </w:rPr>
        <w:t xml:space="preserve"> 1910 TPD 540, INNES CJ explained the legal position as follows at p 540:  </w:t>
      </w:r>
    </w:p>
    <w:p w:rsidR="00892594" w:rsidRDefault="00A90DE0">
      <w:pPr>
        <w:tabs>
          <w:tab w:val="left" w:pos="270"/>
        </w:tabs>
        <w:ind w:left="2160"/>
        <w:jc w:val="both"/>
        <w:rPr>
          <w:rFonts w:ascii="Times New Roman" w:hAnsi="Times New Roman" w:cs="Times New Roman"/>
          <w:sz w:val="20"/>
          <w:lang w:val="en-ZW"/>
        </w:rPr>
      </w:pPr>
      <w:r>
        <w:rPr>
          <w:rFonts w:ascii="Times New Roman" w:hAnsi="Times New Roman" w:cs="Times New Roman"/>
          <w:sz w:val="20"/>
          <w:lang w:val="en-ZW"/>
        </w:rPr>
        <w:t>"It seems to me that the mere intention, a mere mental resolution to waive a right not communicated to the other party cannot in law con</w:t>
      </w:r>
      <w:r>
        <w:rPr>
          <w:rFonts w:ascii="Times New Roman" w:hAnsi="Times New Roman" w:cs="Times New Roman"/>
          <w:sz w:val="20"/>
          <w:lang w:val="en-ZW"/>
        </w:rPr>
        <w:t>stitute a waiver or renunciation of the right by the person entitled to enforce it ... Until the intention to waive a right is communicated to the other party, or evidenced to him by some overt act, a change of mind is always possible and permissible. Othe</w:t>
      </w:r>
      <w:r>
        <w:rPr>
          <w:rFonts w:ascii="Times New Roman" w:hAnsi="Times New Roman" w:cs="Times New Roman"/>
          <w:sz w:val="20"/>
          <w:lang w:val="en-ZW"/>
        </w:rPr>
        <w:t>rwise a man might by an entry in his own diary, of an account of a casual conversation with a friend (quite unknown at the time to the party affected), find himself debarred from enforcing a right which on further reflection he was desirous of vindicating.</w:t>
      </w:r>
      <w:r>
        <w:rPr>
          <w:rFonts w:ascii="Times New Roman" w:hAnsi="Times New Roman" w:cs="Times New Roman"/>
          <w:sz w:val="20"/>
          <w:lang w:val="en-ZW"/>
        </w:rPr>
        <w:t xml:space="preserve"> After all, waiver is the renunciation of a right. When the intention to renounce is expressly communicated to the person affected, he is entitled to act upon it and the right is gone. When the renunciation, though not communicated, is evidenced by conduct</w:t>
      </w:r>
      <w:r>
        <w:rPr>
          <w:rFonts w:ascii="Times New Roman" w:hAnsi="Times New Roman" w:cs="Times New Roman"/>
          <w:sz w:val="20"/>
          <w:lang w:val="en-ZW"/>
        </w:rPr>
        <w:t xml:space="preserve"> inconsistent with the enforcement of the right, or clearly showing an intention to surrender it, then also the intention may be acted upon, and the right perishes. But a mere mental resolve, not so evidenced, and not communicated to the other party, but d</w:t>
      </w:r>
      <w:r>
        <w:rPr>
          <w:rFonts w:ascii="Times New Roman" w:hAnsi="Times New Roman" w:cs="Times New Roman"/>
          <w:sz w:val="20"/>
          <w:lang w:val="en-ZW"/>
        </w:rPr>
        <w:t>iscovered by him afterwards, seems to me, (apart from considerations founded upon lapse of time) to have no effect upon the legal position of a person making the resolve" (my emphasis)</w:t>
      </w:r>
    </w:p>
    <w:p w:rsidR="00892594" w:rsidRDefault="00A90DE0">
      <w:pPr>
        <w:spacing w:after="0" w:line="480" w:lineRule="auto"/>
        <w:ind w:left="720" w:firstLine="720"/>
        <w:jc w:val="both"/>
        <w:rPr>
          <w:rFonts w:ascii="Times New Roman" w:hAnsi="Times New Roman" w:cs="Times New Roman"/>
        </w:rPr>
      </w:pPr>
      <w:r>
        <w:rPr>
          <w:rFonts w:ascii="Times New Roman" w:hAnsi="Times New Roman" w:cs="Times New Roman"/>
        </w:rPr>
        <w:t>And at p 551, the learned CHIEF JUSTICE further affirmed that:</w:t>
      </w:r>
    </w:p>
    <w:p w:rsidR="00892594" w:rsidRDefault="00A90DE0">
      <w:pPr>
        <w:spacing w:after="0" w:line="240" w:lineRule="auto"/>
        <w:ind w:left="2160"/>
        <w:jc w:val="both"/>
        <w:rPr>
          <w:rFonts w:ascii="Times New Roman" w:hAnsi="Times New Roman" w:cs="Times New Roman"/>
          <w:sz w:val="20"/>
        </w:rPr>
      </w:pPr>
      <w:r>
        <w:rPr>
          <w:rFonts w:ascii="Times New Roman" w:hAnsi="Times New Roman" w:cs="Times New Roman"/>
          <w:sz w:val="20"/>
        </w:rPr>
        <w:t xml:space="preserve">“When a </w:t>
      </w:r>
      <w:r>
        <w:rPr>
          <w:rFonts w:ascii="Times New Roman" w:hAnsi="Times New Roman" w:cs="Times New Roman"/>
          <w:sz w:val="20"/>
        </w:rPr>
        <w:t>person entitled to a right knows that it is being infringed and by his acquiescence leads the person infringing it to think that he has abandoned it, then he would under certain circumstances be debarred from asserting it.”</w:t>
      </w:r>
    </w:p>
    <w:p w:rsidR="00892594" w:rsidRDefault="00892594">
      <w:pPr>
        <w:tabs>
          <w:tab w:val="left" w:pos="270"/>
        </w:tabs>
        <w:ind w:left="720"/>
        <w:jc w:val="both"/>
        <w:rPr>
          <w:rFonts w:ascii="Times New Roman" w:hAnsi="Times New Roman" w:cs="Times New Roman"/>
          <w:sz w:val="20"/>
          <w:lang w:val="en-ZW"/>
        </w:rPr>
      </w:pP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overriding requirement for a waiver is that there ought to be surrender or abandonment coupled with knowledge of the right. In </w:t>
      </w:r>
      <w:r>
        <w:rPr>
          <w:rFonts w:ascii="Times New Roman" w:hAnsi="Times New Roman" w:cs="Times New Roman"/>
          <w:i/>
          <w:iCs/>
          <w:sz w:val="24"/>
          <w:szCs w:val="24"/>
        </w:rPr>
        <w:t>Chidziva &amp; Ors</w:t>
      </w:r>
      <w:r>
        <w:rPr>
          <w:rFonts w:ascii="Times New Roman" w:hAnsi="Times New Roman" w:cs="Times New Roman"/>
          <w:sz w:val="24"/>
          <w:szCs w:val="24"/>
        </w:rPr>
        <w:t xml:space="preserve"> v </w:t>
      </w:r>
      <w:r>
        <w:rPr>
          <w:rFonts w:ascii="Times New Roman" w:hAnsi="Times New Roman" w:cs="Times New Roman"/>
          <w:i/>
          <w:iCs/>
          <w:sz w:val="24"/>
          <w:szCs w:val="24"/>
        </w:rPr>
        <w:t>Zimbabwe Iron &amp; Steel Co L</w:t>
      </w:r>
      <w:r>
        <w:rPr>
          <w:rFonts w:ascii="Times New Roman" w:hAnsi="Times New Roman" w:cs="Times New Roman"/>
          <w:i/>
          <w:iCs/>
          <w:sz w:val="24"/>
          <w:szCs w:val="24"/>
        </w:rPr>
        <w:t>imi</w:t>
      </w:r>
      <w:r>
        <w:rPr>
          <w:rFonts w:ascii="Times New Roman" w:hAnsi="Times New Roman" w:cs="Times New Roman"/>
          <w:i/>
          <w:iCs/>
          <w:sz w:val="24"/>
          <w:szCs w:val="24"/>
        </w:rPr>
        <w:t>t</w:t>
      </w:r>
      <w:r>
        <w:rPr>
          <w:rFonts w:ascii="Times New Roman" w:hAnsi="Times New Roman" w:cs="Times New Roman"/>
          <w:i/>
          <w:iCs/>
          <w:sz w:val="24"/>
          <w:szCs w:val="24"/>
        </w:rPr>
        <w:t>e</w:t>
      </w:r>
      <w:r>
        <w:rPr>
          <w:rFonts w:ascii="Times New Roman" w:hAnsi="Times New Roman" w:cs="Times New Roman"/>
          <w:i/>
          <w:iCs/>
          <w:sz w:val="24"/>
          <w:szCs w:val="24"/>
        </w:rPr>
        <w:t>d</w:t>
      </w:r>
      <w:r>
        <w:rPr>
          <w:rFonts w:ascii="Times New Roman" w:hAnsi="Times New Roman" w:cs="Times New Roman"/>
          <w:sz w:val="24"/>
          <w:szCs w:val="24"/>
        </w:rPr>
        <w:t xml:space="preserve"> 1997 (2) ZLR 368 (S), at p.379, it was held that: </w:t>
      </w:r>
    </w:p>
    <w:p w:rsidR="00892594" w:rsidRDefault="00A90DE0">
      <w:pPr>
        <w:pStyle w:val="ListParagraph"/>
        <w:tabs>
          <w:tab w:val="left" w:pos="270"/>
        </w:tabs>
        <w:spacing w:line="360" w:lineRule="auto"/>
        <w:ind w:left="1440"/>
        <w:jc w:val="both"/>
        <w:rPr>
          <w:rFonts w:ascii="Times New Roman" w:hAnsi="Times New Roman" w:cs="Times New Roman"/>
        </w:rPr>
      </w:pPr>
      <w:r>
        <w:rPr>
          <w:rFonts w:ascii="Times New Roman" w:hAnsi="Times New Roman" w:cs="Times New Roman"/>
        </w:rPr>
        <w:t>“In the present case, no</w:t>
      </w:r>
      <w:r>
        <w:rPr>
          <w:rFonts w:ascii="Times New Roman" w:hAnsi="Times New Roman" w:cs="Times New Roman"/>
        </w:rPr>
        <w:t xml:space="preserve"> real attempt was made to show that the appellants abandoned their rights with full knowledge of those rights</w:t>
      </w:r>
      <w:r>
        <w:rPr>
          <w:rFonts w:ascii="Times New Roman" w:hAnsi="Times New Roman" w:cs="Times New Roman"/>
          <w:u w:val="single"/>
        </w:rPr>
        <w:t xml:space="preserve">. All that was submitted was that the appellants accepted the retrenchment packages. The respondent should have gone further to show that they did </w:t>
      </w:r>
      <w:r>
        <w:rPr>
          <w:rFonts w:ascii="Times New Roman" w:hAnsi="Times New Roman" w:cs="Times New Roman"/>
          <w:u w:val="single"/>
        </w:rPr>
        <w:t>this with full knowledge that they were abandoning their rights.</w:t>
      </w:r>
      <w:r>
        <w:rPr>
          <w:rFonts w:ascii="Times New Roman" w:hAnsi="Times New Roman" w:cs="Times New Roman"/>
        </w:rPr>
        <w:t xml:space="preserve"> On this, I also cite with approval the passages at p 489 of Christie‘s above cited book where the learned author said:</w:t>
      </w:r>
    </w:p>
    <w:p w:rsidR="00892594" w:rsidRDefault="00A90DE0">
      <w:pPr>
        <w:pStyle w:val="ListParagraph"/>
        <w:tabs>
          <w:tab w:val="left" w:pos="270"/>
        </w:tabs>
        <w:spacing w:line="360" w:lineRule="auto"/>
        <w:ind w:left="2160"/>
        <w:jc w:val="both"/>
        <w:rPr>
          <w:rFonts w:ascii="Times New Roman" w:hAnsi="Times New Roman" w:cs="Times New Roman"/>
          <w:sz w:val="20"/>
        </w:rPr>
      </w:pPr>
      <w:r>
        <w:rPr>
          <w:rFonts w:ascii="Times New Roman" w:hAnsi="Times New Roman" w:cs="Times New Roman"/>
          <w:sz w:val="20"/>
        </w:rPr>
        <w:t>“… there is ample other authority that it must be clearly proved that th</w:t>
      </w:r>
      <w:r>
        <w:rPr>
          <w:rFonts w:ascii="Times New Roman" w:hAnsi="Times New Roman" w:cs="Times New Roman"/>
          <w:sz w:val="20"/>
        </w:rPr>
        <w:t xml:space="preserve">e person who is alleged to have waived his rights knew what those rights were. </w:t>
      </w:r>
      <w:r>
        <w:rPr>
          <w:rFonts w:ascii="Times New Roman" w:hAnsi="Times New Roman" w:cs="Times New Roman"/>
          <w:sz w:val="20"/>
          <w:u w:val="single"/>
        </w:rPr>
        <w:t xml:space="preserve">A party who fails to prove </w:t>
      </w:r>
      <w:r>
        <w:rPr>
          <w:rFonts w:ascii="Times New Roman" w:hAnsi="Times New Roman" w:cs="Times New Roman"/>
          <w:sz w:val="20"/>
          <w:u w:val="single"/>
        </w:rPr>
        <w:lastRenderedPageBreak/>
        <w:t>this necessary ingredient of waiver may still be able to raise the defence of estoppel against any attempt to enforce the rights in question.</w:t>
      </w:r>
      <w:r>
        <w:rPr>
          <w:rFonts w:ascii="Times New Roman" w:hAnsi="Times New Roman" w:cs="Times New Roman"/>
          <w:sz w:val="20"/>
        </w:rPr>
        <w:t xml:space="preserve"> When it </w:t>
      </w:r>
      <w:r>
        <w:rPr>
          <w:rFonts w:ascii="Times New Roman" w:hAnsi="Times New Roman" w:cs="Times New Roman"/>
          <w:sz w:val="20"/>
        </w:rPr>
        <w:t xml:space="preserve">cannot be proved that the party alleged to have waived knew what his rights were it may appear that his ignorance is properly classified as ignorance of law. It can now be regarded as settled, despite van den Heever J‘s decision to the contrary in </w:t>
      </w:r>
      <w:r>
        <w:rPr>
          <w:rFonts w:ascii="Times New Roman" w:hAnsi="Times New Roman" w:cs="Times New Roman"/>
          <w:i/>
          <w:iCs/>
          <w:sz w:val="20"/>
        </w:rPr>
        <w:t>Schwarze</w:t>
      </w:r>
      <w:r>
        <w:rPr>
          <w:rFonts w:ascii="Times New Roman" w:hAnsi="Times New Roman" w:cs="Times New Roman"/>
          <w:i/>
          <w:iCs/>
          <w:sz w:val="20"/>
        </w:rPr>
        <w:t xml:space="preserve">r </w:t>
      </w:r>
      <w:r>
        <w:rPr>
          <w:rFonts w:ascii="Times New Roman" w:hAnsi="Times New Roman" w:cs="Times New Roman"/>
          <w:sz w:val="20"/>
        </w:rPr>
        <w:t xml:space="preserve">v </w:t>
      </w:r>
      <w:r>
        <w:rPr>
          <w:rFonts w:ascii="Times New Roman" w:hAnsi="Times New Roman" w:cs="Times New Roman"/>
          <w:i/>
          <w:iCs/>
          <w:sz w:val="20"/>
        </w:rPr>
        <w:t>John Roderick Motors (P</w:t>
      </w:r>
      <w:r>
        <w:rPr>
          <w:rFonts w:ascii="Times New Roman" w:hAnsi="Times New Roman" w:cs="Times New Roman"/>
          <w:i/>
          <w:iCs/>
          <w:sz w:val="20"/>
        </w:rPr>
        <w:t>riva</w:t>
      </w:r>
      <w:r>
        <w:rPr>
          <w:rFonts w:ascii="Times New Roman" w:hAnsi="Times New Roman" w:cs="Times New Roman"/>
          <w:i/>
          <w:iCs/>
          <w:sz w:val="20"/>
        </w:rPr>
        <w:t>t</w:t>
      </w:r>
      <w:r>
        <w:rPr>
          <w:rFonts w:ascii="Times New Roman" w:hAnsi="Times New Roman" w:cs="Times New Roman"/>
          <w:i/>
          <w:iCs/>
          <w:sz w:val="20"/>
        </w:rPr>
        <w:t>e</w:t>
      </w:r>
      <w:r>
        <w:rPr>
          <w:rFonts w:ascii="Times New Roman" w:hAnsi="Times New Roman" w:cs="Times New Roman"/>
          <w:i/>
          <w:iCs/>
          <w:sz w:val="20"/>
        </w:rPr>
        <w:t>) L</w:t>
      </w:r>
      <w:r>
        <w:rPr>
          <w:rFonts w:ascii="Times New Roman" w:hAnsi="Times New Roman" w:cs="Times New Roman"/>
          <w:i/>
          <w:iCs/>
          <w:sz w:val="20"/>
        </w:rPr>
        <w:t>imi</w:t>
      </w:r>
      <w:r>
        <w:rPr>
          <w:rFonts w:ascii="Times New Roman" w:hAnsi="Times New Roman" w:cs="Times New Roman"/>
          <w:i/>
          <w:iCs/>
          <w:sz w:val="20"/>
        </w:rPr>
        <w:t>t</w:t>
      </w:r>
      <w:r>
        <w:rPr>
          <w:rFonts w:ascii="Times New Roman" w:hAnsi="Times New Roman" w:cs="Times New Roman"/>
          <w:i/>
          <w:iCs/>
          <w:sz w:val="20"/>
        </w:rPr>
        <w:t>e</w:t>
      </w:r>
      <w:r>
        <w:rPr>
          <w:rFonts w:ascii="Times New Roman" w:hAnsi="Times New Roman" w:cs="Times New Roman"/>
          <w:i/>
          <w:iCs/>
          <w:sz w:val="20"/>
        </w:rPr>
        <w:t>d</w:t>
      </w:r>
      <w:r>
        <w:rPr>
          <w:rFonts w:ascii="Times New Roman" w:hAnsi="Times New Roman" w:cs="Times New Roman"/>
          <w:sz w:val="20"/>
        </w:rPr>
        <w:t xml:space="preserve"> 1940 OPD 170 at 185 that in this connection ignorance of the law is excusable provided it is </w:t>
      </w:r>
      <w:r>
        <w:rPr>
          <w:rFonts w:ascii="Times New Roman" w:hAnsi="Times New Roman" w:cs="Times New Roman"/>
          <w:i/>
          <w:iCs/>
          <w:sz w:val="20"/>
        </w:rPr>
        <w:t>iustus et probabilis</w:t>
      </w:r>
      <w:r>
        <w:rPr>
          <w:rFonts w:ascii="Times New Roman" w:hAnsi="Times New Roman" w:cs="Times New Roman"/>
          <w:sz w:val="20"/>
        </w:rPr>
        <w:t xml:space="preserve">‘ — justifiable and probable. This is especially so since </w:t>
      </w:r>
      <w:r>
        <w:rPr>
          <w:rFonts w:ascii="Times New Roman" w:hAnsi="Times New Roman" w:cs="Times New Roman"/>
          <w:i/>
          <w:iCs/>
          <w:sz w:val="20"/>
        </w:rPr>
        <w:t>Willis Faber Enthoven (P</w:t>
      </w:r>
      <w:r>
        <w:rPr>
          <w:rFonts w:ascii="Times New Roman" w:hAnsi="Times New Roman" w:cs="Times New Roman"/>
          <w:i/>
          <w:iCs/>
          <w:sz w:val="20"/>
        </w:rPr>
        <w:t>rivate</w:t>
      </w:r>
      <w:r>
        <w:rPr>
          <w:rFonts w:ascii="Times New Roman" w:hAnsi="Times New Roman" w:cs="Times New Roman"/>
          <w:i/>
          <w:iCs/>
          <w:sz w:val="20"/>
        </w:rPr>
        <w:t>) L</w:t>
      </w:r>
      <w:r>
        <w:rPr>
          <w:rFonts w:ascii="Times New Roman" w:hAnsi="Times New Roman" w:cs="Times New Roman"/>
          <w:i/>
          <w:iCs/>
          <w:sz w:val="20"/>
        </w:rPr>
        <w:t>imi</w:t>
      </w:r>
      <w:r>
        <w:rPr>
          <w:rFonts w:ascii="Times New Roman" w:hAnsi="Times New Roman" w:cs="Times New Roman"/>
          <w:i/>
          <w:iCs/>
          <w:sz w:val="20"/>
        </w:rPr>
        <w:t>t</w:t>
      </w:r>
      <w:r>
        <w:rPr>
          <w:rFonts w:ascii="Times New Roman" w:hAnsi="Times New Roman" w:cs="Times New Roman"/>
          <w:i/>
          <w:iCs/>
          <w:sz w:val="20"/>
        </w:rPr>
        <w:t>e</w:t>
      </w:r>
      <w:r>
        <w:rPr>
          <w:rFonts w:ascii="Times New Roman" w:hAnsi="Times New Roman" w:cs="Times New Roman"/>
          <w:i/>
          <w:iCs/>
          <w:sz w:val="20"/>
        </w:rPr>
        <w:t>d</w:t>
      </w:r>
      <w:r>
        <w:rPr>
          <w:rFonts w:ascii="Times New Roman" w:hAnsi="Times New Roman" w:cs="Times New Roman"/>
          <w:sz w:val="20"/>
        </w:rPr>
        <w:t xml:space="preserve"> v </w:t>
      </w:r>
      <w:r>
        <w:rPr>
          <w:rFonts w:ascii="Times New Roman" w:hAnsi="Times New Roman" w:cs="Times New Roman"/>
          <w:i/>
          <w:iCs/>
          <w:sz w:val="20"/>
        </w:rPr>
        <w:t>Receiver of Revenue</w:t>
      </w:r>
      <w:r>
        <w:rPr>
          <w:rFonts w:ascii="Times New Roman" w:hAnsi="Times New Roman" w:cs="Times New Roman"/>
          <w:sz w:val="20"/>
        </w:rPr>
        <w:t xml:space="preserve"> 1992 (4) SA 202 (A) which equates mistake of fact and mistake of law for purposes of the </w:t>
      </w:r>
      <w:r>
        <w:rPr>
          <w:rFonts w:ascii="Times New Roman" w:hAnsi="Times New Roman" w:cs="Times New Roman"/>
          <w:i/>
          <w:iCs/>
          <w:sz w:val="20"/>
        </w:rPr>
        <w:t>condicto indebiti</w:t>
      </w:r>
      <w:r>
        <w:rPr>
          <w:rFonts w:ascii="Times New Roman" w:hAnsi="Times New Roman" w:cs="Times New Roman"/>
          <w:sz w:val="20"/>
        </w:rPr>
        <w:t xml:space="preserve">. Murray J‘s words in Ex p Sussens 1941 TPD 15 at 20 may be taken as a correct statement of law: </w:t>
      </w:r>
    </w:p>
    <w:p w:rsidR="00892594" w:rsidRDefault="00A90DE0">
      <w:pPr>
        <w:pStyle w:val="ListParagraph"/>
        <w:tabs>
          <w:tab w:val="left" w:pos="270"/>
        </w:tabs>
        <w:spacing w:line="360" w:lineRule="auto"/>
        <w:ind w:left="2880"/>
        <w:jc w:val="both"/>
        <w:rPr>
          <w:rFonts w:ascii="Times New Roman" w:hAnsi="Times New Roman" w:cs="Times New Roman"/>
          <w:sz w:val="20"/>
          <w:szCs w:val="20"/>
        </w:rPr>
      </w:pPr>
      <w:r>
        <w:rPr>
          <w:rFonts w:ascii="Times New Roman" w:hAnsi="Times New Roman" w:cs="Times New Roman"/>
          <w:sz w:val="20"/>
          <w:szCs w:val="20"/>
        </w:rPr>
        <w:t xml:space="preserve">‘The necessity for a full knowledge of the law in the case of waiver follows from the principle that waiver is a form of contract, in which one party is taken deliberately to have surrendered his rights: there must therefore be proof of an intention as to </w:t>
      </w:r>
      <w:r>
        <w:rPr>
          <w:rFonts w:ascii="Times New Roman" w:hAnsi="Times New Roman" w:cs="Times New Roman"/>
          <w:sz w:val="20"/>
          <w:szCs w:val="20"/>
        </w:rPr>
        <w:t xml:space="preserve">surrender, which can only exist where there is knowledge both of the facts and the legal consequence thereof.’ </w:t>
      </w:r>
    </w:p>
    <w:p w:rsidR="00892594" w:rsidRDefault="00A90DE0">
      <w:pPr>
        <w:pStyle w:val="ListParagraph"/>
        <w:tabs>
          <w:tab w:val="left" w:pos="270"/>
        </w:tabs>
        <w:spacing w:line="360" w:lineRule="auto"/>
        <w:ind w:left="1440"/>
        <w:jc w:val="both"/>
        <w:rPr>
          <w:rFonts w:ascii="Times New Roman" w:hAnsi="Times New Roman" w:cs="Times New Roman"/>
        </w:rPr>
      </w:pPr>
      <w:r>
        <w:rPr>
          <w:rFonts w:ascii="Times New Roman" w:hAnsi="Times New Roman" w:cs="Times New Roman"/>
        </w:rPr>
        <w:t>The necessity to prove knowledge of the rights allegedly waived before it can be said that conduct in question amounts to waiver, applies equall</w:t>
      </w:r>
      <w:r>
        <w:rPr>
          <w:rFonts w:ascii="Times New Roman" w:hAnsi="Times New Roman" w:cs="Times New Roman"/>
        </w:rPr>
        <w:t xml:space="preserve">y to a case where the act of alleged waiver has been performed not by the party to the contract himself but by his agent </w:t>
      </w:r>
      <w:r>
        <w:rPr>
          <w:rFonts w:ascii="Times New Roman" w:hAnsi="Times New Roman" w:cs="Times New Roman"/>
          <w:i/>
          <w:iCs/>
        </w:rPr>
        <w:t>(Pretorius</w:t>
      </w:r>
      <w:r>
        <w:rPr>
          <w:rFonts w:ascii="Times New Roman" w:hAnsi="Times New Roman" w:cs="Times New Roman"/>
        </w:rPr>
        <w:t xml:space="preserve"> v </w:t>
      </w:r>
      <w:r>
        <w:rPr>
          <w:rFonts w:ascii="Times New Roman" w:hAnsi="Times New Roman" w:cs="Times New Roman"/>
          <w:i/>
          <w:iCs/>
        </w:rPr>
        <w:t>Greyling</w:t>
      </w:r>
      <w:r>
        <w:rPr>
          <w:rFonts w:ascii="Times New Roman" w:hAnsi="Times New Roman" w:cs="Times New Roman"/>
        </w:rPr>
        <w:t xml:space="preserve"> 1947 (1) SA 171 (W) at 177)” (my emphasis). </w:t>
      </w:r>
    </w:p>
    <w:p w:rsidR="00892594" w:rsidRDefault="00A90DE0">
      <w:pPr>
        <w:pStyle w:val="ListParagraph"/>
        <w:tabs>
          <w:tab w:val="left" w:pos="270"/>
        </w:tabs>
        <w:spacing w:line="360" w:lineRule="auto"/>
        <w:ind w:left="1440"/>
        <w:jc w:val="both"/>
        <w:rPr>
          <w:rFonts w:ascii="Times New Roman" w:hAnsi="Times New Roman" w:cs="Times New Roman"/>
        </w:rPr>
      </w:pPr>
      <w:r>
        <w:rPr>
          <w:rFonts w:ascii="Times New Roman" w:hAnsi="Times New Roman" w:cs="Times New Roman"/>
        </w:rPr>
        <w:t>It is, in my view, clear that when the appellants allegedly waived t</w:t>
      </w:r>
      <w:r>
        <w:rPr>
          <w:rFonts w:ascii="Times New Roman" w:hAnsi="Times New Roman" w:cs="Times New Roman"/>
        </w:rPr>
        <w:t>heir rights, they were not aware of the rights and the legal implications. It took the hearing and the decision of this court to identify and confirm the rights. Indeed, there was no argument to the contrary.”</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There is also ample authority to the effect th</w:t>
      </w:r>
      <w:r>
        <w:rPr>
          <w:rFonts w:ascii="Times New Roman" w:hAnsi="Times New Roman" w:cs="Times New Roman"/>
          <w:sz w:val="24"/>
          <w:szCs w:val="24"/>
        </w:rPr>
        <w:t xml:space="preserve">at waiver may be express or implied. However, where it is sought to establish implied waiver, clear proof is required to show that the conduct of the party against whom waiver is pleaded is plainly inconsistent with an intention to enforce it. The case of </w:t>
      </w:r>
      <w:r>
        <w:rPr>
          <w:rFonts w:ascii="Times New Roman" w:hAnsi="Times New Roman" w:cs="Times New Roman"/>
          <w:i/>
          <w:sz w:val="24"/>
          <w:szCs w:val="24"/>
        </w:rPr>
        <w:t>Laws</w:t>
      </w:r>
      <w:r>
        <w:rPr>
          <w:rFonts w:ascii="Times New Roman" w:hAnsi="Times New Roman" w:cs="Times New Roman"/>
          <w:sz w:val="24"/>
          <w:szCs w:val="24"/>
        </w:rPr>
        <w:t xml:space="preserve"> v</w:t>
      </w:r>
      <w:r>
        <w:rPr>
          <w:rFonts w:ascii="Times New Roman" w:hAnsi="Times New Roman" w:cs="Times New Roman"/>
          <w:i/>
          <w:sz w:val="24"/>
          <w:szCs w:val="24"/>
        </w:rPr>
        <w:t xml:space="preserve"> Rutherford</w:t>
      </w:r>
      <w:r>
        <w:rPr>
          <w:rFonts w:ascii="Times New Roman" w:hAnsi="Times New Roman" w:cs="Times New Roman"/>
          <w:sz w:val="24"/>
          <w:szCs w:val="24"/>
        </w:rPr>
        <w:t xml:space="preserve"> 1924 AD 261 has been followed in a long line of cases in our jurisdiction and establishes the legal position that waiver is a question of fact, depending on the circumstances.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Taking into account the rationale of the cited authorities an</w:t>
      </w:r>
      <w:r>
        <w:rPr>
          <w:rFonts w:ascii="Times New Roman" w:hAnsi="Times New Roman" w:cs="Times New Roman"/>
          <w:sz w:val="24"/>
          <w:szCs w:val="24"/>
        </w:rPr>
        <w:t>d the agreed facts between the parties, it is emphatic that the plaintiff did not waive its right to the repayment of $41 616.79 in foreign currency. It is an admitted fact that the plaintiff is on record as consistently declining the two separate payments</w:t>
      </w:r>
      <w:r>
        <w:rPr>
          <w:rFonts w:ascii="Times New Roman" w:hAnsi="Times New Roman" w:cs="Times New Roman"/>
          <w:sz w:val="24"/>
          <w:szCs w:val="24"/>
        </w:rPr>
        <w:t xml:space="preserve"> that were made by the defendant as repayment of $41 616.79 in local currency. It is well established that where reliance is </w:t>
      </w:r>
      <w:r>
        <w:rPr>
          <w:rFonts w:ascii="Times New Roman" w:hAnsi="Times New Roman" w:cs="Times New Roman"/>
          <w:sz w:val="24"/>
          <w:szCs w:val="24"/>
        </w:rPr>
        <w:lastRenderedPageBreak/>
        <w:t xml:space="preserve">made on implied waiver, the facts and circumstances relied on must be unequivocal in character. As held in the case of </w:t>
      </w:r>
      <w:r>
        <w:rPr>
          <w:rFonts w:ascii="Times New Roman" w:hAnsi="Times New Roman" w:cs="Times New Roman"/>
          <w:i/>
          <w:sz w:val="24"/>
          <w:szCs w:val="24"/>
        </w:rPr>
        <w:t>Barclays Ban</w:t>
      </w:r>
      <w:r>
        <w:rPr>
          <w:rFonts w:ascii="Times New Roman" w:hAnsi="Times New Roman" w:cs="Times New Roman"/>
          <w:i/>
          <w:sz w:val="24"/>
          <w:szCs w:val="24"/>
        </w:rPr>
        <w:t>k of Zimbabwe L</w:t>
      </w:r>
      <w:r>
        <w:rPr>
          <w:rFonts w:ascii="Times New Roman" w:hAnsi="Times New Roman" w:cs="Times New Roman"/>
          <w:i/>
          <w:sz w:val="24"/>
          <w:szCs w:val="24"/>
        </w:rPr>
        <w:t>imi</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 xml:space="preserve">d </w:t>
      </w:r>
      <w:r>
        <w:rPr>
          <w:rFonts w:ascii="Times New Roman" w:hAnsi="Times New Roman" w:cs="Times New Roman"/>
          <w:sz w:val="24"/>
          <w:szCs w:val="24"/>
        </w:rPr>
        <w:t xml:space="preserve">v </w:t>
      </w:r>
      <w:r>
        <w:rPr>
          <w:rFonts w:ascii="Times New Roman" w:hAnsi="Times New Roman" w:cs="Times New Roman"/>
          <w:i/>
          <w:sz w:val="24"/>
          <w:szCs w:val="24"/>
        </w:rPr>
        <w:t>Binga Products (P</w:t>
      </w:r>
      <w:r>
        <w:rPr>
          <w:rFonts w:ascii="Times New Roman" w:hAnsi="Times New Roman" w:cs="Times New Roman"/>
          <w:i/>
          <w:sz w:val="24"/>
          <w:szCs w:val="24"/>
        </w:rPr>
        <w:t>ri</w:t>
      </w:r>
      <w:r>
        <w:rPr>
          <w:rFonts w:ascii="Times New Roman" w:hAnsi="Times New Roman" w:cs="Times New Roman"/>
          <w:i/>
          <w:sz w:val="24"/>
          <w:szCs w:val="24"/>
        </w:rPr>
        <w:t>v</w:t>
      </w:r>
      <w:r>
        <w:rPr>
          <w:rFonts w:ascii="Times New Roman" w:hAnsi="Times New Roman" w:cs="Times New Roman"/>
          <w:i/>
          <w:sz w:val="24"/>
          <w:szCs w:val="24"/>
        </w:rPr>
        <w:t>a</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 (L</w:t>
      </w:r>
      <w:r>
        <w:rPr>
          <w:rFonts w:ascii="Times New Roman" w:hAnsi="Times New Roman" w:cs="Times New Roman"/>
          <w:i/>
          <w:sz w:val="24"/>
          <w:szCs w:val="24"/>
        </w:rPr>
        <w:t>imi</w:t>
      </w:r>
      <w:r>
        <w:rPr>
          <w:rFonts w:ascii="Times New Roman" w:hAnsi="Times New Roman" w:cs="Times New Roman"/>
          <w:i/>
          <w:sz w:val="24"/>
          <w:szCs w:val="24"/>
        </w:rPr>
        <w:t>t</w:t>
      </w:r>
      <w:r>
        <w:rPr>
          <w:rFonts w:ascii="Times New Roman" w:hAnsi="Times New Roman" w:cs="Times New Roman"/>
          <w:i/>
          <w:sz w:val="24"/>
          <w:szCs w:val="24"/>
        </w:rPr>
        <w:t>e</w:t>
      </w:r>
      <w:r>
        <w:rPr>
          <w:rFonts w:ascii="Times New Roman" w:hAnsi="Times New Roman" w:cs="Times New Roman"/>
          <w:i/>
          <w:sz w:val="24"/>
          <w:szCs w:val="24"/>
        </w:rPr>
        <w:t>d)</w:t>
      </w:r>
      <w:r>
        <w:rPr>
          <w:rFonts w:ascii="Times New Roman" w:hAnsi="Times New Roman" w:cs="Times New Roman"/>
          <w:sz w:val="24"/>
          <w:szCs w:val="24"/>
        </w:rPr>
        <w:t xml:space="preserve"> 1985 (3) SA 1041 (ZS), </w:t>
      </w:r>
      <w:r>
        <w:rPr>
          <w:rFonts w:ascii="Times New Roman" w:hAnsi="Times New Roman" w:cs="Times New Roman"/>
          <w:sz w:val="24"/>
          <w:szCs w:val="24"/>
          <w:lang w:val="en-ZW"/>
        </w:rPr>
        <w:t xml:space="preserve">the conduct must leave no reasonable doubt as to the intention of surrendering the right in issue. </w:t>
      </w:r>
      <w:r>
        <w:rPr>
          <w:rFonts w:ascii="Times New Roman" w:hAnsi="Times New Roman" w:cs="Times New Roman"/>
          <w:sz w:val="24"/>
          <w:szCs w:val="24"/>
        </w:rPr>
        <w:t xml:space="preserve"> This threshold has not been met in the present circumstances.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The defenda</w:t>
      </w:r>
      <w:r>
        <w:rPr>
          <w:rFonts w:ascii="Times New Roman" w:hAnsi="Times New Roman" w:cs="Times New Roman"/>
          <w:sz w:val="24"/>
          <w:szCs w:val="24"/>
        </w:rPr>
        <w:t>nt’s attempt to establish a tacit waiver in this regard is irreconcilable with the admission highlighted in the statement of agreed facts. In fact, s36 of the Civil Evidence Act [</w:t>
      </w:r>
      <w:r>
        <w:rPr>
          <w:rFonts w:ascii="Times New Roman" w:hAnsi="Times New Roman" w:cs="Times New Roman"/>
          <w:i/>
          <w:iCs/>
          <w:sz w:val="24"/>
          <w:szCs w:val="24"/>
        </w:rPr>
        <w:t>Chapter 8:01</w:t>
      </w:r>
      <w:r>
        <w:rPr>
          <w:rFonts w:ascii="Times New Roman" w:hAnsi="Times New Roman" w:cs="Times New Roman"/>
          <w:sz w:val="24"/>
          <w:szCs w:val="24"/>
        </w:rPr>
        <w:t xml:space="preserve">] becomes relevant as a </w:t>
      </w:r>
      <w:r>
        <w:rPr>
          <w:rFonts w:ascii="Times New Roman" w:hAnsi="Times New Roman"/>
          <w:sz w:val="24"/>
          <w:szCs w:val="24"/>
        </w:rPr>
        <w:t xml:space="preserve">party is not permitted to attempt to disprove admissions made.  </w:t>
      </w:r>
      <w:r>
        <w:rPr>
          <w:rFonts w:ascii="Times New Roman" w:hAnsi="Times New Roman" w:cs="Times New Roman"/>
          <w:sz w:val="24"/>
          <w:szCs w:val="24"/>
        </w:rPr>
        <w:t xml:space="preserve">As soon as the defendant attempted to repay the amount, the plaintiff was insistent on the satisfaction of the debt in the appropriate currency. </w:t>
      </w:r>
      <w:r>
        <w:rPr>
          <w:rFonts w:ascii="Times New Roman" w:hAnsi="Times New Roman"/>
          <w:sz w:val="24"/>
          <w:szCs w:val="24"/>
        </w:rPr>
        <w:t>The plaintiff cannot be taken to have either ex</w:t>
      </w:r>
      <w:r>
        <w:rPr>
          <w:rFonts w:ascii="Times New Roman" w:hAnsi="Times New Roman"/>
          <w:sz w:val="24"/>
          <w:szCs w:val="24"/>
        </w:rPr>
        <w:t xml:space="preserve">pressly or tacitly waived its right in respect of the outstanding </w:t>
      </w:r>
      <w:r>
        <w:rPr>
          <w:rFonts w:ascii="Times New Roman" w:hAnsi="Times New Roman" w:cs="Times New Roman"/>
          <w:sz w:val="24"/>
          <w:szCs w:val="24"/>
        </w:rPr>
        <w:t xml:space="preserve">$41 616.79.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However, the above position is distinguishable from the plaintiff’s conduct in relation to the initial repayment of ZWL$ </w:t>
      </w:r>
      <w:r>
        <w:rPr>
          <w:rFonts w:ascii="Times New Roman" w:hAnsi="Times New Roman" w:cs="Times New Roman"/>
          <w:sz w:val="24"/>
          <w:szCs w:val="24"/>
        </w:rPr>
        <w:t>5 876.38, by the respondent. The statement of agreed fa</w:t>
      </w:r>
      <w:r>
        <w:rPr>
          <w:rFonts w:ascii="Times New Roman" w:hAnsi="Times New Roman" w:cs="Times New Roman"/>
          <w:sz w:val="24"/>
          <w:szCs w:val="24"/>
        </w:rPr>
        <w:t xml:space="preserve">cts highlights that the sum was recovered as part payment of the debt by the defendant. As alluded to earlier, this payment was deducted from the capital sum of $ 47 593.17, and this was communicated to the defendant by the plaintiff.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Accordingly, the con</w:t>
      </w:r>
      <w:r>
        <w:rPr>
          <w:rFonts w:ascii="Times New Roman" w:hAnsi="Times New Roman" w:cs="Times New Roman"/>
          <w:sz w:val="24"/>
          <w:szCs w:val="24"/>
        </w:rPr>
        <w:t xml:space="preserve">duct by the plaintiff in this regard was indicative of the acceptance of the repayment of </w:t>
      </w:r>
      <w:r>
        <w:rPr>
          <w:rFonts w:ascii="Times New Roman" w:hAnsi="Times New Roman" w:cs="Times New Roman"/>
          <w:sz w:val="24"/>
          <w:szCs w:val="24"/>
          <w:lang w:val="en-ZW"/>
        </w:rPr>
        <w:t xml:space="preserve">$ </w:t>
      </w:r>
      <w:r>
        <w:rPr>
          <w:rFonts w:ascii="Times New Roman" w:hAnsi="Times New Roman" w:cs="Times New Roman"/>
          <w:sz w:val="24"/>
          <w:szCs w:val="24"/>
        </w:rPr>
        <w:t>5 876.38 in local currency. The plaintiff is evidently estopped from also claiming the repayment of the aforementioned amount in foreign currency. Such a state of a</w:t>
      </w:r>
      <w:r>
        <w:rPr>
          <w:rFonts w:ascii="Times New Roman" w:hAnsi="Times New Roman" w:cs="Times New Roman"/>
          <w:sz w:val="24"/>
          <w:szCs w:val="24"/>
        </w:rPr>
        <w:t xml:space="preserve">ffairs would be untenable and contrary to the settled position of the law.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can do no further than refer to the case of </w:t>
      </w:r>
      <w:r>
        <w:rPr>
          <w:rFonts w:ascii="Times New Roman" w:hAnsi="Times New Roman" w:cs="Times New Roman"/>
          <w:bCs/>
          <w:i/>
          <w:iCs/>
          <w:sz w:val="24"/>
          <w:szCs w:val="24"/>
          <w:lang w:val="en-ZW"/>
        </w:rPr>
        <w:t>Mashoko (in her capacity as the executrix dative in the estate of the late Albert Machengete Mashoko and Trustee of the Mashoko – Kusi</w:t>
      </w:r>
      <w:r>
        <w:rPr>
          <w:rFonts w:ascii="Times New Roman" w:hAnsi="Times New Roman" w:cs="Times New Roman"/>
          <w:bCs/>
          <w:i/>
          <w:iCs/>
          <w:sz w:val="24"/>
          <w:szCs w:val="24"/>
          <w:lang w:val="en-ZW"/>
        </w:rPr>
        <w:t>sa Family Trust) &amp; Ors</w:t>
      </w:r>
      <w:r>
        <w:rPr>
          <w:rFonts w:ascii="Times New Roman" w:hAnsi="Times New Roman" w:cs="Times New Roman"/>
          <w:bCs/>
          <w:sz w:val="24"/>
          <w:szCs w:val="24"/>
          <w:lang w:val="en-ZW"/>
        </w:rPr>
        <w:t xml:space="preserve"> v </w:t>
      </w:r>
      <w:r>
        <w:rPr>
          <w:rFonts w:ascii="Times New Roman" w:hAnsi="Times New Roman" w:cs="Times New Roman"/>
          <w:i/>
          <w:iCs/>
          <w:sz w:val="24"/>
          <w:szCs w:val="24"/>
          <w:lang w:val="en-ZW"/>
        </w:rPr>
        <w:t xml:space="preserve">Mashoko (duly assisted by her guardian Barbara Maonde-Chikosi) &amp; Ors </w:t>
      </w:r>
      <w:r>
        <w:rPr>
          <w:rFonts w:ascii="Times New Roman" w:hAnsi="Times New Roman" w:cs="Times New Roman"/>
          <w:sz w:val="24"/>
          <w:szCs w:val="24"/>
          <w:lang w:val="en-ZW"/>
        </w:rPr>
        <w:t>SC 114-22 at p.10</w:t>
      </w:r>
      <w:r>
        <w:rPr>
          <w:rFonts w:ascii="Times New Roman" w:hAnsi="Times New Roman" w:cs="Times New Roman"/>
          <w:b/>
          <w:bCs/>
          <w:sz w:val="24"/>
          <w:szCs w:val="24"/>
          <w:lang w:val="en-ZW"/>
        </w:rPr>
        <w:t xml:space="preserve">, </w:t>
      </w:r>
      <w:r>
        <w:rPr>
          <w:rFonts w:ascii="Times New Roman" w:hAnsi="Times New Roman" w:cs="Times New Roman"/>
          <w:sz w:val="24"/>
          <w:szCs w:val="24"/>
          <w:lang w:val="en-ZW"/>
        </w:rPr>
        <w:t>where it was held that:</w:t>
      </w:r>
    </w:p>
    <w:p w:rsidR="00892594" w:rsidRDefault="00A90DE0">
      <w:pPr>
        <w:pStyle w:val="ListParagraph"/>
        <w:tabs>
          <w:tab w:val="left" w:pos="270"/>
        </w:tabs>
        <w:ind w:left="1440"/>
        <w:jc w:val="both"/>
        <w:rPr>
          <w:rFonts w:ascii="Times New Roman" w:hAnsi="Times New Roman" w:cs="Times New Roman"/>
        </w:rPr>
      </w:pPr>
      <w:r>
        <w:rPr>
          <w:rFonts w:ascii="Times New Roman" w:hAnsi="Times New Roman" w:cs="Times New Roman"/>
          <w:lang w:val="en-ZW"/>
        </w:rPr>
        <w:t>“</w:t>
      </w:r>
      <w:r>
        <w:rPr>
          <w:rFonts w:ascii="Times New Roman" w:hAnsi="Times New Roman" w:cs="Times New Roman"/>
        </w:rPr>
        <w:t xml:space="preserve">It is settled in this jurisdiction that a party is not allowed to approbate and reprobate a step in the proceedings.  </w:t>
      </w:r>
      <w:r>
        <w:rPr>
          <w:rFonts w:ascii="Times New Roman" w:hAnsi="Times New Roman" w:cs="Times New Roman"/>
        </w:rPr>
        <w:t xml:space="preserve">In other words, our law does not allow a party to have his or her cake and eat it at the same time.  The basis of the doctrine is the principle that no person can be allowed to take up two positions which are inconsistent with one another, or to blow both </w:t>
      </w:r>
      <w:r>
        <w:rPr>
          <w:rFonts w:ascii="Times New Roman" w:hAnsi="Times New Roman" w:cs="Times New Roman"/>
        </w:rPr>
        <w:t xml:space="preserve">hot and cold.  See </w:t>
      </w:r>
      <w:r>
        <w:rPr>
          <w:rFonts w:ascii="Times New Roman" w:hAnsi="Times New Roman" w:cs="Times New Roman"/>
          <w:i/>
        </w:rPr>
        <w:t xml:space="preserve">Hlatswayo </w:t>
      </w:r>
      <w:r>
        <w:rPr>
          <w:rFonts w:ascii="Times New Roman" w:hAnsi="Times New Roman" w:cs="Times New Roman"/>
          <w:iCs/>
        </w:rPr>
        <w:t>v</w:t>
      </w:r>
      <w:r>
        <w:rPr>
          <w:rFonts w:ascii="Times New Roman" w:hAnsi="Times New Roman" w:cs="Times New Roman"/>
          <w:i/>
        </w:rPr>
        <w:t xml:space="preserve"> Mare &amp; Deas</w:t>
      </w:r>
      <w:r>
        <w:rPr>
          <w:rFonts w:ascii="Times New Roman" w:hAnsi="Times New Roman" w:cs="Times New Roman"/>
        </w:rPr>
        <w:t xml:space="preserve"> 1912 AD 242 at 259.</w:t>
      </w:r>
    </w:p>
    <w:p w:rsidR="00892594" w:rsidRDefault="00892594">
      <w:pPr>
        <w:pStyle w:val="ListParagraph"/>
        <w:tabs>
          <w:tab w:val="left" w:pos="270"/>
        </w:tabs>
        <w:ind w:left="1440"/>
        <w:jc w:val="both"/>
        <w:rPr>
          <w:rFonts w:ascii="Times New Roman" w:hAnsi="Times New Roman" w:cs="Times New Roman"/>
        </w:rPr>
      </w:pPr>
    </w:p>
    <w:p w:rsidR="00892594" w:rsidRDefault="00A90DE0">
      <w:pPr>
        <w:pStyle w:val="ListParagraph"/>
        <w:tabs>
          <w:tab w:val="left" w:pos="270"/>
        </w:tabs>
        <w:ind w:left="1440"/>
        <w:jc w:val="both"/>
        <w:rPr>
          <w:rFonts w:ascii="Times New Roman" w:hAnsi="Times New Roman" w:cs="Times New Roman"/>
        </w:rPr>
      </w:pPr>
      <w:r>
        <w:rPr>
          <w:rFonts w:ascii="Times New Roman" w:hAnsi="Times New Roman" w:cs="Times New Roman"/>
        </w:rPr>
        <w:t xml:space="preserve">In our jurisdiction the position was expressed emphatically in </w:t>
      </w:r>
      <w:r>
        <w:rPr>
          <w:rFonts w:ascii="Times New Roman" w:hAnsi="Times New Roman" w:cs="Times New Roman"/>
          <w:i/>
        </w:rPr>
        <w:t xml:space="preserve">S </w:t>
      </w:r>
      <w:r>
        <w:rPr>
          <w:rFonts w:ascii="Times New Roman" w:hAnsi="Times New Roman" w:cs="Times New Roman"/>
          <w:iCs/>
        </w:rPr>
        <w:t>v</w:t>
      </w:r>
      <w:r>
        <w:rPr>
          <w:rFonts w:ascii="Times New Roman" w:hAnsi="Times New Roman" w:cs="Times New Roman"/>
          <w:i/>
        </w:rPr>
        <w:t xml:space="preserve"> Marutsi </w:t>
      </w:r>
      <w:r>
        <w:rPr>
          <w:rFonts w:ascii="Times New Roman" w:hAnsi="Times New Roman" w:cs="Times New Roman"/>
        </w:rPr>
        <w:t>1990 (2) ZLR 370 at 374 B that:</w:t>
      </w:r>
    </w:p>
    <w:p w:rsidR="00892594" w:rsidRDefault="00A90DE0">
      <w:pPr>
        <w:pStyle w:val="ListParagraph"/>
        <w:tabs>
          <w:tab w:val="left" w:pos="270"/>
        </w:tabs>
        <w:ind w:left="1440"/>
        <w:jc w:val="both"/>
        <w:rPr>
          <w:rFonts w:ascii="Times New Roman" w:hAnsi="Times New Roman" w:cs="Times New Roman"/>
        </w:rPr>
      </w:pPr>
      <w:r>
        <w:rPr>
          <w:rFonts w:ascii="Times New Roman" w:hAnsi="Times New Roman" w:cs="Times New Roman"/>
          <w:sz w:val="20"/>
          <w:szCs w:val="20"/>
        </w:rPr>
        <w:lastRenderedPageBreak/>
        <w:t xml:space="preserve">“It is trite that a litigant cannot be allowed to approbate and reprobate a step </w:t>
      </w:r>
      <w:r>
        <w:rPr>
          <w:rFonts w:ascii="Times New Roman" w:hAnsi="Times New Roman" w:cs="Times New Roman"/>
          <w:sz w:val="20"/>
          <w:szCs w:val="20"/>
        </w:rPr>
        <w:t>taken in the proceedings.  He can only do one or the other, not both</w:t>
      </w:r>
      <w:r>
        <w:rPr>
          <w:rFonts w:ascii="Times New Roman" w:hAnsi="Times New Roman" w:cs="Times New Roman"/>
        </w:rPr>
        <w:t>.”</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the present matter, the plaintiff cannot approbate and reprobate in relation to the repayment of the initial $ </w:t>
      </w:r>
      <w:r>
        <w:rPr>
          <w:rFonts w:ascii="Times New Roman" w:hAnsi="Times New Roman" w:cs="Times New Roman"/>
          <w:sz w:val="24"/>
          <w:szCs w:val="24"/>
        </w:rPr>
        <w:t xml:space="preserve">5 876.38 in local currency. The amount was duly deducted from the </w:t>
      </w:r>
      <w:r>
        <w:rPr>
          <w:rFonts w:ascii="Times New Roman" w:hAnsi="Times New Roman" w:cs="Times New Roman"/>
          <w:sz w:val="24"/>
          <w:szCs w:val="24"/>
        </w:rPr>
        <w:t>capital sum and cannot be repaid in foreign currency again due to the plaintiff’s initial acceptance of the same.</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 xml:space="preserve">For completeness, I must also add that the case of </w:t>
      </w:r>
      <w:r>
        <w:rPr>
          <w:rFonts w:ascii="Times New Roman" w:hAnsi="Times New Roman" w:cs="Times New Roman"/>
          <w:i/>
          <w:sz w:val="24"/>
          <w:szCs w:val="24"/>
        </w:rPr>
        <w:t xml:space="preserve">Charariza </w:t>
      </w:r>
      <w:r>
        <w:rPr>
          <w:rFonts w:ascii="Times New Roman" w:hAnsi="Times New Roman" w:cs="Times New Roman"/>
          <w:sz w:val="24"/>
          <w:szCs w:val="24"/>
        </w:rPr>
        <w:t>v</w:t>
      </w:r>
      <w:r>
        <w:rPr>
          <w:rFonts w:ascii="Times New Roman" w:hAnsi="Times New Roman" w:cs="Times New Roman"/>
          <w:i/>
          <w:sz w:val="24"/>
          <w:szCs w:val="24"/>
        </w:rPr>
        <w:t xml:space="preserve"> Matipano</w:t>
      </w:r>
      <w:r>
        <w:rPr>
          <w:rFonts w:ascii="Times New Roman" w:hAnsi="Times New Roman" w:cs="Times New Roman"/>
          <w:sz w:val="24"/>
          <w:szCs w:val="24"/>
        </w:rPr>
        <w:t xml:space="preserve"> HH531-22 cited by the defendant is not applicable in </w:t>
      </w:r>
      <w:r>
        <w:rPr>
          <w:rFonts w:ascii="Times New Roman" w:hAnsi="Times New Roman" w:cs="Times New Roman"/>
          <w:i/>
          <w:sz w:val="24"/>
          <w:szCs w:val="24"/>
        </w:rPr>
        <w:t xml:space="preserve">casu </w:t>
      </w:r>
      <w:r>
        <w:rPr>
          <w:rFonts w:ascii="Times New Roman" w:hAnsi="Times New Roman" w:cs="Times New Roman"/>
          <w:sz w:val="24"/>
          <w:szCs w:val="24"/>
        </w:rPr>
        <w:t>because that</w:t>
      </w:r>
      <w:r>
        <w:rPr>
          <w:rFonts w:ascii="Times New Roman" w:hAnsi="Times New Roman" w:cs="Times New Roman"/>
          <w:sz w:val="24"/>
          <w:szCs w:val="24"/>
        </w:rPr>
        <w:t xml:space="preserve"> matter does not deal with a foreign debt, nor does it deal with the issue of waiver that the parties have placed before me for determination. There is nowhere in that judgment where the court examined the principles of waiver and estoppel as submitted by </w:t>
      </w:r>
      <w:r>
        <w:rPr>
          <w:rFonts w:ascii="Times New Roman" w:hAnsi="Times New Roman" w:cs="Times New Roman"/>
          <w:sz w:val="24"/>
          <w:szCs w:val="24"/>
        </w:rPr>
        <w:t xml:space="preserve">the defendant.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the final analysis, it is my finding that the claim partly succeeds. The principle of waiver does not apply as a defence to the repayment of the outstanding </w:t>
      </w:r>
      <w:r>
        <w:rPr>
          <w:rFonts w:ascii="Times New Roman" w:hAnsi="Times New Roman" w:cs="Times New Roman"/>
          <w:sz w:val="24"/>
          <w:szCs w:val="24"/>
        </w:rPr>
        <w:t>$41 616.79. The facts do not establish the existence of a tacit agreement betwee</w:t>
      </w:r>
      <w:r>
        <w:rPr>
          <w:rFonts w:ascii="Times New Roman" w:hAnsi="Times New Roman" w:cs="Times New Roman"/>
          <w:sz w:val="24"/>
          <w:szCs w:val="24"/>
        </w:rPr>
        <w:t xml:space="preserve">n the parties in this regard.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t xml:space="preserve">However, concerning the initial repayment of </w:t>
      </w:r>
      <w:r>
        <w:rPr>
          <w:rFonts w:ascii="Times New Roman" w:hAnsi="Times New Roman" w:cs="Times New Roman"/>
          <w:sz w:val="24"/>
          <w:szCs w:val="24"/>
          <w:lang w:val="en-ZW"/>
        </w:rPr>
        <w:t xml:space="preserve">ZWL$ </w:t>
      </w:r>
      <w:r>
        <w:rPr>
          <w:rFonts w:ascii="Times New Roman" w:hAnsi="Times New Roman" w:cs="Times New Roman"/>
          <w:sz w:val="24"/>
          <w:szCs w:val="24"/>
        </w:rPr>
        <w:t>5 876.38, by the respondent, whilst the waiver cannot be proven, the plaintiff is estopped from claiming the same as a foreign currency obligation. The defendant had been duly</w:t>
      </w:r>
      <w:r>
        <w:rPr>
          <w:rFonts w:ascii="Times New Roman" w:hAnsi="Times New Roman" w:cs="Times New Roman"/>
          <w:sz w:val="24"/>
          <w:szCs w:val="24"/>
        </w:rPr>
        <w:t xml:space="preserve"> informed of the acceptance of the settlement of the same in local currency. </w:t>
      </w:r>
      <w:r>
        <w:rPr>
          <w:rFonts w:ascii="Times New Roman" w:hAnsi="Times New Roman" w:cs="Times New Roman"/>
          <w:sz w:val="24"/>
          <w:szCs w:val="24"/>
          <w:lang w:val="en-ZW"/>
        </w:rPr>
        <w:t xml:space="preserve">On that basis, the plaintiff cannot approbate and reprobate regarding the nature of the repayment of the $ </w:t>
      </w:r>
      <w:r>
        <w:rPr>
          <w:rFonts w:ascii="Times New Roman" w:hAnsi="Times New Roman" w:cs="Times New Roman"/>
          <w:sz w:val="24"/>
          <w:szCs w:val="24"/>
        </w:rPr>
        <w:t>5 876.38 debt.</w:t>
      </w:r>
      <w:r>
        <w:rPr>
          <w:rFonts w:ascii="Times New Roman" w:hAnsi="Times New Roman" w:cs="Times New Roman"/>
          <w:sz w:val="24"/>
          <w:szCs w:val="24"/>
          <w:lang w:val="en-ZW"/>
        </w:rPr>
        <w:t xml:space="preserve"> </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Regarding the issue of costs, the plaintiff has prayed f</w:t>
      </w:r>
      <w:r>
        <w:rPr>
          <w:rFonts w:ascii="Times New Roman" w:hAnsi="Times New Roman" w:cs="Times New Roman"/>
          <w:sz w:val="24"/>
          <w:szCs w:val="24"/>
          <w:lang w:val="en-ZW"/>
        </w:rPr>
        <w:t>or costs on a legal practitioner and client scale. No basis has been laid for this prayer. I see no compelling reasons why costs should be granted on a punitive scale. In addition, given that the plaintiff has only been partially successful in its claim, a</w:t>
      </w:r>
      <w:r>
        <w:rPr>
          <w:rFonts w:ascii="Times New Roman" w:hAnsi="Times New Roman" w:cs="Times New Roman"/>
          <w:sz w:val="24"/>
          <w:szCs w:val="24"/>
          <w:lang w:val="en-ZW"/>
        </w:rPr>
        <w:t xml:space="preserve">n order that each party bears its own costs would be most equitable in the matter. </w:t>
      </w:r>
    </w:p>
    <w:p w:rsidR="00892594" w:rsidRDefault="00892594">
      <w:pPr>
        <w:pStyle w:val="ListParagraph"/>
        <w:tabs>
          <w:tab w:val="left" w:pos="270"/>
        </w:tabs>
        <w:spacing w:line="360" w:lineRule="auto"/>
        <w:ind w:left="-180"/>
        <w:jc w:val="both"/>
        <w:rPr>
          <w:rFonts w:ascii="Times New Roman" w:hAnsi="Times New Roman" w:cs="Times New Roman"/>
          <w:sz w:val="24"/>
          <w:szCs w:val="24"/>
        </w:rPr>
      </w:pPr>
    </w:p>
    <w:p w:rsidR="00892594" w:rsidRDefault="00A90DE0">
      <w:pPr>
        <w:pStyle w:val="ListParagraph"/>
        <w:tabs>
          <w:tab w:val="left" w:pos="270"/>
        </w:tabs>
        <w:spacing w:line="360" w:lineRule="auto"/>
        <w:ind w:left="-180"/>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DISPOSITION</w:t>
      </w:r>
    </w:p>
    <w:p w:rsidR="00892594" w:rsidRDefault="00A90DE0">
      <w:pPr>
        <w:pStyle w:val="ListParagraph"/>
        <w:numPr>
          <w:ilvl w:val="0"/>
          <w:numId w:val="1"/>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Accordingly, it is ordered that: </w:t>
      </w:r>
    </w:p>
    <w:p w:rsidR="00892594" w:rsidRDefault="00A90DE0">
      <w:pPr>
        <w:pStyle w:val="ListParagraph"/>
        <w:numPr>
          <w:ilvl w:val="0"/>
          <w:numId w:val="3"/>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The claim partly succeeds.</w:t>
      </w:r>
    </w:p>
    <w:p w:rsidR="00892594" w:rsidRDefault="00A90DE0">
      <w:pPr>
        <w:pStyle w:val="ListParagraph"/>
        <w:numPr>
          <w:ilvl w:val="0"/>
          <w:numId w:val="3"/>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The debt of USD$47 493.17 against the defendant be and is hereby declared to be a foreign obliga</w:t>
      </w:r>
      <w:r>
        <w:rPr>
          <w:rFonts w:ascii="Times New Roman" w:hAnsi="Times New Roman" w:cs="Times New Roman"/>
          <w:sz w:val="24"/>
          <w:szCs w:val="24"/>
        </w:rPr>
        <w:t>tion in terms of s44C (2) (b) as read with s44C (10) (d) of the Reserve Bank of Zimbabwe Act [</w:t>
      </w:r>
      <w:r>
        <w:rPr>
          <w:rFonts w:ascii="Times New Roman" w:hAnsi="Times New Roman" w:cs="Times New Roman"/>
          <w:i/>
          <w:sz w:val="24"/>
          <w:szCs w:val="24"/>
        </w:rPr>
        <w:t>Chapter 22:15</w:t>
      </w:r>
      <w:r>
        <w:rPr>
          <w:rFonts w:ascii="Times New Roman" w:hAnsi="Times New Roman" w:cs="Times New Roman"/>
          <w:sz w:val="24"/>
          <w:szCs w:val="24"/>
        </w:rPr>
        <w:t xml:space="preserve">]. </w:t>
      </w:r>
    </w:p>
    <w:p w:rsidR="00892594" w:rsidRDefault="00A90DE0">
      <w:pPr>
        <w:pStyle w:val="ListParagraph"/>
        <w:numPr>
          <w:ilvl w:val="0"/>
          <w:numId w:val="3"/>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amount of USD</w:t>
      </w:r>
      <w:r>
        <w:rPr>
          <w:rFonts w:ascii="Times New Roman" w:hAnsi="Times New Roman" w:cs="Times New Roman"/>
          <w:sz w:val="24"/>
          <w:szCs w:val="24"/>
          <w:lang w:val="en-ZW"/>
        </w:rPr>
        <w:t xml:space="preserve">$ </w:t>
      </w:r>
      <w:r>
        <w:rPr>
          <w:rFonts w:ascii="Times New Roman" w:hAnsi="Times New Roman" w:cs="Times New Roman"/>
          <w:sz w:val="24"/>
          <w:szCs w:val="24"/>
        </w:rPr>
        <w:t xml:space="preserve">5 876.38, be and is hereby deducted from the capital sum of USD$47 493.17, payable to the plaintiff by the defendant. </w:t>
      </w:r>
    </w:p>
    <w:p w:rsidR="00892594" w:rsidRDefault="00A90DE0">
      <w:pPr>
        <w:pStyle w:val="ListParagraph"/>
        <w:numPr>
          <w:ilvl w:val="0"/>
          <w:numId w:val="3"/>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The def</w:t>
      </w:r>
      <w:r>
        <w:rPr>
          <w:rFonts w:ascii="Times New Roman" w:hAnsi="Times New Roman" w:cs="Times New Roman"/>
          <w:sz w:val="24"/>
          <w:szCs w:val="24"/>
        </w:rPr>
        <w:t xml:space="preserve">endant be and is hereby directed to liquidate the judgment debt of US$$41 616.79 with interest at the prescribed rate from 30 September 2018 to the date of full payment in </w:t>
      </w:r>
      <w:r>
        <w:rPr>
          <w:rFonts w:ascii="Times New Roman" w:hAnsi="Times New Roman" w:cs="Times New Roman"/>
          <w:i/>
          <w:sz w:val="24"/>
          <w:szCs w:val="24"/>
        </w:rPr>
        <w:t>forma specifica</w:t>
      </w:r>
      <w:r>
        <w:rPr>
          <w:rFonts w:ascii="Times New Roman" w:hAnsi="Times New Roman" w:cs="Times New Roman"/>
          <w:sz w:val="24"/>
          <w:szCs w:val="24"/>
        </w:rPr>
        <w:t xml:space="preserve">. </w:t>
      </w:r>
    </w:p>
    <w:p w:rsidR="00892594" w:rsidRDefault="00A90DE0">
      <w:pPr>
        <w:pStyle w:val="ListParagraph"/>
        <w:numPr>
          <w:ilvl w:val="0"/>
          <w:numId w:val="3"/>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be and is hereby ordered to restitute the defendant </w:t>
      </w:r>
      <w:r>
        <w:rPr>
          <w:rFonts w:ascii="Times New Roman" w:hAnsi="Times New Roman" w:cs="Times New Roman"/>
          <w:sz w:val="24"/>
          <w:szCs w:val="24"/>
        </w:rPr>
        <w:t>of the tendered amount held in trust of ZWL $41 616.79 at the official exchange rate as prescribed by the Reserve Bank of Zimbabwe.</w:t>
      </w:r>
    </w:p>
    <w:p w:rsidR="00892594" w:rsidRDefault="00A90DE0">
      <w:pPr>
        <w:pStyle w:val="ListParagraph"/>
        <w:numPr>
          <w:ilvl w:val="0"/>
          <w:numId w:val="3"/>
        </w:numPr>
        <w:tabs>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to bear its own costs. </w:t>
      </w:r>
    </w:p>
    <w:p w:rsidR="00892594" w:rsidRDefault="00892594">
      <w:pPr>
        <w:spacing w:after="0" w:line="360" w:lineRule="auto"/>
        <w:jc w:val="both"/>
        <w:rPr>
          <w:rFonts w:ascii="Times New Roman" w:hAnsi="Times New Roman" w:cs="Times New Roman"/>
          <w:i/>
          <w:iCs/>
          <w:sz w:val="24"/>
          <w:szCs w:val="24"/>
        </w:rPr>
      </w:pPr>
    </w:p>
    <w:p w:rsidR="00892594" w:rsidRDefault="00A90DE0">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Mushure J</w:t>
      </w:r>
      <w:r>
        <w:rPr>
          <w:rFonts w:ascii="Times New Roman" w:hAnsi="Times New Roman" w:cs="Times New Roman"/>
          <w:sz w:val="24"/>
          <w:szCs w:val="24"/>
        </w:rPr>
        <w:t>: .................................................................</w:t>
      </w:r>
    </w:p>
    <w:p w:rsidR="00892594" w:rsidRDefault="00892594">
      <w:pPr>
        <w:spacing w:after="0" w:line="240" w:lineRule="auto"/>
        <w:jc w:val="both"/>
        <w:rPr>
          <w:rFonts w:ascii="Times New Roman" w:hAnsi="Times New Roman" w:cs="Times New Roman"/>
          <w:i/>
          <w:iCs/>
          <w:sz w:val="24"/>
          <w:szCs w:val="24"/>
        </w:rPr>
      </w:pPr>
    </w:p>
    <w:p w:rsidR="00892594" w:rsidRDefault="00A90D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Honey and </w:t>
      </w:r>
      <w:r>
        <w:rPr>
          <w:rFonts w:ascii="Times New Roman" w:hAnsi="Times New Roman" w:cs="Times New Roman"/>
          <w:i/>
          <w:sz w:val="24"/>
          <w:szCs w:val="24"/>
        </w:rPr>
        <w:t>Blanckenberg</w:t>
      </w:r>
      <w:r>
        <w:rPr>
          <w:rFonts w:ascii="Times New Roman" w:hAnsi="Times New Roman" w:cs="Times New Roman"/>
          <w:sz w:val="24"/>
          <w:szCs w:val="24"/>
        </w:rPr>
        <w:t xml:space="preserve">, plaintiff’s legal practitioners </w:t>
      </w:r>
    </w:p>
    <w:p w:rsidR="00892594" w:rsidRDefault="00A90D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Chimwamurombe Legal Practice</w:t>
      </w:r>
      <w:r>
        <w:rPr>
          <w:rFonts w:ascii="Times New Roman" w:hAnsi="Times New Roman" w:cs="Times New Roman"/>
          <w:sz w:val="24"/>
          <w:szCs w:val="24"/>
        </w:rPr>
        <w:t xml:space="preserve">, defendant’s legal practitioners </w:t>
      </w:r>
    </w:p>
    <w:p w:rsidR="00892594" w:rsidRDefault="00892594">
      <w:pPr>
        <w:jc w:val="both"/>
      </w:pPr>
    </w:p>
    <w:sectPr w:rsidR="00892594">
      <w:headerReference w:type="default" r:id="rId7"/>
      <w:pgSz w:w="12240" w:h="15840"/>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DE0" w:rsidRDefault="00A90DE0">
      <w:pPr>
        <w:spacing w:line="240" w:lineRule="auto"/>
      </w:pPr>
      <w:r>
        <w:separator/>
      </w:r>
    </w:p>
  </w:endnote>
  <w:endnote w:type="continuationSeparator" w:id="0">
    <w:p w:rsidR="00A90DE0" w:rsidRDefault="00A90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DE0" w:rsidRDefault="00A90DE0">
      <w:pPr>
        <w:spacing w:after="0"/>
      </w:pPr>
      <w:r>
        <w:separator/>
      </w:r>
    </w:p>
  </w:footnote>
  <w:footnote w:type="continuationSeparator" w:id="0">
    <w:p w:rsidR="00A90DE0" w:rsidRDefault="00A90DE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594" w:rsidRDefault="00892594">
    <w:pPr>
      <w:pStyle w:val="Header"/>
      <w:jc w:val="right"/>
    </w:pPr>
  </w:p>
  <w:sdt>
    <w:sdtPr>
      <w:id w:val="2099986203"/>
    </w:sdtPr>
    <w:sdtEndPr/>
    <w:sdtContent>
      <w:p w:rsidR="00892594" w:rsidRDefault="00A90DE0">
        <w:pPr>
          <w:pStyle w:val="Header"/>
          <w:jc w:val="right"/>
        </w:pPr>
        <w:r>
          <w:fldChar w:fldCharType="begin"/>
        </w:r>
        <w:r>
          <w:instrText xml:space="preserve"> PAGE   \* MERGEFORMAT </w:instrText>
        </w:r>
        <w:r>
          <w:fldChar w:fldCharType="separate"/>
        </w:r>
        <w:r w:rsidR="00D165FD">
          <w:rPr>
            <w:noProof/>
          </w:rPr>
          <w:t>3</w:t>
        </w:r>
        <w:r>
          <w:fldChar w:fldCharType="end"/>
        </w:r>
      </w:p>
      <w:p w:rsidR="00892594" w:rsidRDefault="00A90DE0">
        <w:pPr>
          <w:pStyle w:val="Header"/>
          <w:jc w:val="right"/>
        </w:pPr>
        <w:r>
          <w:t xml:space="preserve">HH  </w:t>
        </w:r>
        <w:r>
          <w:t>270</w:t>
        </w:r>
        <w:r>
          <w:t>/25</w:t>
        </w:r>
      </w:p>
      <w:p w:rsidR="00892594" w:rsidRDefault="00A90DE0">
        <w:pPr>
          <w:pStyle w:val="Header"/>
          <w:jc w:val="right"/>
        </w:pPr>
        <w:r>
          <w:t>HCH1513/20</w:t>
        </w:r>
      </w:p>
      <w:p w:rsidR="00892594" w:rsidRDefault="00A90DE0">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2BC5"/>
    <w:multiLevelType w:val="multilevel"/>
    <w:tmpl w:val="0AD82BC5"/>
    <w:lvl w:ilvl="0">
      <w:start w:val="1"/>
      <w:numFmt w:val="decimal"/>
      <w:lvlText w:val="%1."/>
      <w:lvlJc w:val="left"/>
      <w:pPr>
        <w:ind w:left="107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D727178"/>
    <w:multiLevelType w:val="multilevel"/>
    <w:tmpl w:val="0D727178"/>
    <w:lvl w:ilvl="0">
      <w:start w:val="1"/>
      <w:numFmt w:val="decimal"/>
      <w:lvlText w:val="[%1]"/>
      <w:lvlJc w:val="left"/>
      <w:pPr>
        <w:ind w:left="907" w:hanging="907"/>
      </w:pPr>
      <w:rPr>
        <w:rFonts w:hint="default"/>
        <w:b w:val="0"/>
        <w:i w:val="0"/>
        <w:color w:val="auto"/>
      </w:rPr>
    </w:lvl>
    <w:lvl w:ilvl="1">
      <w:start w:val="1"/>
      <w:numFmt w:val="lowerRoman"/>
      <w:lvlText w:val="%2."/>
      <w:lvlJc w:val="left"/>
      <w:pPr>
        <w:ind w:left="1091" w:hanging="720"/>
      </w:pPr>
      <w:rPr>
        <w:rFonts w:hint="default"/>
        <w:b w:val="0"/>
      </w:r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9902A9F"/>
    <w:multiLevelType w:val="multilevel"/>
    <w:tmpl w:val="29902A9F"/>
    <w:lvl w:ilvl="0">
      <w:start w:val="1"/>
      <w:numFmt w:val="decimal"/>
      <w:lvlText w:val="%1."/>
      <w:lvlJc w:val="left"/>
      <w:pPr>
        <w:ind w:left="1080" w:hanging="360"/>
      </w:pPr>
      <w:rPr>
        <w:rFonts w:hint="default"/>
        <w:b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9B"/>
    <w:rsid w:val="00005735"/>
    <w:rsid w:val="000133E8"/>
    <w:rsid w:val="00013D95"/>
    <w:rsid w:val="000230C9"/>
    <w:rsid w:val="000262A8"/>
    <w:rsid w:val="00032524"/>
    <w:rsid w:val="00036D23"/>
    <w:rsid w:val="00036F86"/>
    <w:rsid w:val="00050852"/>
    <w:rsid w:val="00051BC0"/>
    <w:rsid w:val="00055BE1"/>
    <w:rsid w:val="00057147"/>
    <w:rsid w:val="00063734"/>
    <w:rsid w:val="00075B5A"/>
    <w:rsid w:val="000762DA"/>
    <w:rsid w:val="00082EC1"/>
    <w:rsid w:val="00087B57"/>
    <w:rsid w:val="00092468"/>
    <w:rsid w:val="000952A9"/>
    <w:rsid w:val="000A7CF7"/>
    <w:rsid w:val="000C1E74"/>
    <w:rsid w:val="000D1C6F"/>
    <w:rsid w:val="00101F06"/>
    <w:rsid w:val="001053B0"/>
    <w:rsid w:val="001072A8"/>
    <w:rsid w:val="001245EE"/>
    <w:rsid w:val="00137E1D"/>
    <w:rsid w:val="00146F62"/>
    <w:rsid w:val="0015061D"/>
    <w:rsid w:val="00154293"/>
    <w:rsid w:val="001706A8"/>
    <w:rsid w:val="00170AC6"/>
    <w:rsid w:val="001822C2"/>
    <w:rsid w:val="00182AF1"/>
    <w:rsid w:val="0018412E"/>
    <w:rsid w:val="00184148"/>
    <w:rsid w:val="00184323"/>
    <w:rsid w:val="00185223"/>
    <w:rsid w:val="00185A6D"/>
    <w:rsid w:val="00192178"/>
    <w:rsid w:val="00193E64"/>
    <w:rsid w:val="001A2540"/>
    <w:rsid w:val="001C00F5"/>
    <w:rsid w:val="001C014F"/>
    <w:rsid w:val="001C2331"/>
    <w:rsid w:val="001D6AC6"/>
    <w:rsid w:val="001E1B1F"/>
    <w:rsid w:val="001F3F6C"/>
    <w:rsid w:val="001F40DF"/>
    <w:rsid w:val="00204297"/>
    <w:rsid w:val="00210C84"/>
    <w:rsid w:val="0021319F"/>
    <w:rsid w:val="00222865"/>
    <w:rsid w:val="00223585"/>
    <w:rsid w:val="00235546"/>
    <w:rsid w:val="002359E8"/>
    <w:rsid w:val="0025036A"/>
    <w:rsid w:val="0025182D"/>
    <w:rsid w:val="00254CA9"/>
    <w:rsid w:val="00257B58"/>
    <w:rsid w:val="00261C55"/>
    <w:rsid w:val="002635B1"/>
    <w:rsid w:val="00264BDA"/>
    <w:rsid w:val="002738DE"/>
    <w:rsid w:val="002745A8"/>
    <w:rsid w:val="00276611"/>
    <w:rsid w:val="00276AFA"/>
    <w:rsid w:val="00284BD9"/>
    <w:rsid w:val="00285621"/>
    <w:rsid w:val="00291180"/>
    <w:rsid w:val="00294C6C"/>
    <w:rsid w:val="002A2B7B"/>
    <w:rsid w:val="002B6877"/>
    <w:rsid w:val="002B7895"/>
    <w:rsid w:val="002C7999"/>
    <w:rsid w:val="002D1B05"/>
    <w:rsid w:val="002D1F48"/>
    <w:rsid w:val="002E567B"/>
    <w:rsid w:val="002E5E2C"/>
    <w:rsid w:val="002E776E"/>
    <w:rsid w:val="002F3266"/>
    <w:rsid w:val="002F52C7"/>
    <w:rsid w:val="00307CA5"/>
    <w:rsid w:val="00331F3C"/>
    <w:rsid w:val="00336EF7"/>
    <w:rsid w:val="00350960"/>
    <w:rsid w:val="00350CFC"/>
    <w:rsid w:val="00356C55"/>
    <w:rsid w:val="003834A0"/>
    <w:rsid w:val="00387842"/>
    <w:rsid w:val="003905C6"/>
    <w:rsid w:val="00393650"/>
    <w:rsid w:val="003953F2"/>
    <w:rsid w:val="003A35EA"/>
    <w:rsid w:val="003A53BB"/>
    <w:rsid w:val="003B28DF"/>
    <w:rsid w:val="003B43C5"/>
    <w:rsid w:val="003B4897"/>
    <w:rsid w:val="003B5B86"/>
    <w:rsid w:val="003B7C03"/>
    <w:rsid w:val="003C63A2"/>
    <w:rsid w:val="003E030A"/>
    <w:rsid w:val="003F6C72"/>
    <w:rsid w:val="00401EB0"/>
    <w:rsid w:val="0043097B"/>
    <w:rsid w:val="00430DF3"/>
    <w:rsid w:val="00446C11"/>
    <w:rsid w:val="00446D6F"/>
    <w:rsid w:val="00455010"/>
    <w:rsid w:val="0046522C"/>
    <w:rsid w:val="00470C07"/>
    <w:rsid w:val="0047168C"/>
    <w:rsid w:val="0048320A"/>
    <w:rsid w:val="00492AE4"/>
    <w:rsid w:val="00495DC0"/>
    <w:rsid w:val="004B20CE"/>
    <w:rsid w:val="004B2745"/>
    <w:rsid w:val="004C3EF0"/>
    <w:rsid w:val="004D07F9"/>
    <w:rsid w:val="004D13C6"/>
    <w:rsid w:val="004D15AB"/>
    <w:rsid w:val="004D17AB"/>
    <w:rsid w:val="004D43FB"/>
    <w:rsid w:val="004E3BA3"/>
    <w:rsid w:val="004F60E3"/>
    <w:rsid w:val="004F7075"/>
    <w:rsid w:val="004F759C"/>
    <w:rsid w:val="00502228"/>
    <w:rsid w:val="00504B1B"/>
    <w:rsid w:val="00513F98"/>
    <w:rsid w:val="00514F99"/>
    <w:rsid w:val="00515BE8"/>
    <w:rsid w:val="00516E1F"/>
    <w:rsid w:val="00524F97"/>
    <w:rsid w:val="0052769D"/>
    <w:rsid w:val="00531FDC"/>
    <w:rsid w:val="00533F63"/>
    <w:rsid w:val="005376D5"/>
    <w:rsid w:val="00544621"/>
    <w:rsid w:val="00544746"/>
    <w:rsid w:val="00544BC6"/>
    <w:rsid w:val="0054530D"/>
    <w:rsid w:val="00551086"/>
    <w:rsid w:val="00552C0D"/>
    <w:rsid w:val="005614FD"/>
    <w:rsid w:val="00566F0B"/>
    <w:rsid w:val="00567B4A"/>
    <w:rsid w:val="0057393A"/>
    <w:rsid w:val="005808F4"/>
    <w:rsid w:val="00586C08"/>
    <w:rsid w:val="005A3E4D"/>
    <w:rsid w:val="005B1EE9"/>
    <w:rsid w:val="005C1CE5"/>
    <w:rsid w:val="005C376A"/>
    <w:rsid w:val="005D2CD3"/>
    <w:rsid w:val="005D7A8C"/>
    <w:rsid w:val="005E484B"/>
    <w:rsid w:val="00600C12"/>
    <w:rsid w:val="00600DE2"/>
    <w:rsid w:val="00604505"/>
    <w:rsid w:val="00606050"/>
    <w:rsid w:val="00610F33"/>
    <w:rsid w:val="006134A2"/>
    <w:rsid w:val="00630B4F"/>
    <w:rsid w:val="00640FEB"/>
    <w:rsid w:val="006423C1"/>
    <w:rsid w:val="00645141"/>
    <w:rsid w:val="00645802"/>
    <w:rsid w:val="00645A35"/>
    <w:rsid w:val="00651592"/>
    <w:rsid w:val="006524A0"/>
    <w:rsid w:val="00654139"/>
    <w:rsid w:val="0065746A"/>
    <w:rsid w:val="0066438A"/>
    <w:rsid w:val="006647EE"/>
    <w:rsid w:val="00681FAB"/>
    <w:rsid w:val="0068491F"/>
    <w:rsid w:val="006859A0"/>
    <w:rsid w:val="00685B8C"/>
    <w:rsid w:val="006A0E25"/>
    <w:rsid w:val="006A5C44"/>
    <w:rsid w:val="006A6574"/>
    <w:rsid w:val="006A709B"/>
    <w:rsid w:val="006B0FE8"/>
    <w:rsid w:val="006B4E5B"/>
    <w:rsid w:val="006C1830"/>
    <w:rsid w:val="006D70C4"/>
    <w:rsid w:val="006E03A0"/>
    <w:rsid w:val="006E5A2A"/>
    <w:rsid w:val="006E7F53"/>
    <w:rsid w:val="006F17D8"/>
    <w:rsid w:val="00703DDD"/>
    <w:rsid w:val="00704F83"/>
    <w:rsid w:val="00721C1C"/>
    <w:rsid w:val="007335F6"/>
    <w:rsid w:val="0075379E"/>
    <w:rsid w:val="007617CD"/>
    <w:rsid w:val="007652BF"/>
    <w:rsid w:val="007664FC"/>
    <w:rsid w:val="007705D3"/>
    <w:rsid w:val="00773D15"/>
    <w:rsid w:val="00774D99"/>
    <w:rsid w:val="00775C23"/>
    <w:rsid w:val="00782C5E"/>
    <w:rsid w:val="00786C29"/>
    <w:rsid w:val="00787C7A"/>
    <w:rsid w:val="00790595"/>
    <w:rsid w:val="00793A42"/>
    <w:rsid w:val="007A22EA"/>
    <w:rsid w:val="007E1DB6"/>
    <w:rsid w:val="007E28CA"/>
    <w:rsid w:val="007E43D3"/>
    <w:rsid w:val="007E5031"/>
    <w:rsid w:val="00804A96"/>
    <w:rsid w:val="00811DE4"/>
    <w:rsid w:val="008130EB"/>
    <w:rsid w:val="00814D08"/>
    <w:rsid w:val="00821FB2"/>
    <w:rsid w:val="00822E2F"/>
    <w:rsid w:val="00826CF6"/>
    <w:rsid w:val="00833959"/>
    <w:rsid w:val="008471D9"/>
    <w:rsid w:val="00854B52"/>
    <w:rsid w:val="008602BA"/>
    <w:rsid w:val="0086206E"/>
    <w:rsid w:val="00864A4E"/>
    <w:rsid w:val="008662F4"/>
    <w:rsid w:val="008772A3"/>
    <w:rsid w:val="00877E52"/>
    <w:rsid w:val="0088528A"/>
    <w:rsid w:val="00886392"/>
    <w:rsid w:val="00892594"/>
    <w:rsid w:val="008A265F"/>
    <w:rsid w:val="008A3141"/>
    <w:rsid w:val="008A77F2"/>
    <w:rsid w:val="008B0F96"/>
    <w:rsid w:val="008B2841"/>
    <w:rsid w:val="008D1A7C"/>
    <w:rsid w:val="008E1BFD"/>
    <w:rsid w:val="008E490E"/>
    <w:rsid w:val="008E6AB6"/>
    <w:rsid w:val="008E77F6"/>
    <w:rsid w:val="008E7E8C"/>
    <w:rsid w:val="008F20BB"/>
    <w:rsid w:val="008F2493"/>
    <w:rsid w:val="008F4748"/>
    <w:rsid w:val="008F5246"/>
    <w:rsid w:val="00901577"/>
    <w:rsid w:val="009254D9"/>
    <w:rsid w:val="0093062B"/>
    <w:rsid w:val="009319C1"/>
    <w:rsid w:val="00935641"/>
    <w:rsid w:val="00943E76"/>
    <w:rsid w:val="00945835"/>
    <w:rsid w:val="009468D9"/>
    <w:rsid w:val="00951A93"/>
    <w:rsid w:val="00952FF2"/>
    <w:rsid w:val="0096032E"/>
    <w:rsid w:val="009706A8"/>
    <w:rsid w:val="00972E6D"/>
    <w:rsid w:val="009778E9"/>
    <w:rsid w:val="0098429E"/>
    <w:rsid w:val="009938A8"/>
    <w:rsid w:val="009A3320"/>
    <w:rsid w:val="009C2719"/>
    <w:rsid w:val="009D5769"/>
    <w:rsid w:val="009E3CDE"/>
    <w:rsid w:val="009F46A1"/>
    <w:rsid w:val="00A12E7C"/>
    <w:rsid w:val="00A13D8A"/>
    <w:rsid w:val="00A15315"/>
    <w:rsid w:val="00A16831"/>
    <w:rsid w:val="00A25220"/>
    <w:rsid w:val="00A60418"/>
    <w:rsid w:val="00A609A0"/>
    <w:rsid w:val="00A64652"/>
    <w:rsid w:val="00A667B4"/>
    <w:rsid w:val="00A751D7"/>
    <w:rsid w:val="00A84347"/>
    <w:rsid w:val="00A90DE0"/>
    <w:rsid w:val="00AB6FEE"/>
    <w:rsid w:val="00AC50CA"/>
    <w:rsid w:val="00AE069C"/>
    <w:rsid w:val="00AE0D51"/>
    <w:rsid w:val="00AE1D37"/>
    <w:rsid w:val="00AF1EF7"/>
    <w:rsid w:val="00B004E6"/>
    <w:rsid w:val="00B07AC0"/>
    <w:rsid w:val="00B271BC"/>
    <w:rsid w:val="00B35DE0"/>
    <w:rsid w:val="00B36947"/>
    <w:rsid w:val="00B36B05"/>
    <w:rsid w:val="00B408E4"/>
    <w:rsid w:val="00B501B8"/>
    <w:rsid w:val="00B54F65"/>
    <w:rsid w:val="00B60A46"/>
    <w:rsid w:val="00B6520C"/>
    <w:rsid w:val="00B76636"/>
    <w:rsid w:val="00B82DBF"/>
    <w:rsid w:val="00B86867"/>
    <w:rsid w:val="00B90B72"/>
    <w:rsid w:val="00B93A3F"/>
    <w:rsid w:val="00B941ED"/>
    <w:rsid w:val="00BB4BD6"/>
    <w:rsid w:val="00BB51D4"/>
    <w:rsid w:val="00BC4D31"/>
    <w:rsid w:val="00BD2D88"/>
    <w:rsid w:val="00BD637E"/>
    <w:rsid w:val="00BE0181"/>
    <w:rsid w:val="00BF119B"/>
    <w:rsid w:val="00BF65E0"/>
    <w:rsid w:val="00C15332"/>
    <w:rsid w:val="00C15C6F"/>
    <w:rsid w:val="00C30623"/>
    <w:rsid w:val="00C30F82"/>
    <w:rsid w:val="00C329A9"/>
    <w:rsid w:val="00C57B20"/>
    <w:rsid w:val="00C6580A"/>
    <w:rsid w:val="00C67EB9"/>
    <w:rsid w:val="00C94B66"/>
    <w:rsid w:val="00CA131C"/>
    <w:rsid w:val="00CA4590"/>
    <w:rsid w:val="00CA51F3"/>
    <w:rsid w:val="00CC29FF"/>
    <w:rsid w:val="00CD1384"/>
    <w:rsid w:val="00CD688D"/>
    <w:rsid w:val="00CD6FE1"/>
    <w:rsid w:val="00CE1512"/>
    <w:rsid w:val="00CE71AF"/>
    <w:rsid w:val="00CF2529"/>
    <w:rsid w:val="00D107BB"/>
    <w:rsid w:val="00D11357"/>
    <w:rsid w:val="00D165FD"/>
    <w:rsid w:val="00D218E9"/>
    <w:rsid w:val="00D26A1E"/>
    <w:rsid w:val="00D40701"/>
    <w:rsid w:val="00D40FDD"/>
    <w:rsid w:val="00D44D8F"/>
    <w:rsid w:val="00D56CB0"/>
    <w:rsid w:val="00D57B6D"/>
    <w:rsid w:val="00D57C38"/>
    <w:rsid w:val="00D61637"/>
    <w:rsid w:val="00D761F6"/>
    <w:rsid w:val="00D83282"/>
    <w:rsid w:val="00D90068"/>
    <w:rsid w:val="00D93581"/>
    <w:rsid w:val="00D94052"/>
    <w:rsid w:val="00DA7B65"/>
    <w:rsid w:val="00DB0800"/>
    <w:rsid w:val="00DB47FB"/>
    <w:rsid w:val="00DC5418"/>
    <w:rsid w:val="00DC6ABB"/>
    <w:rsid w:val="00DD1F37"/>
    <w:rsid w:val="00DE02F6"/>
    <w:rsid w:val="00DE1D42"/>
    <w:rsid w:val="00DE6750"/>
    <w:rsid w:val="00DF40A3"/>
    <w:rsid w:val="00DF5881"/>
    <w:rsid w:val="00DF7103"/>
    <w:rsid w:val="00DF7EC0"/>
    <w:rsid w:val="00E11E68"/>
    <w:rsid w:val="00E14500"/>
    <w:rsid w:val="00E16070"/>
    <w:rsid w:val="00E203AA"/>
    <w:rsid w:val="00E212C5"/>
    <w:rsid w:val="00E22D6B"/>
    <w:rsid w:val="00E24CAD"/>
    <w:rsid w:val="00E261E8"/>
    <w:rsid w:val="00E27CB0"/>
    <w:rsid w:val="00E31C36"/>
    <w:rsid w:val="00E32DE3"/>
    <w:rsid w:val="00E37F60"/>
    <w:rsid w:val="00E50A92"/>
    <w:rsid w:val="00E52D83"/>
    <w:rsid w:val="00E72AF8"/>
    <w:rsid w:val="00E81219"/>
    <w:rsid w:val="00E84095"/>
    <w:rsid w:val="00EA1228"/>
    <w:rsid w:val="00EA1716"/>
    <w:rsid w:val="00EA5287"/>
    <w:rsid w:val="00EB0263"/>
    <w:rsid w:val="00ED1468"/>
    <w:rsid w:val="00ED5C09"/>
    <w:rsid w:val="00EE3414"/>
    <w:rsid w:val="00EF034A"/>
    <w:rsid w:val="00EF68CA"/>
    <w:rsid w:val="00EF6D3B"/>
    <w:rsid w:val="00F00693"/>
    <w:rsid w:val="00F231B3"/>
    <w:rsid w:val="00F33947"/>
    <w:rsid w:val="00F40E2E"/>
    <w:rsid w:val="00F4395A"/>
    <w:rsid w:val="00F53100"/>
    <w:rsid w:val="00F54FA9"/>
    <w:rsid w:val="00F553D3"/>
    <w:rsid w:val="00F658D1"/>
    <w:rsid w:val="00F718FF"/>
    <w:rsid w:val="00F75694"/>
    <w:rsid w:val="00F76B62"/>
    <w:rsid w:val="00F8135F"/>
    <w:rsid w:val="00F81680"/>
    <w:rsid w:val="00F8608A"/>
    <w:rsid w:val="00F877CC"/>
    <w:rsid w:val="00F9202C"/>
    <w:rsid w:val="00F97631"/>
    <w:rsid w:val="00FA213E"/>
    <w:rsid w:val="00FB5866"/>
    <w:rsid w:val="00FB7F94"/>
    <w:rsid w:val="00FC625E"/>
    <w:rsid w:val="00FD1C14"/>
    <w:rsid w:val="00FD2FDE"/>
    <w:rsid w:val="00FD77A3"/>
    <w:rsid w:val="00FE4811"/>
    <w:rsid w:val="00FE5EF6"/>
    <w:rsid w:val="00FF5EDE"/>
    <w:rsid w:val="00FF630E"/>
    <w:rsid w:val="021A2C80"/>
    <w:rsid w:val="071E1739"/>
    <w:rsid w:val="0CF90B85"/>
    <w:rsid w:val="110E5E01"/>
    <w:rsid w:val="12E93494"/>
    <w:rsid w:val="15BA2F16"/>
    <w:rsid w:val="178650AF"/>
    <w:rsid w:val="196B01BF"/>
    <w:rsid w:val="1A662D20"/>
    <w:rsid w:val="1ED979AD"/>
    <w:rsid w:val="1F8E554A"/>
    <w:rsid w:val="21C57FF4"/>
    <w:rsid w:val="249F6523"/>
    <w:rsid w:val="2CD72920"/>
    <w:rsid w:val="332116F0"/>
    <w:rsid w:val="42E66C75"/>
    <w:rsid w:val="44455BB7"/>
    <w:rsid w:val="48811D03"/>
    <w:rsid w:val="4A1B1AA4"/>
    <w:rsid w:val="52E26A0A"/>
    <w:rsid w:val="568D31C3"/>
    <w:rsid w:val="57904B13"/>
    <w:rsid w:val="579739D5"/>
    <w:rsid w:val="58D376CA"/>
    <w:rsid w:val="5CFC206B"/>
    <w:rsid w:val="5FBA1B9B"/>
    <w:rsid w:val="60790CD5"/>
    <w:rsid w:val="630A358C"/>
    <w:rsid w:val="679118E5"/>
    <w:rsid w:val="7457466E"/>
    <w:rsid w:val="7ADA57B2"/>
    <w:rsid w:val="7B29241E"/>
    <w:rsid w:val="7CBF37B9"/>
    <w:rsid w:val="7CEA7B96"/>
    <w:rsid w:val="7ED4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8E6160-586B-4743-BCEF-97D1367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4431</Words>
  <Characters>25259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JSC</cp:lastModifiedBy>
  <cp:revision>2</cp:revision>
  <dcterms:created xsi:type="dcterms:W3CDTF">2025-05-02T08:55:00Z</dcterms:created>
  <dcterms:modified xsi:type="dcterms:W3CDTF">2025-05-02T08:55:00Z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f4730b08d353aa8a0bc37e86c92d48001810fa87ba555e84317e4d4e86ea00d2</vt:lpwstr>
  </property>
  <property fmtid="{D5CDD505-2E9C-101B-9397-08002B2CF9AE}" pid="3" name="KSOProductBuildVer">
    <vt:lpwstr>1033-12.2.0.20795</vt:lpwstr>
  </property>
  <property fmtid="{D5CDD505-2E9C-101B-9397-08002B2CF9AE}" pid="4" name="ICV">
    <vt:lpwstr>A9C28171A858475AABCF989694708FE3_13</vt:lpwstr>
  </property>
</Properties>
</file>