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462" w:rsidRPr="003E7EE7" w:rsidRDefault="00105462" w:rsidP="00105462">
      <w:pPr>
        <w:spacing w:line="360" w:lineRule="auto"/>
        <w:jc w:val="both"/>
        <w:rPr>
          <w:rFonts w:cs="Tahoma"/>
          <w:b/>
        </w:rPr>
      </w:pPr>
      <w:r w:rsidRPr="003E7EE7">
        <w:rPr>
          <w:rFonts w:cs="Tahoma"/>
          <w:b/>
        </w:rPr>
        <w:t>IN THE LABOUR COURT O</w:t>
      </w:r>
      <w:r>
        <w:rPr>
          <w:rFonts w:cs="Tahoma"/>
          <w:b/>
        </w:rPr>
        <w:t>F ZIMBABWE</w:t>
      </w:r>
      <w:r>
        <w:rPr>
          <w:rFonts w:cs="Tahoma"/>
          <w:b/>
        </w:rPr>
        <w:tab/>
        <w:t xml:space="preserve">    </w:t>
      </w:r>
      <w:r w:rsidRPr="003E7EE7">
        <w:rPr>
          <w:rFonts w:cs="Tahoma"/>
          <w:b/>
        </w:rPr>
        <w:t>JUDGMENT NO. LC/H/</w:t>
      </w:r>
      <w:r w:rsidR="005E750D">
        <w:rPr>
          <w:rFonts w:cs="Tahoma"/>
          <w:b/>
        </w:rPr>
        <w:t>570</w:t>
      </w:r>
      <w:r w:rsidRPr="003E7EE7">
        <w:rPr>
          <w:rFonts w:cs="Tahoma"/>
          <w:b/>
        </w:rPr>
        <w:t>/16</w:t>
      </w:r>
    </w:p>
    <w:p w:rsidR="00105462" w:rsidRPr="003E7EE7" w:rsidRDefault="00105462" w:rsidP="00105462">
      <w:pPr>
        <w:spacing w:line="360" w:lineRule="auto"/>
        <w:jc w:val="both"/>
        <w:rPr>
          <w:rFonts w:cs="Tahoma"/>
          <w:b/>
        </w:rPr>
      </w:pPr>
      <w:r w:rsidRPr="003E7EE7">
        <w:rPr>
          <w:rFonts w:cs="Tahoma"/>
          <w:b/>
        </w:rPr>
        <w:t xml:space="preserve">HARARE, </w:t>
      </w:r>
      <w:r>
        <w:rPr>
          <w:rFonts w:cs="Tahoma"/>
          <w:b/>
        </w:rPr>
        <w:t>18 JULY 2016</w:t>
      </w:r>
      <w:r>
        <w:rPr>
          <w:rFonts w:cs="Tahoma"/>
          <w:b/>
        </w:rPr>
        <w:tab/>
      </w:r>
      <w:r>
        <w:rPr>
          <w:rFonts w:cs="Tahoma"/>
          <w:b/>
        </w:rPr>
        <w:tab/>
      </w:r>
      <w:r>
        <w:rPr>
          <w:rFonts w:cs="Tahoma"/>
          <w:b/>
        </w:rPr>
        <w:tab/>
      </w:r>
      <w:r>
        <w:rPr>
          <w:rFonts w:cs="Tahoma"/>
          <w:b/>
        </w:rPr>
        <w:tab/>
        <w:t xml:space="preserve">     </w:t>
      </w:r>
      <w:r w:rsidRPr="003E7EE7">
        <w:rPr>
          <w:rFonts w:cs="Tahoma"/>
          <w:b/>
        </w:rPr>
        <w:t>CASE NO. LC/H/</w:t>
      </w:r>
      <w:r>
        <w:rPr>
          <w:rFonts w:cs="Tahoma"/>
          <w:b/>
        </w:rPr>
        <w:t>APP/284/16</w:t>
      </w:r>
    </w:p>
    <w:p w:rsidR="00105462" w:rsidRPr="003E7EE7" w:rsidRDefault="00105462" w:rsidP="00105462">
      <w:pPr>
        <w:spacing w:line="360" w:lineRule="auto"/>
        <w:jc w:val="both"/>
        <w:rPr>
          <w:rFonts w:cs="Tahoma"/>
          <w:b/>
        </w:rPr>
      </w:pPr>
      <w:bookmarkStart w:id="0" w:name="_GoBack"/>
      <w:bookmarkEnd w:id="0"/>
      <w:r w:rsidRPr="003E7EE7">
        <w:rPr>
          <w:rFonts w:cs="Tahoma"/>
          <w:b/>
        </w:rPr>
        <w:t xml:space="preserve">AND </w:t>
      </w:r>
      <w:r w:rsidR="005E750D">
        <w:rPr>
          <w:rFonts w:cs="Tahoma"/>
          <w:b/>
        </w:rPr>
        <w:t>23 SEPTEMBER</w:t>
      </w:r>
      <w:r w:rsidRPr="003E7EE7">
        <w:rPr>
          <w:rFonts w:cs="Tahoma"/>
          <w:b/>
        </w:rPr>
        <w:t xml:space="preserve"> 2016</w:t>
      </w:r>
      <w:r w:rsidRPr="003E7EE7">
        <w:rPr>
          <w:rFonts w:cs="Tahoma"/>
          <w:b/>
        </w:rPr>
        <w:tab/>
      </w:r>
      <w:r w:rsidRPr="003E7EE7">
        <w:rPr>
          <w:rFonts w:cs="Tahoma"/>
          <w:b/>
        </w:rPr>
        <w:tab/>
      </w:r>
      <w:r w:rsidRPr="003E7EE7">
        <w:rPr>
          <w:rFonts w:cs="Tahoma"/>
          <w:b/>
        </w:rPr>
        <w:tab/>
      </w:r>
      <w:r w:rsidRPr="003E7EE7">
        <w:rPr>
          <w:rFonts w:cs="Tahoma"/>
          <w:b/>
        </w:rPr>
        <w:tab/>
      </w:r>
      <w:r w:rsidRPr="003E7EE7">
        <w:rPr>
          <w:rFonts w:cs="Tahoma"/>
          <w:b/>
        </w:rPr>
        <w:tab/>
      </w:r>
      <w:r w:rsidRPr="003E7EE7">
        <w:rPr>
          <w:rFonts w:cs="Tahoma"/>
          <w:b/>
        </w:rPr>
        <w:tab/>
        <w:t xml:space="preserve"> </w:t>
      </w:r>
    </w:p>
    <w:p w:rsidR="00105462" w:rsidRPr="003E7EE7" w:rsidRDefault="00105462" w:rsidP="00105462">
      <w:pPr>
        <w:spacing w:line="360" w:lineRule="auto"/>
        <w:jc w:val="both"/>
        <w:rPr>
          <w:rFonts w:cs="Tahoma"/>
        </w:rPr>
      </w:pPr>
      <w:r w:rsidRPr="003E7EE7">
        <w:rPr>
          <w:rFonts w:cs="Tahoma"/>
        </w:rPr>
        <w:t>In the matter between:-</w:t>
      </w:r>
    </w:p>
    <w:p w:rsidR="00105462" w:rsidRPr="003E7EE7" w:rsidRDefault="00105462" w:rsidP="00105462">
      <w:pPr>
        <w:spacing w:line="360" w:lineRule="auto"/>
        <w:jc w:val="both"/>
        <w:rPr>
          <w:rFonts w:cs="Tahoma"/>
        </w:rPr>
      </w:pPr>
    </w:p>
    <w:p w:rsidR="00105462" w:rsidRPr="003E7EE7" w:rsidRDefault="00994A53" w:rsidP="00105462">
      <w:pPr>
        <w:spacing w:line="360" w:lineRule="auto"/>
        <w:jc w:val="both"/>
        <w:rPr>
          <w:rFonts w:cs="Tahoma"/>
          <w:b/>
        </w:rPr>
      </w:pPr>
      <w:r>
        <w:rPr>
          <w:rFonts w:cs="Tahoma"/>
          <w:b/>
        </w:rPr>
        <w:t>TANAKA TAKAWIRA</w:t>
      </w:r>
      <w:r>
        <w:rPr>
          <w:rFonts w:cs="Tahoma"/>
          <w:b/>
        </w:rPr>
        <w:tab/>
      </w:r>
      <w:r w:rsidR="00105462" w:rsidRPr="003E7EE7">
        <w:rPr>
          <w:rFonts w:cs="Tahoma"/>
          <w:b/>
        </w:rPr>
        <w:tab/>
      </w:r>
      <w:r w:rsidR="00105462" w:rsidRPr="003E7EE7">
        <w:rPr>
          <w:rFonts w:cs="Tahoma"/>
          <w:b/>
        </w:rPr>
        <w:tab/>
      </w:r>
      <w:r w:rsidR="00105462" w:rsidRPr="003E7EE7">
        <w:rPr>
          <w:rFonts w:cs="Tahoma"/>
          <w:b/>
        </w:rPr>
        <w:tab/>
      </w:r>
      <w:r w:rsidR="00105462" w:rsidRPr="003E7EE7">
        <w:rPr>
          <w:rFonts w:cs="Tahoma"/>
          <w:b/>
        </w:rPr>
        <w:tab/>
        <w:t>Applicant</w:t>
      </w:r>
    </w:p>
    <w:p w:rsidR="00105462" w:rsidRPr="003E7EE7" w:rsidRDefault="00105462" w:rsidP="00105462">
      <w:pPr>
        <w:spacing w:line="360" w:lineRule="auto"/>
        <w:jc w:val="both"/>
        <w:rPr>
          <w:rFonts w:cs="Tahoma"/>
        </w:rPr>
      </w:pPr>
      <w:r w:rsidRPr="003E7EE7">
        <w:rPr>
          <w:rFonts w:cs="Tahoma"/>
        </w:rPr>
        <w:t>And</w:t>
      </w:r>
    </w:p>
    <w:p w:rsidR="00105462" w:rsidRPr="003E7EE7" w:rsidRDefault="00994A53" w:rsidP="00105462">
      <w:pPr>
        <w:spacing w:line="360" w:lineRule="auto"/>
        <w:jc w:val="both"/>
        <w:rPr>
          <w:rFonts w:cs="Tahoma"/>
          <w:b/>
        </w:rPr>
      </w:pPr>
      <w:r>
        <w:rPr>
          <w:rFonts w:cs="Tahoma"/>
          <w:b/>
        </w:rPr>
        <w:t>NEW AMBASSADOR HOTEL</w:t>
      </w:r>
      <w:r w:rsidR="00105462" w:rsidRPr="003E7EE7">
        <w:rPr>
          <w:rFonts w:cs="Tahoma"/>
          <w:b/>
        </w:rPr>
        <w:tab/>
      </w:r>
      <w:r w:rsidR="00105462" w:rsidRPr="003E7EE7">
        <w:rPr>
          <w:rFonts w:cs="Tahoma"/>
          <w:b/>
        </w:rPr>
        <w:tab/>
      </w:r>
      <w:r w:rsidR="00105462" w:rsidRPr="003E7EE7">
        <w:rPr>
          <w:rFonts w:cs="Tahoma"/>
          <w:b/>
        </w:rPr>
        <w:tab/>
      </w:r>
      <w:r w:rsidR="00105462" w:rsidRPr="003E7EE7">
        <w:rPr>
          <w:rFonts w:cs="Tahoma"/>
          <w:b/>
        </w:rPr>
        <w:tab/>
        <w:t>Respondent</w:t>
      </w:r>
    </w:p>
    <w:p w:rsidR="00105462" w:rsidRPr="003E7EE7" w:rsidRDefault="00105462" w:rsidP="00105462">
      <w:pPr>
        <w:spacing w:line="360" w:lineRule="auto"/>
        <w:jc w:val="both"/>
        <w:rPr>
          <w:rFonts w:cs="Tahoma"/>
          <w:b/>
        </w:rPr>
      </w:pPr>
    </w:p>
    <w:p w:rsidR="00105462" w:rsidRPr="003E7EE7" w:rsidRDefault="00105462" w:rsidP="00105462">
      <w:pPr>
        <w:spacing w:line="360" w:lineRule="auto"/>
        <w:jc w:val="both"/>
        <w:rPr>
          <w:rFonts w:cs="Tahoma"/>
        </w:rPr>
      </w:pPr>
      <w:r w:rsidRPr="003E7EE7">
        <w:rPr>
          <w:rFonts w:cs="Tahoma"/>
        </w:rPr>
        <w:t>Before The Honourable E. Muchawa, Judge</w:t>
      </w:r>
    </w:p>
    <w:p w:rsidR="00105462" w:rsidRPr="003E7EE7" w:rsidRDefault="00105462" w:rsidP="00105462">
      <w:pPr>
        <w:spacing w:line="360" w:lineRule="auto"/>
        <w:jc w:val="both"/>
        <w:rPr>
          <w:rFonts w:cs="Tahoma"/>
        </w:rPr>
      </w:pPr>
    </w:p>
    <w:p w:rsidR="00105462" w:rsidRPr="003E7EE7" w:rsidRDefault="00105462" w:rsidP="00105462">
      <w:pPr>
        <w:spacing w:line="360" w:lineRule="auto"/>
        <w:ind w:left="2880" w:hanging="2880"/>
        <w:jc w:val="both"/>
        <w:rPr>
          <w:rFonts w:cs="Tahoma"/>
          <w:b/>
        </w:rPr>
      </w:pPr>
      <w:r w:rsidRPr="003E7EE7">
        <w:rPr>
          <w:rFonts w:cs="Tahoma"/>
          <w:b/>
        </w:rPr>
        <w:t>For Applicant</w:t>
      </w:r>
      <w:r w:rsidR="00370E78">
        <w:rPr>
          <w:rFonts w:cs="Tahoma"/>
          <w:b/>
        </w:rPr>
        <w:tab/>
        <w:t>In person</w:t>
      </w:r>
      <w:r>
        <w:rPr>
          <w:rFonts w:cs="Tahoma"/>
          <w:b/>
        </w:rPr>
        <w:tab/>
      </w:r>
    </w:p>
    <w:p w:rsidR="00105462" w:rsidRDefault="00105462" w:rsidP="00105462">
      <w:pPr>
        <w:spacing w:line="360" w:lineRule="auto"/>
        <w:ind w:left="2880" w:hanging="2880"/>
        <w:jc w:val="both"/>
        <w:rPr>
          <w:rFonts w:cs="Tahoma"/>
          <w:b/>
        </w:rPr>
      </w:pPr>
      <w:r w:rsidRPr="003E7EE7">
        <w:rPr>
          <w:rFonts w:cs="Tahoma"/>
          <w:b/>
        </w:rPr>
        <w:t>For Respondent</w:t>
      </w:r>
      <w:r w:rsidR="00370E78">
        <w:rPr>
          <w:rFonts w:cs="Tahoma"/>
          <w:b/>
        </w:rPr>
        <w:tab/>
        <w:t>W.L. Chirongoma with Mr Mare (Human Resources</w:t>
      </w:r>
      <w:r w:rsidR="00A557E0">
        <w:rPr>
          <w:rFonts w:cs="Tahoma"/>
          <w:b/>
        </w:rPr>
        <w:t xml:space="preserve"> Officer for respondent)</w:t>
      </w:r>
      <w:r>
        <w:rPr>
          <w:rFonts w:cs="Tahoma"/>
          <w:b/>
        </w:rPr>
        <w:tab/>
      </w:r>
    </w:p>
    <w:p w:rsidR="00105462" w:rsidRDefault="00105462" w:rsidP="00105462">
      <w:pPr>
        <w:spacing w:line="360" w:lineRule="auto"/>
        <w:ind w:left="2880" w:hanging="2880"/>
        <w:jc w:val="both"/>
        <w:rPr>
          <w:rFonts w:cs="Tahoma"/>
          <w:b/>
        </w:rPr>
      </w:pPr>
    </w:p>
    <w:p w:rsidR="00105462" w:rsidRPr="003E7EE7" w:rsidRDefault="00105462" w:rsidP="00105462">
      <w:pPr>
        <w:spacing w:line="360" w:lineRule="auto"/>
        <w:ind w:left="2880" w:hanging="2880"/>
        <w:jc w:val="both"/>
        <w:rPr>
          <w:rFonts w:cs="Tahoma"/>
          <w:b/>
        </w:rPr>
      </w:pPr>
    </w:p>
    <w:p w:rsidR="00105462" w:rsidRPr="003E7EE7" w:rsidRDefault="00105462" w:rsidP="00105462">
      <w:pPr>
        <w:spacing w:line="360" w:lineRule="auto"/>
        <w:jc w:val="both"/>
        <w:rPr>
          <w:rFonts w:cs="Tahoma"/>
          <w:b/>
        </w:rPr>
      </w:pPr>
      <w:r w:rsidRPr="003E7EE7">
        <w:rPr>
          <w:rFonts w:cs="Tahoma"/>
          <w:b/>
        </w:rPr>
        <w:t>MUCHAWA, J:</w:t>
      </w:r>
    </w:p>
    <w:p w:rsidR="002A14B8" w:rsidRDefault="002A14B8" w:rsidP="00063335">
      <w:pPr>
        <w:spacing w:line="360" w:lineRule="auto"/>
        <w:jc w:val="both"/>
      </w:pPr>
    </w:p>
    <w:p w:rsidR="00063335" w:rsidRDefault="00063335" w:rsidP="00063335">
      <w:pPr>
        <w:spacing w:line="360" w:lineRule="auto"/>
        <w:jc w:val="both"/>
      </w:pPr>
      <w:r>
        <w:tab/>
        <w:t>This is an application for condonation of late noting of an appeal.</w:t>
      </w:r>
    </w:p>
    <w:p w:rsidR="00063335" w:rsidRDefault="00063335" w:rsidP="00A66EE6">
      <w:pPr>
        <w:jc w:val="both"/>
      </w:pPr>
    </w:p>
    <w:p w:rsidR="00063335" w:rsidRDefault="00063335" w:rsidP="00063335">
      <w:pPr>
        <w:spacing w:line="360" w:lineRule="auto"/>
        <w:jc w:val="both"/>
      </w:pPr>
      <w:r>
        <w:tab/>
        <w:t>The pertinent facts in the matter are as follows:</w:t>
      </w:r>
    </w:p>
    <w:p w:rsidR="00063335" w:rsidRDefault="00063335" w:rsidP="00A66EE6">
      <w:pPr>
        <w:jc w:val="both"/>
      </w:pPr>
    </w:p>
    <w:p w:rsidR="00CA2EA5" w:rsidRDefault="00063335" w:rsidP="00063335">
      <w:pPr>
        <w:spacing w:line="360" w:lineRule="auto"/>
        <w:jc w:val="both"/>
      </w:pPr>
      <w:r>
        <w:tab/>
        <w:t xml:space="preserve">The respondent appointed the applicant to the position of management </w:t>
      </w:r>
      <w:r w:rsidR="003E3E87">
        <w:t>trainee</w:t>
      </w:r>
      <w:r w:rsidR="00083EE7">
        <w:t xml:space="preserve"> in human resources with effect from 10 September 2012.  It was a term of the appointment contract that on successful completion of the </w:t>
      </w:r>
      <w:r w:rsidR="00831290">
        <w:t>training</w:t>
      </w:r>
      <w:r w:rsidR="001C052B">
        <w:t xml:space="preserve"> programme the applicant would be appointed to the permanent position</w:t>
      </w:r>
      <w:r w:rsidR="00831290">
        <w:t xml:space="preserve"> of human resources officer. </w:t>
      </w:r>
      <w:r w:rsidR="009D03BE">
        <w:t>The training programme was to run for eighteen months.</w:t>
      </w:r>
    </w:p>
    <w:p w:rsidR="00CA2EA5" w:rsidRDefault="00CA2EA5" w:rsidP="00A66EE6">
      <w:pPr>
        <w:jc w:val="both"/>
      </w:pPr>
    </w:p>
    <w:p w:rsidR="002F34BD" w:rsidRDefault="00CA2EA5" w:rsidP="00F416EE">
      <w:pPr>
        <w:spacing w:line="360" w:lineRule="auto"/>
        <w:ind w:firstLine="720"/>
        <w:jc w:val="both"/>
      </w:pPr>
      <w:r>
        <w:t>Before</w:t>
      </w:r>
      <w:r w:rsidR="00D57ECD">
        <w:t xml:space="preserve"> the training programme had elapsed the applicant was charged and thereafter dismissed in November 2013 </w:t>
      </w:r>
      <w:r w:rsidR="00892804">
        <w:t>over allegations of falsifying of documents and conduct inconsistent</w:t>
      </w:r>
      <w:r w:rsidR="00C30DF6">
        <w:t xml:space="preserve">.  An appeal to the Chief Executive Officer was unsuccessful.  The matter ended up before an arbitrator </w:t>
      </w:r>
      <w:r w:rsidR="00BC7851">
        <w:t>who</w:t>
      </w:r>
      <w:r w:rsidR="00C30DF6">
        <w:t xml:space="preserve"> found that the </w:t>
      </w:r>
      <w:r w:rsidR="00C30DF6">
        <w:lastRenderedPageBreak/>
        <w:t>applicant’s dismissal was unfair.  She ordered reinstatement with no loss of salary and benefits with effect from the date of suspension</w:t>
      </w:r>
      <w:r w:rsidR="002F34BD">
        <w:t>.</w:t>
      </w:r>
    </w:p>
    <w:p w:rsidR="002F34BD" w:rsidRDefault="002F34BD" w:rsidP="00A66EE6">
      <w:pPr>
        <w:ind w:firstLine="720"/>
        <w:jc w:val="both"/>
      </w:pPr>
    </w:p>
    <w:p w:rsidR="00495306" w:rsidRDefault="002F34BD" w:rsidP="00F416EE">
      <w:pPr>
        <w:spacing w:line="360" w:lineRule="auto"/>
        <w:ind w:firstLine="720"/>
        <w:jc w:val="both"/>
      </w:pPr>
      <w:r>
        <w:t xml:space="preserve">Alternatively damages in lieu of reinstatement were </w:t>
      </w:r>
      <w:r w:rsidR="00495306">
        <w:t>awarded,</w:t>
      </w:r>
    </w:p>
    <w:p w:rsidR="00495306" w:rsidRDefault="00495306" w:rsidP="00A66EE6">
      <w:pPr>
        <w:ind w:firstLine="720"/>
        <w:jc w:val="both"/>
      </w:pPr>
    </w:p>
    <w:p w:rsidR="00063335" w:rsidRDefault="00CE5BE3" w:rsidP="00CE5BE3">
      <w:pPr>
        <w:spacing w:line="360" w:lineRule="auto"/>
        <w:jc w:val="both"/>
      </w:pPr>
      <w:r>
        <w:tab/>
        <w:t xml:space="preserve">The respondent noted an appeal against the arbitral award in this court.  </w:t>
      </w:r>
      <w:r w:rsidR="001A56CE">
        <w:t>The appeal was dismissed on the 10</w:t>
      </w:r>
      <w:r w:rsidR="001A56CE" w:rsidRPr="001A56CE">
        <w:rPr>
          <w:vertAlign w:val="superscript"/>
        </w:rPr>
        <w:t>th</w:t>
      </w:r>
      <w:r w:rsidR="001A56CE">
        <w:t xml:space="preserve"> of July 2015.  Following a refusal to reinstate the applicant by the respondent, applicant applied for </w:t>
      </w:r>
      <w:r w:rsidR="00BD08CA">
        <w:t>quantification of damages before the arbitrator.</w:t>
      </w:r>
    </w:p>
    <w:p w:rsidR="00BD08CA" w:rsidRDefault="00BD08CA" w:rsidP="00A66EE6">
      <w:pPr>
        <w:jc w:val="both"/>
      </w:pPr>
    </w:p>
    <w:p w:rsidR="00BD08CA" w:rsidRDefault="00BD08CA" w:rsidP="00060C3E">
      <w:pPr>
        <w:spacing w:line="360" w:lineRule="auto"/>
        <w:ind w:firstLine="720"/>
        <w:jc w:val="both"/>
      </w:pPr>
      <w:r>
        <w:t>The quantified damages amounted to US$6 558.00 being;</w:t>
      </w:r>
    </w:p>
    <w:p w:rsidR="00060C3E" w:rsidRDefault="00060C3E" w:rsidP="00A66EE6">
      <w:pPr>
        <w:jc w:val="both"/>
      </w:pPr>
    </w:p>
    <w:p w:rsidR="00060C3E" w:rsidRDefault="00060C3E" w:rsidP="00060C3E">
      <w:pPr>
        <w:pStyle w:val="ListParagraph"/>
        <w:numPr>
          <w:ilvl w:val="0"/>
          <w:numId w:val="3"/>
        </w:numPr>
        <w:spacing w:line="360" w:lineRule="auto"/>
        <w:jc w:val="both"/>
      </w:pPr>
      <w:r>
        <w:t>Salary up to end of contract period</w:t>
      </w:r>
      <w:r w:rsidR="00CC3DB4">
        <w:tab/>
      </w:r>
      <w:r>
        <w:tab/>
      </w:r>
      <w:r>
        <w:tab/>
        <w:t>$</w:t>
      </w:r>
      <w:r w:rsidR="006E5894">
        <w:t>3 703.00</w:t>
      </w:r>
    </w:p>
    <w:p w:rsidR="006E5894" w:rsidRDefault="006E5894" w:rsidP="006E5894">
      <w:pPr>
        <w:pStyle w:val="ListParagraph"/>
        <w:spacing w:line="360" w:lineRule="auto"/>
        <w:jc w:val="both"/>
      </w:pPr>
      <w:r>
        <w:t>Leave days</w:t>
      </w:r>
      <w:r w:rsidR="00CC3DB4"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   155.00</w:t>
      </w:r>
    </w:p>
    <w:p w:rsidR="00CC3DB4" w:rsidRDefault="006E5894" w:rsidP="00CC3DB4">
      <w:pPr>
        <w:pStyle w:val="ListParagraph"/>
        <w:spacing w:line="360" w:lineRule="auto"/>
        <w:jc w:val="both"/>
      </w:pPr>
      <w:r>
        <w:t>Damages for 6 months for loss of employment</w:t>
      </w:r>
      <w:r>
        <w:tab/>
      </w:r>
      <w:r>
        <w:tab/>
      </w:r>
      <w:r w:rsidR="00CC3DB4">
        <w:t>$2 700.00</w:t>
      </w:r>
    </w:p>
    <w:p w:rsidR="00CC3DB4" w:rsidRDefault="00CC3DB4" w:rsidP="00A66EE6">
      <w:pPr>
        <w:jc w:val="both"/>
      </w:pPr>
    </w:p>
    <w:p w:rsidR="00CC3DB4" w:rsidRDefault="00CC3DB4" w:rsidP="0090421A">
      <w:pPr>
        <w:spacing w:line="360" w:lineRule="auto"/>
        <w:ind w:firstLine="720"/>
        <w:jc w:val="both"/>
      </w:pPr>
      <w:r>
        <w:t>Following the quantification, the applicant proceeded in terms of section</w:t>
      </w:r>
      <w:r w:rsidR="00905C40">
        <w:t xml:space="preserve"> 98 (1) to submit the award for registration in the magistrates’ court for enforcement.  This application for registration was</w:t>
      </w:r>
      <w:r w:rsidR="0090421A">
        <w:t xml:space="preserve"> however withdrawn on the 16</w:t>
      </w:r>
      <w:r w:rsidR="0090421A" w:rsidRPr="0090421A">
        <w:rPr>
          <w:vertAlign w:val="superscript"/>
        </w:rPr>
        <w:t>th</w:t>
      </w:r>
      <w:r w:rsidR="0090421A">
        <w:t xml:space="preserve"> of February 2016, a day before the hearing.</w:t>
      </w:r>
    </w:p>
    <w:p w:rsidR="0090421A" w:rsidRDefault="0090421A" w:rsidP="00A66EE6">
      <w:pPr>
        <w:ind w:firstLine="720"/>
        <w:jc w:val="both"/>
      </w:pPr>
    </w:p>
    <w:p w:rsidR="0090421A" w:rsidRDefault="0090421A" w:rsidP="0090421A">
      <w:pPr>
        <w:spacing w:line="360" w:lineRule="auto"/>
        <w:ind w:firstLine="720"/>
        <w:jc w:val="both"/>
      </w:pPr>
      <w:r>
        <w:t>Meanwhile the respond</w:t>
      </w:r>
      <w:r w:rsidR="00156E67">
        <w:t>ent sought and was granted leave to appeal to the</w:t>
      </w:r>
      <w:r w:rsidR="00C1302D">
        <w:t xml:space="preserve"> Supreme Court against this </w:t>
      </w:r>
      <w:r w:rsidR="00593ADD">
        <w:t>court’s finding regarding the unlawfulness of the verdict and impropriety of the dismissal penalty.</w:t>
      </w:r>
    </w:p>
    <w:p w:rsidR="00593ADD" w:rsidRDefault="00593ADD" w:rsidP="00A66EE6">
      <w:pPr>
        <w:ind w:firstLine="720"/>
        <w:jc w:val="both"/>
      </w:pPr>
    </w:p>
    <w:p w:rsidR="00593ADD" w:rsidRDefault="00593ADD" w:rsidP="0090421A">
      <w:pPr>
        <w:spacing w:line="360" w:lineRule="auto"/>
        <w:ind w:firstLine="720"/>
        <w:jc w:val="both"/>
      </w:pPr>
      <w:r>
        <w:t>Pending too before this court is an appeal by the respondent against the quantification award</w:t>
      </w:r>
      <w:r w:rsidR="00F60FBF">
        <w:t>.</w:t>
      </w:r>
    </w:p>
    <w:p w:rsidR="00F60FBF" w:rsidRDefault="00F60FBF" w:rsidP="00A66EE6">
      <w:pPr>
        <w:ind w:firstLine="720"/>
        <w:jc w:val="both"/>
      </w:pPr>
    </w:p>
    <w:p w:rsidR="00F60FBF" w:rsidRDefault="00F60FBF" w:rsidP="0090421A">
      <w:pPr>
        <w:spacing w:line="360" w:lineRule="auto"/>
        <w:ind w:firstLine="720"/>
        <w:jc w:val="both"/>
      </w:pPr>
      <w:r>
        <w:t xml:space="preserve">The applicant now seeks to appeal against the </w:t>
      </w:r>
      <w:r w:rsidR="004A52A8">
        <w:t>quantification</w:t>
      </w:r>
      <w:r w:rsidR="006549D6">
        <w:t xml:space="preserve"> award too.</w:t>
      </w:r>
    </w:p>
    <w:p w:rsidR="008A1F78" w:rsidRDefault="008A1F78" w:rsidP="00A66EE6">
      <w:pPr>
        <w:ind w:firstLine="720"/>
        <w:jc w:val="both"/>
      </w:pPr>
    </w:p>
    <w:p w:rsidR="008A1F78" w:rsidRDefault="008A1F78" w:rsidP="0090421A">
      <w:pPr>
        <w:spacing w:line="360" w:lineRule="auto"/>
        <w:ind w:firstLine="720"/>
        <w:jc w:val="both"/>
      </w:pPr>
      <w:r>
        <w:t>The broad principles to be considered in such an application are; the extent of the</w:t>
      </w:r>
      <w:r w:rsidR="009B4F6A">
        <w:t xml:space="preserve"> delay, the reasonableness of the explanation </w:t>
      </w:r>
      <w:r w:rsidR="00FF5F12">
        <w:t>proffered</w:t>
      </w:r>
      <w:r w:rsidR="009B4F6A">
        <w:t xml:space="preserve"> for the delay and the prospects</w:t>
      </w:r>
      <w:r w:rsidR="00460B44">
        <w:t xml:space="preserve"> of success on appeal.  See </w:t>
      </w:r>
      <w:r w:rsidR="00460B44" w:rsidRPr="00AC50F2">
        <w:rPr>
          <w:i/>
        </w:rPr>
        <w:t>Jensen</w:t>
      </w:r>
      <w:r w:rsidR="00460B44">
        <w:t xml:space="preserve"> v </w:t>
      </w:r>
      <w:r w:rsidR="00460B44" w:rsidRPr="00AC50F2">
        <w:rPr>
          <w:i/>
        </w:rPr>
        <w:t xml:space="preserve">Accuralos </w:t>
      </w:r>
      <w:r w:rsidR="00460B44">
        <w:t>1993 (1) ZLR 216 (SC).  In addition questions about the importance of</w:t>
      </w:r>
      <w:r w:rsidR="002E0336">
        <w:t xml:space="preserve"> the case, the convenience of the court </w:t>
      </w:r>
      <w:r w:rsidR="002E0336">
        <w:lastRenderedPageBreak/>
        <w:t>and the avoidance of unnecessary delay are also to</w:t>
      </w:r>
      <w:r w:rsidR="00AC50F2">
        <w:t xml:space="preserve"> </w:t>
      </w:r>
      <w:r w:rsidR="002E0336">
        <w:t xml:space="preserve">be considered.  </w:t>
      </w:r>
      <w:r w:rsidR="002E0336" w:rsidRPr="00BF006A">
        <w:rPr>
          <w:i/>
        </w:rPr>
        <w:t>Kod</w:t>
      </w:r>
      <w:r w:rsidR="007744AA" w:rsidRPr="00BF006A">
        <w:rPr>
          <w:i/>
        </w:rPr>
        <w:t>zwa</w:t>
      </w:r>
      <w:r w:rsidR="007744AA">
        <w:t xml:space="preserve"> v </w:t>
      </w:r>
      <w:r w:rsidR="00BF006A" w:rsidRPr="00BF006A">
        <w:rPr>
          <w:i/>
        </w:rPr>
        <w:t>Secretary</w:t>
      </w:r>
      <w:r w:rsidR="007744AA" w:rsidRPr="00BF006A">
        <w:rPr>
          <w:i/>
        </w:rPr>
        <w:t xml:space="preserve"> for Health and Anor</w:t>
      </w:r>
      <w:r w:rsidR="007744AA">
        <w:t xml:space="preserve"> 1999 (1) ZLR 313</w:t>
      </w:r>
      <w:r w:rsidR="00B20D9D">
        <w:t>.</w:t>
      </w:r>
    </w:p>
    <w:p w:rsidR="00B20D9D" w:rsidRDefault="00B20D9D" w:rsidP="00A66EE6">
      <w:pPr>
        <w:ind w:firstLine="720"/>
        <w:jc w:val="both"/>
      </w:pPr>
    </w:p>
    <w:p w:rsidR="00B20D9D" w:rsidRDefault="00B20D9D" w:rsidP="0090421A">
      <w:pPr>
        <w:spacing w:line="360" w:lineRule="auto"/>
        <w:ind w:firstLine="720"/>
        <w:jc w:val="both"/>
      </w:pPr>
      <w:r>
        <w:t>I turn to apply the law to the facts of this matter.</w:t>
      </w:r>
    </w:p>
    <w:p w:rsidR="00B922FF" w:rsidRDefault="00B922FF" w:rsidP="00A66EE6">
      <w:pPr>
        <w:jc w:val="both"/>
      </w:pPr>
    </w:p>
    <w:p w:rsidR="00B922FF" w:rsidRPr="00EB709F" w:rsidRDefault="00B922FF" w:rsidP="00B922FF">
      <w:pPr>
        <w:spacing w:line="360" w:lineRule="auto"/>
        <w:jc w:val="both"/>
        <w:rPr>
          <w:u w:val="single"/>
        </w:rPr>
      </w:pPr>
      <w:r w:rsidRPr="00EB709F">
        <w:rPr>
          <w:u w:val="single"/>
        </w:rPr>
        <w:t>Extent of delay</w:t>
      </w:r>
    </w:p>
    <w:p w:rsidR="00B922FF" w:rsidRDefault="00B922FF" w:rsidP="00A66EE6">
      <w:pPr>
        <w:jc w:val="both"/>
      </w:pPr>
    </w:p>
    <w:p w:rsidR="00B922FF" w:rsidRDefault="00B922FF" w:rsidP="00B922FF">
      <w:pPr>
        <w:spacing w:line="360" w:lineRule="auto"/>
        <w:jc w:val="both"/>
      </w:pPr>
      <w:r>
        <w:tab/>
        <w:t xml:space="preserve">The </w:t>
      </w:r>
      <w:r w:rsidR="00FE6B87">
        <w:t>quantification arbitra</w:t>
      </w:r>
      <w:r w:rsidR="003013CA">
        <w:t>l award was handed down on the 30</w:t>
      </w:r>
      <w:r w:rsidR="003013CA" w:rsidRPr="003013CA">
        <w:rPr>
          <w:vertAlign w:val="superscript"/>
        </w:rPr>
        <w:t>th</w:t>
      </w:r>
      <w:r w:rsidR="003013CA">
        <w:t xml:space="preserve"> October 2015.</w:t>
      </w:r>
      <w:r w:rsidR="006A6CD0">
        <w:t xml:space="preserve"> The applicant only filed the current application for condonation on the 15</w:t>
      </w:r>
      <w:r w:rsidR="006A6CD0" w:rsidRPr="006A6CD0">
        <w:rPr>
          <w:vertAlign w:val="superscript"/>
        </w:rPr>
        <w:t>th</w:t>
      </w:r>
      <w:r w:rsidR="006A6CD0">
        <w:t xml:space="preserve"> March 2016.</w:t>
      </w:r>
    </w:p>
    <w:p w:rsidR="007C63AA" w:rsidRDefault="007C63AA" w:rsidP="00A66EE6">
      <w:pPr>
        <w:jc w:val="both"/>
      </w:pPr>
    </w:p>
    <w:p w:rsidR="007C63AA" w:rsidRDefault="007C63AA" w:rsidP="00B922FF">
      <w:pPr>
        <w:spacing w:line="360" w:lineRule="auto"/>
        <w:jc w:val="both"/>
      </w:pPr>
      <w:r>
        <w:tab/>
        <w:t>Rule 15 of the Labour Court Rules, SI 59 of 2006 provides that an appeal</w:t>
      </w:r>
      <w:r w:rsidR="00966CC3">
        <w:t xml:space="preserve"> should be filed</w:t>
      </w:r>
      <w:r w:rsidR="00C13BFC">
        <w:t xml:space="preserve"> within twenty one days of the date the appellant receives the decision or award to be appealed against.</w:t>
      </w:r>
    </w:p>
    <w:p w:rsidR="006A053B" w:rsidRDefault="006A053B" w:rsidP="00A66EE6">
      <w:pPr>
        <w:jc w:val="both"/>
      </w:pPr>
    </w:p>
    <w:p w:rsidR="006A053B" w:rsidRDefault="006A053B" w:rsidP="00B922FF">
      <w:pPr>
        <w:spacing w:line="360" w:lineRule="auto"/>
        <w:jc w:val="both"/>
      </w:pPr>
      <w:r>
        <w:tab/>
        <w:t>The applicant states that he received the award on the 30</w:t>
      </w:r>
      <w:r w:rsidRPr="006A053B">
        <w:rPr>
          <w:vertAlign w:val="superscript"/>
        </w:rPr>
        <w:t>th</w:t>
      </w:r>
      <w:r>
        <w:t xml:space="preserve"> October 2015.  The appeal should therefore have </w:t>
      </w:r>
      <w:r w:rsidR="00E06DFE">
        <w:t>been filed by the 30</w:t>
      </w:r>
      <w:r w:rsidR="00E06DFE" w:rsidRPr="00E06DFE">
        <w:rPr>
          <w:vertAlign w:val="superscript"/>
        </w:rPr>
        <w:t>th</w:t>
      </w:r>
      <w:r w:rsidR="00E06DFE">
        <w:t xml:space="preserve"> of November 2015.  This application is therefore some three months late.</w:t>
      </w:r>
    </w:p>
    <w:p w:rsidR="00E06DFE" w:rsidRDefault="00E06DFE" w:rsidP="00A66EE6">
      <w:pPr>
        <w:jc w:val="both"/>
      </w:pPr>
    </w:p>
    <w:p w:rsidR="00E06DFE" w:rsidRPr="001B1145" w:rsidRDefault="00580F05" w:rsidP="00B922FF">
      <w:pPr>
        <w:spacing w:line="360" w:lineRule="auto"/>
        <w:jc w:val="both"/>
        <w:rPr>
          <w:u w:val="single"/>
        </w:rPr>
      </w:pPr>
      <w:r w:rsidRPr="001B1145">
        <w:rPr>
          <w:u w:val="single"/>
        </w:rPr>
        <w:t>Explanation for the delay</w:t>
      </w:r>
    </w:p>
    <w:p w:rsidR="00580F05" w:rsidRDefault="00580F05" w:rsidP="00A66EE6">
      <w:pPr>
        <w:jc w:val="both"/>
      </w:pPr>
    </w:p>
    <w:p w:rsidR="00580F05" w:rsidRDefault="001B1145" w:rsidP="00B922FF">
      <w:pPr>
        <w:spacing w:line="360" w:lineRule="auto"/>
        <w:jc w:val="both"/>
      </w:pPr>
      <w:r>
        <w:tab/>
        <w:t xml:space="preserve">The </w:t>
      </w:r>
      <w:r w:rsidR="006D2439">
        <w:t>applicant’s explanation for the delay is that as a self actor he ill advisedly applied for registration of the award for enforcement instead of immediately appealing against it.  It is stated that he got proper legal</w:t>
      </w:r>
      <w:r w:rsidR="00A10A62">
        <w:t xml:space="preserve"> advice and noted there were irregularities</w:t>
      </w:r>
      <w:r w:rsidR="00BA59C0">
        <w:t xml:space="preserve"> needing to be appealed against, late.</w:t>
      </w:r>
    </w:p>
    <w:p w:rsidR="00BA59C0" w:rsidRDefault="00BA59C0" w:rsidP="00A66EE6">
      <w:pPr>
        <w:jc w:val="both"/>
      </w:pPr>
    </w:p>
    <w:p w:rsidR="00BA59C0" w:rsidRDefault="00BA59C0" w:rsidP="00B922FF">
      <w:pPr>
        <w:spacing w:line="360" w:lineRule="auto"/>
        <w:jc w:val="both"/>
      </w:pPr>
      <w:r>
        <w:tab/>
        <w:t>The</w:t>
      </w:r>
      <w:r w:rsidR="004D5E0B">
        <w:t xml:space="preserve"> respondent dismisses this explanation as unreasonable.  It is argued that the applicant made a conscious decision</w:t>
      </w:r>
      <w:r w:rsidR="00C76497">
        <w:t xml:space="preserve"> to register the award and unnecessarily put the respondent out of pocket.  This application is alleged to be a mere fishing expedition wherein applicant is </w:t>
      </w:r>
      <w:r w:rsidR="00B4516B">
        <w:t>trying</w:t>
      </w:r>
      <w:r w:rsidR="00C76497">
        <w:t xml:space="preserve"> his luck.  It is put that the applicant is not </w:t>
      </w:r>
      <w:r w:rsidR="00813E43">
        <w:t>a nov</w:t>
      </w:r>
      <w:r w:rsidR="00B4516B">
        <w:t>ice at</w:t>
      </w:r>
      <w:r w:rsidR="005A0A08">
        <w:t xml:space="preserve"> litigation.</w:t>
      </w:r>
    </w:p>
    <w:p w:rsidR="005A0A08" w:rsidRDefault="005A0A08" w:rsidP="00A66EE6">
      <w:pPr>
        <w:jc w:val="both"/>
      </w:pPr>
    </w:p>
    <w:p w:rsidR="006321B9" w:rsidRDefault="005A0A08" w:rsidP="00B922FF">
      <w:pPr>
        <w:spacing w:line="360" w:lineRule="auto"/>
        <w:jc w:val="both"/>
      </w:pPr>
      <w:r>
        <w:tab/>
      </w:r>
      <w:r w:rsidR="007E6673">
        <w:t xml:space="preserve">It is common cause that the applicant has been a self actor in all the matters outlined above.  The practice of the courts is to afford the self </w:t>
      </w:r>
      <w:r w:rsidR="007567F5">
        <w:t>actor</w:t>
      </w:r>
      <w:r w:rsidR="007E6673">
        <w:t xml:space="preserve"> in litigation, a degree of tolerance, within permissible limits to </w:t>
      </w:r>
      <w:r w:rsidR="00C448BF">
        <w:t>eschew</w:t>
      </w:r>
      <w:r w:rsidR="007567F5">
        <w:t xml:space="preserve"> too rigid an adherence to </w:t>
      </w:r>
      <w:r w:rsidR="007567F5">
        <w:lastRenderedPageBreak/>
        <w:t>procedural requirements in respect of such self actor</w:t>
      </w:r>
      <w:r w:rsidR="006321B9">
        <w:t xml:space="preserve">.  </w:t>
      </w:r>
      <w:r w:rsidR="006321B9" w:rsidRPr="00AA1B2C">
        <w:rPr>
          <w:i/>
        </w:rPr>
        <w:t>Mwatsaka</w:t>
      </w:r>
      <w:r w:rsidR="006321B9">
        <w:t xml:space="preserve"> v </w:t>
      </w:r>
      <w:r w:rsidR="006321B9" w:rsidRPr="00AA1B2C">
        <w:rPr>
          <w:i/>
        </w:rPr>
        <w:t>ICL Zimbabwe</w:t>
      </w:r>
      <w:r w:rsidR="006321B9">
        <w:t xml:space="preserve"> 1998 (1) ZLR 1 (HC)</w:t>
      </w:r>
    </w:p>
    <w:p w:rsidR="006321B9" w:rsidRDefault="006321B9" w:rsidP="00A66EE6">
      <w:pPr>
        <w:jc w:val="both"/>
      </w:pPr>
    </w:p>
    <w:p w:rsidR="009810BF" w:rsidRDefault="006321B9" w:rsidP="00B922FF">
      <w:pPr>
        <w:spacing w:line="360" w:lineRule="auto"/>
        <w:jc w:val="both"/>
      </w:pPr>
      <w:r>
        <w:tab/>
        <w:t xml:space="preserve">I find therefore </w:t>
      </w:r>
      <w:r w:rsidR="00CB2AA5">
        <w:t>that the explanation tendered is reasonable</w:t>
      </w:r>
      <w:r w:rsidR="009810BF">
        <w:t>.</w:t>
      </w:r>
    </w:p>
    <w:p w:rsidR="009810BF" w:rsidRDefault="009810BF" w:rsidP="00A66EE6">
      <w:pPr>
        <w:jc w:val="both"/>
      </w:pPr>
    </w:p>
    <w:p w:rsidR="000740FF" w:rsidRPr="00C2404A" w:rsidRDefault="009810BF" w:rsidP="00B922FF">
      <w:pPr>
        <w:spacing w:line="360" w:lineRule="auto"/>
        <w:jc w:val="both"/>
        <w:rPr>
          <w:u w:val="single"/>
        </w:rPr>
      </w:pPr>
      <w:r w:rsidRPr="00C2404A">
        <w:rPr>
          <w:u w:val="single"/>
        </w:rPr>
        <w:t xml:space="preserve">Prospects of </w:t>
      </w:r>
      <w:r w:rsidR="000740FF" w:rsidRPr="00C2404A">
        <w:rPr>
          <w:u w:val="single"/>
        </w:rPr>
        <w:t>Success</w:t>
      </w:r>
    </w:p>
    <w:p w:rsidR="000740FF" w:rsidRDefault="000740FF" w:rsidP="00A66EE6">
      <w:pPr>
        <w:jc w:val="both"/>
      </w:pPr>
    </w:p>
    <w:p w:rsidR="0029481C" w:rsidRDefault="000740FF" w:rsidP="00B922FF">
      <w:pPr>
        <w:spacing w:line="360" w:lineRule="auto"/>
        <w:jc w:val="both"/>
      </w:pPr>
      <w:r>
        <w:tab/>
        <w:t>The applicant alleges that he has good prospects of success on appeal.  He makes the following allegations</w:t>
      </w:r>
      <w:r w:rsidR="0029481C">
        <w:t xml:space="preserve"> in his proposed grounds of appeal;</w:t>
      </w:r>
    </w:p>
    <w:p w:rsidR="0029481C" w:rsidRDefault="0029481C" w:rsidP="00A66EE6">
      <w:pPr>
        <w:jc w:val="both"/>
      </w:pPr>
    </w:p>
    <w:p w:rsidR="006321B9" w:rsidRDefault="0029481C" w:rsidP="0029481C">
      <w:pPr>
        <w:pStyle w:val="ListParagraph"/>
        <w:numPr>
          <w:ilvl w:val="0"/>
          <w:numId w:val="4"/>
        </w:numPr>
        <w:spacing w:line="360" w:lineRule="auto"/>
        <w:jc w:val="both"/>
      </w:pPr>
      <w:r>
        <w:t xml:space="preserve">That the arbitrator failed to recognize that he </w:t>
      </w:r>
      <w:r w:rsidR="006E1459">
        <w:t>was supposed</w:t>
      </w:r>
      <w:r>
        <w:t xml:space="preserve"> to be a permanent employee by the time of his reinstatement on </w:t>
      </w:r>
      <w:r w:rsidR="009762E2">
        <w:t>14 August 2014 as the terms of the contract were that he would be on a permanent contract upon successful completion of the training</w:t>
      </w:r>
      <w:r w:rsidR="00CB2AA5">
        <w:t xml:space="preserve"> </w:t>
      </w:r>
      <w:r w:rsidR="00235231">
        <w:t>programme.</w:t>
      </w:r>
    </w:p>
    <w:p w:rsidR="00235231" w:rsidRDefault="00235231" w:rsidP="0029481C">
      <w:pPr>
        <w:pStyle w:val="ListParagraph"/>
        <w:numPr>
          <w:ilvl w:val="0"/>
          <w:numId w:val="4"/>
        </w:numPr>
        <w:spacing w:line="360" w:lineRule="auto"/>
        <w:jc w:val="both"/>
      </w:pPr>
      <w:r>
        <w:t xml:space="preserve">That the arbitrator failed to realize that </w:t>
      </w:r>
      <w:r w:rsidR="006E1459">
        <w:t>the</w:t>
      </w:r>
      <w:r>
        <w:t xml:space="preserve"> calculation of back pay was in two </w:t>
      </w:r>
      <w:r w:rsidR="00EA3B73">
        <w:t>components</w:t>
      </w:r>
      <w:r>
        <w:t xml:space="preserve"> in terms</w:t>
      </w:r>
      <w:r w:rsidR="003E3775">
        <w:t xml:space="preserve"> of salary rates.</w:t>
      </w:r>
    </w:p>
    <w:p w:rsidR="003E3775" w:rsidRDefault="003E3775" w:rsidP="0029481C">
      <w:pPr>
        <w:pStyle w:val="ListParagraph"/>
        <w:numPr>
          <w:ilvl w:val="0"/>
          <w:numId w:val="4"/>
        </w:numPr>
        <w:spacing w:line="360" w:lineRule="auto"/>
        <w:jc w:val="both"/>
      </w:pPr>
      <w:r>
        <w:t>That the calculation of back</w:t>
      </w:r>
      <w:r w:rsidR="00867496">
        <w:t xml:space="preserve"> </w:t>
      </w:r>
      <w:r>
        <w:t>pay was wrong as it should have been payable up to the date of the order of reinstatement.</w:t>
      </w:r>
    </w:p>
    <w:p w:rsidR="00C22168" w:rsidRDefault="00C22168" w:rsidP="005234F0">
      <w:pPr>
        <w:jc w:val="both"/>
      </w:pPr>
    </w:p>
    <w:p w:rsidR="00C22168" w:rsidRDefault="00C22168" w:rsidP="00C22168">
      <w:pPr>
        <w:spacing w:line="360" w:lineRule="auto"/>
        <w:jc w:val="both"/>
      </w:pPr>
      <w:r>
        <w:t>In the appeal already filed by the respondent against this same quantification award, the issue</w:t>
      </w:r>
      <w:r w:rsidR="00EF7430">
        <w:t xml:space="preserve"> raised is that the applicant is not entitled to an award of damages for loss of employment beyond the</w:t>
      </w:r>
      <w:r w:rsidR="00EA5F57">
        <w:t xml:space="preserve"> eighteen months training period. A further issue raised relates to the</w:t>
      </w:r>
      <w:r w:rsidR="00782273">
        <w:t xml:space="preserve"> relevance of whether or not the applicant was going to successfully complete the training programme.</w:t>
      </w:r>
    </w:p>
    <w:p w:rsidR="009C290C" w:rsidRDefault="009C290C" w:rsidP="00C22168">
      <w:pPr>
        <w:spacing w:line="360" w:lineRule="auto"/>
        <w:jc w:val="both"/>
      </w:pPr>
    </w:p>
    <w:p w:rsidR="00C2404A" w:rsidRDefault="009C290C" w:rsidP="00C22168">
      <w:pPr>
        <w:spacing w:line="360" w:lineRule="auto"/>
        <w:jc w:val="both"/>
      </w:pPr>
      <w:r>
        <w:tab/>
        <w:t xml:space="preserve">I find that in the proposed ground of appeal 1, the applicant is really joining issue with the respondent.  The question of the nature </w:t>
      </w:r>
      <w:r w:rsidR="00BD74C9">
        <w:t xml:space="preserve">of the contract between the parties is a relevant issue which underpins the quantification </w:t>
      </w:r>
      <w:r w:rsidR="009E6943">
        <w:t xml:space="preserve">process.  That is an issue where the court should exercise its mind with guidance from the case of </w:t>
      </w:r>
      <w:r w:rsidR="009E6943" w:rsidRPr="00781C26">
        <w:rPr>
          <w:i/>
        </w:rPr>
        <w:t>Sithole</w:t>
      </w:r>
      <w:r w:rsidR="009E6943">
        <w:t xml:space="preserve"> v </w:t>
      </w:r>
      <w:r w:rsidR="009E6943" w:rsidRPr="00210B4E">
        <w:rPr>
          <w:i/>
        </w:rPr>
        <w:t>P</w:t>
      </w:r>
      <w:r w:rsidR="00D8479E" w:rsidRPr="00210B4E">
        <w:rPr>
          <w:i/>
        </w:rPr>
        <w:t xml:space="preserve">.G. Industries (Zimbabwe) Ltd T/a African Lumber </w:t>
      </w:r>
      <w:r w:rsidR="00781C26" w:rsidRPr="00210B4E">
        <w:rPr>
          <w:i/>
        </w:rPr>
        <w:t>Company</w:t>
      </w:r>
      <w:r w:rsidR="00D8479E" w:rsidRPr="00210B4E">
        <w:rPr>
          <w:i/>
        </w:rPr>
        <w:t xml:space="preserve"> (Pvt) Ltd</w:t>
      </w:r>
      <w:r w:rsidR="00D8479E">
        <w:t xml:space="preserve"> HB 4/09.  This calls for the court to interpret the terms of the contract</w:t>
      </w:r>
      <w:r w:rsidR="00072DF6">
        <w:t xml:space="preserve"> of employment and establish whether to treat this as a tr</w:t>
      </w:r>
      <w:r w:rsidR="003225A6">
        <w:t>ainee contract or a permanent contract.  That issue is already before the court in the respondent’s appeal</w:t>
      </w:r>
      <w:r w:rsidR="00C2404A">
        <w:t xml:space="preserve"> </w:t>
      </w:r>
      <w:r w:rsidR="00D4282D">
        <w:t xml:space="preserve">under </w:t>
      </w:r>
      <w:r w:rsidR="00347AEF">
        <w:t xml:space="preserve">case </w:t>
      </w:r>
      <w:r w:rsidR="00C2404A">
        <w:t>LC/H/54/16.</w:t>
      </w:r>
    </w:p>
    <w:p w:rsidR="00C2404A" w:rsidRDefault="00C2404A" w:rsidP="005234F0">
      <w:pPr>
        <w:jc w:val="both"/>
      </w:pPr>
    </w:p>
    <w:p w:rsidR="009C290C" w:rsidRDefault="00C2404A" w:rsidP="00C22168">
      <w:pPr>
        <w:spacing w:line="360" w:lineRule="auto"/>
        <w:jc w:val="both"/>
      </w:pPr>
      <w:r>
        <w:tab/>
        <w:t>The question of the applicable salary</w:t>
      </w:r>
      <w:r w:rsidR="00867496">
        <w:t xml:space="preserve"> rate for the back pay</w:t>
      </w:r>
      <w:r w:rsidR="00C5186E">
        <w:t xml:space="preserve"> is one in which the applicant may enjoy some prospects of success.  There is need for evide</w:t>
      </w:r>
      <w:r w:rsidR="008742DC">
        <w:t>nce to be led on the applicable salary rate.  I</w:t>
      </w:r>
      <w:r w:rsidR="004A7BA6">
        <w:t>n</w:t>
      </w:r>
      <w:r w:rsidR="008742DC">
        <w:t xml:space="preserve"> </w:t>
      </w:r>
      <w:r w:rsidR="008742DC" w:rsidRPr="004A7BA6">
        <w:rPr>
          <w:i/>
        </w:rPr>
        <w:t>Ambali</w:t>
      </w:r>
      <w:r w:rsidR="008742DC">
        <w:t xml:space="preserve"> v </w:t>
      </w:r>
      <w:r w:rsidR="008742DC" w:rsidRPr="004A7BA6">
        <w:rPr>
          <w:i/>
        </w:rPr>
        <w:t>Bata Shoe Company</w:t>
      </w:r>
      <w:r w:rsidR="008D1808" w:rsidRPr="004A7BA6">
        <w:rPr>
          <w:i/>
        </w:rPr>
        <w:t xml:space="preserve"> Limited</w:t>
      </w:r>
      <w:r w:rsidR="008D1808">
        <w:t xml:space="preserve"> 199 (1) ZLR 417 (SC) it was held that one is entitled to be </w:t>
      </w:r>
      <w:r w:rsidR="004A7BA6">
        <w:t>paid the wages or salary he would have earned had his contract not bee</w:t>
      </w:r>
      <w:r w:rsidR="005649FB">
        <w:t>n</w:t>
      </w:r>
      <w:r w:rsidR="004A7BA6">
        <w:t xml:space="preserve"> prematurely</w:t>
      </w:r>
      <w:r w:rsidR="005649FB">
        <w:t xml:space="preserve"> terminated.  The rate of salary is therefore an important determinant.</w:t>
      </w:r>
    </w:p>
    <w:p w:rsidR="005649FB" w:rsidRDefault="005649FB" w:rsidP="005234F0">
      <w:pPr>
        <w:jc w:val="both"/>
      </w:pPr>
    </w:p>
    <w:p w:rsidR="005649FB" w:rsidRDefault="005649FB" w:rsidP="00C22168">
      <w:pPr>
        <w:spacing w:line="360" w:lineRule="auto"/>
        <w:jc w:val="both"/>
      </w:pPr>
      <w:r>
        <w:tab/>
        <w:t xml:space="preserve">In </w:t>
      </w:r>
      <w:r w:rsidRPr="008801C0">
        <w:rPr>
          <w:i/>
        </w:rPr>
        <w:t>Redstar</w:t>
      </w:r>
      <w:r>
        <w:t xml:space="preserve"> </w:t>
      </w:r>
      <w:r w:rsidRPr="00A1623E">
        <w:rPr>
          <w:i/>
        </w:rPr>
        <w:t>Wholesalers</w:t>
      </w:r>
      <w:r>
        <w:t xml:space="preserve"> v </w:t>
      </w:r>
      <w:r w:rsidRPr="00A1623E">
        <w:rPr>
          <w:i/>
        </w:rPr>
        <w:t>Mabika</w:t>
      </w:r>
      <w:r>
        <w:t xml:space="preserve"> SC 52/05 Ziyambi JA held that the d</w:t>
      </w:r>
      <w:r w:rsidR="008801C0">
        <w:t>ate to which back pay should be payable is the date on which the order of reinstatement is made</w:t>
      </w:r>
      <w:r w:rsidR="00A1623E">
        <w:t>.  The applicant therefore enjoys good prospects relating to the date to which back pay was made payable.</w:t>
      </w:r>
    </w:p>
    <w:p w:rsidR="00387245" w:rsidRDefault="00387245" w:rsidP="005234F0">
      <w:pPr>
        <w:jc w:val="both"/>
      </w:pPr>
    </w:p>
    <w:p w:rsidR="00387245" w:rsidRDefault="00387245" w:rsidP="00C22168">
      <w:pPr>
        <w:spacing w:line="360" w:lineRule="auto"/>
        <w:jc w:val="both"/>
      </w:pPr>
      <w:r>
        <w:tab/>
        <w:t>It would be convenient for the court to deal with all the issues relating to the quantification award at once as re</w:t>
      </w:r>
      <w:r w:rsidR="002909E7">
        <w:t>s</w:t>
      </w:r>
      <w:r>
        <w:t>po</w:t>
      </w:r>
      <w:r w:rsidR="002909E7">
        <w:t>n</w:t>
      </w:r>
      <w:r>
        <w:t>dent has also filed an</w:t>
      </w:r>
      <w:r w:rsidR="00D4282D">
        <w:t xml:space="preserve"> appeal</w:t>
      </w:r>
      <w:r>
        <w:t xml:space="preserve"> a</w:t>
      </w:r>
      <w:r w:rsidR="002909E7">
        <w:t>gainst it.</w:t>
      </w:r>
    </w:p>
    <w:p w:rsidR="00B916A4" w:rsidRDefault="00B916A4" w:rsidP="005234F0">
      <w:pPr>
        <w:jc w:val="both"/>
      </w:pPr>
    </w:p>
    <w:p w:rsidR="00B916A4" w:rsidRDefault="00B916A4" w:rsidP="00C22168">
      <w:pPr>
        <w:spacing w:line="360" w:lineRule="auto"/>
        <w:jc w:val="both"/>
      </w:pPr>
      <w:r>
        <w:t>Accordingly the application for condonation of late noting of appeal be and is hereby granted</w:t>
      </w:r>
      <w:r w:rsidR="005234F0">
        <w:t>.</w:t>
      </w:r>
    </w:p>
    <w:p w:rsidR="005234F0" w:rsidRDefault="005234F0" w:rsidP="005234F0">
      <w:pPr>
        <w:jc w:val="both"/>
      </w:pPr>
    </w:p>
    <w:p w:rsidR="005234F0" w:rsidRDefault="005234F0" w:rsidP="00C22168">
      <w:pPr>
        <w:spacing w:line="360" w:lineRule="auto"/>
        <w:jc w:val="both"/>
      </w:pPr>
      <w:r>
        <w:t>The applicant is allowed to file its appeal within 7 days of this judgment.</w:t>
      </w:r>
    </w:p>
    <w:p w:rsidR="00BF006A" w:rsidRDefault="00BF006A" w:rsidP="00BF006A">
      <w:pPr>
        <w:spacing w:line="360" w:lineRule="auto"/>
        <w:jc w:val="both"/>
      </w:pPr>
    </w:p>
    <w:p w:rsidR="00BF006A" w:rsidRDefault="00BF006A" w:rsidP="00BF006A">
      <w:pPr>
        <w:spacing w:line="360" w:lineRule="auto"/>
        <w:jc w:val="both"/>
      </w:pPr>
    </w:p>
    <w:p w:rsidR="006549D6" w:rsidRDefault="006549D6" w:rsidP="0090421A">
      <w:pPr>
        <w:spacing w:line="360" w:lineRule="auto"/>
        <w:ind w:firstLine="720"/>
        <w:jc w:val="both"/>
      </w:pPr>
    </w:p>
    <w:p w:rsidR="006549D6" w:rsidRDefault="006549D6" w:rsidP="0090421A">
      <w:pPr>
        <w:spacing w:line="360" w:lineRule="auto"/>
        <w:ind w:firstLine="720"/>
        <w:jc w:val="both"/>
      </w:pPr>
    </w:p>
    <w:sectPr w:rsidR="006549D6" w:rsidSect="00245D6C">
      <w:headerReference w:type="default" r:id="rId8"/>
      <w:footerReference w:type="default" r:id="rId9"/>
      <w:footerReference w:type="first" r:id="rId10"/>
      <w:pgSz w:w="11906" w:h="16838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0A26" w:rsidRDefault="00920A26" w:rsidP="0025171E">
      <w:r>
        <w:separator/>
      </w:r>
    </w:p>
  </w:endnote>
  <w:endnote w:type="continuationSeparator" w:id="0">
    <w:p w:rsidR="00920A26" w:rsidRDefault="00920A26" w:rsidP="00251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4732102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87245" w:rsidRDefault="0038724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528D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387245" w:rsidRDefault="0038724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7245" w:rsidRDefault="00387245">
    <w:pPr>
      <w:pStyle w:val="Footer"/>
      <w:jc w:val="center"/>
    </w:pPr>
  </w:p>
  <w:p w:rsidR="00387245" w:rsidRDefault="0038724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0A26" w:rsidRDefault="00920A26" w:rsidP="0025171E">
      <w:r>
        <w:separator/>
      </w:r>
    </w:p>
  </w:footnote>
  <w:footnote w:type="continuationSeparator" w:id="0">
    <w:p w:rsidR="00920A26" w:rsidRDefault="00920A26" w:rsidP="002517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7245" w:rsidRPr="0025171E" w:rsidRDefault="00387245">
    <w:pPr>
      <w:pStyle w:val="Header"/>
      <w:rPr>
        <w:lang w:val="en-ZW"/>
      </w:rPr>
    </w:pPr>
    <w:r>
      <w:rPr>
        <w:lang w:val="en-ZW"/>
      </w:rPr>
      <w:tab/>
    </w:r>
    <w:r>
      <w:rPr>
        <w:lang w:val="en-ZW"/>
      </w:rPr>
      <w:tab/>
      <w:t>JUDGMENT NO. LC/H/</w:t>
    </w:r>
    <w:r w:rsidR="00235640">
      <w:rPr>
        <w:lang w:val="en-ZW"/>
      </w:rPr>
      <w:t>570</w:t>
    </w:r>
    <w:r>
      <w:rPr>
        <w:lang w:val="en-ZW"/>
      </w:rPr>
      <w:t>/2016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F0D07"/>
    <w:multiLevelType w:val="hybridMultilevel"/>
    <w:tmpl w:val="F0549050"/>
    <w:lvl w:ilvl="0" w:tplc="3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0D61863"/>
    <w:multiLevelType w:val="hybridMultilevel"/>
    <w:tmpl w:val="5BD4388E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C565DE"/>
    <w:multiLevelType w:val="hybridMultilevel"/>
    <w:tmpl w:val="85F20408"/>
    <w:lvl w:ilvl="0" w:tplc="3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B742F5"/>
    <w:multiLevelType w:val="hybridMultilevel"/>
    <w:tmpl w:val="03F6389C"/>
    <w:lvl w:ilvl="0" w:tplc="3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462"/>
    <w:rsid w:val="00060C3E"/>
    <w:rsid w:val="00063335"/>
    <w:rsid w:val="00072DF6"/>
    <w:rsid w:val="000740FF"/>
    <w:rsid w:val="00083EE7"/>
    <w:rsid w:val="00105462"/>
    <w:rsid w:val="00156E67"/>
    <w:rsid w:val="001A56CE"/>
    <w:rsid w:val="001B1145"/>
    <w:rsid w:val="001C052B"/>
    <w:rsid w:val="00210B4E"/>
    <w:rsid w:val="00235231"/>
    <w:rsid w:val="00235640"/>
    <w:rsid w:val="00245D6C"/>
    <w:rsid w:val="0025171E"/>
    <w:rsid w:val="00290349"/>
    <w:rsid w:val="002909E7"/>
    <w:rsid w:val="0029481C"/>
    <w:rsid w:val="002A14B8"/>
    <w:rsid w:val="002B7DBD"/>
    <w:rsid w:val="002E0336"/>
    <w:rsid w:val="002F34BD"/>
    <w:rsid w:val="002F528D"/>
    <w:rsid w:val="003013CA"/>
    <w:rsid w:val="003225A6"/>
    <w:rsid w:val="00343628"/>
    <w:rsid w:val="00347AEF"/>
    <w:rsid w:val="00370E78"/>
    <w:rsid w:val="00387245"/>
    <w:rsid w:val="003E3775"/>
    <w:rsid w:val="003E3E87"/>
    <w:rsid w:val="00460B44"/>
    <w:rsid w:val="00495306"/>
    <w:rsid w:val="004A52A8"/>
    <w:rsid w:val="004A7BA6"/>
    <w:rsid w:val="004D5E0B"/>
    <w:rsid w:val="005234F0"/>
    <w:rsid w:val="00540995"/>
    <w:rsid w:val="005649FB"/>
    <w:rsid w:val="00580F05"/>
    <w:rsid w:val="00593ADD"/>
    <w:rsid w:val="005A0A08"/>
    <w:rsid w:val="005E750D"/>
    <w:rsid w:val="006321B9"/>
    <w:rsid w:val="006549D6"/>
    <w:rsid w:val="006A053B"/>
    <w:rsid w:val="006A6CD0"/>
    <w:rsid w:val="006D2439"/>
    <w:rsid w:val="006E1459"/>
    <w:rsid w:val="006E5894"/>
    <w:rsid w:val="007567F5"/>
    <w:rsid w:val="007744AA"/>
    <w:rsid w:val="00781C26"/>
    <w:rsid w:val="00782273"/>
    <w:rsid w:val="007C63AA"/>
    <w:rsid w:val="007E6673"/>
    <w:rsid w:val="00813E43"/>
    <w:rsid w:val="008230AD"/>
    <w:rsid w:val="00831290"/>
    <w:rsid w:val="00867496"/>
    <w:rsid w:val="008742DC"/>
    <w:rsid w:val="008801C0"/>
    <w:rsid w:val="00892804"/>
    <w:rsid w:val="008A1F78"/>
    <w:rsid w:val="008D1808"/>
    <w:rsid w:val="0090421A"/>
    <w:rsid w:val="00905C40"/>
    <w:rsid w:val="00920A26"/>
    <w:rsid w:val="00966CC3"/>
    <w:rsid w:val="009762E2"/>
    <w:rsid w:val="009810BF"/>
    <w:rsid w:val="00994A53"/>
    <w:rsid w:val="009B2EA3"/>
    <w:rsid w:val="009B4F6A"/>
    <w:rsid w:val="009C290C"/>
    <w:rsid w:val="009D03BE"/>
    <w:rsid w:val="009E6943"/>
    <w:rsid w:val="00A10A62"/>
    <w:rsid w:val="00A1623E"/>
    <w:rsid w:val="00A557E0"/>
    <w:rsid w:val="00A66EE6"/>
    <w:rsid w:val="00AA1B2C"/>
    <w:rsid w:val="00AC50F2"/>
    <w:rsid w:val="00B20D9D"/>
    <w:rsid w:val="00B37CEF"/>
    <w:rsid w:val="00B4516B"/>
    <w:rsid w:val="00B916A4"/>
    <w:rsid w:val="00B922FF"/>
    <w:rsid w:val="00BA59C0"/>
    <w:rsid w:val="00BC7851"/>
    <w:rsid w:val="00BD08CA"/>
    <w:rsid w:val="00BD74C9"/>
    <w:rsid w:val="00BF006A"/>
    <w:rsid w:val="00C1302D"/>
    <w:rsid w:val="00C13BFC"/>
    <w:rsid w:val="00C22168"/>
    <w:rsid w:val="00C2404A"/>
    <w:rsid w:val="00C30DF6"/>
    <w:rsid w:val="00C448BF"/>
    <w:rsid w:val="00C5186E"/>
    <w:rsid w:val="00C76497"/>
    <w:rsid w:val="00CA2EA5"/>
    <w:rsid w:val="00CB2AA5"/>
    <w:rsid w:val="00CC1202"/>
    <w:rsid w:val="00CC3DB4"/>
    <w:rsid w:val="00CE5BE3"/>
    <w:rsid w:val="00D33721"/>
    <w:rsid w:val="00D4282D"/>
    <w:rsid w:val="00D57ECD"/>
    <w:rsid w:val="00D8479E"/>
    <w:rsid w:val="00E06DFE"/>
    <w:rsid w:val="00E95604"/>
    <w:rsid w:val="00EA3B73"/>
    <w:rsid w:val="00EA5F57"/>
    <w:rsid w:val="00EB709F"/>
    <w:rsid w:val="00EC7886"/>
    <w:rsid w:val="00EF7430"/>
    <w:rsid w:val="00F416EE"/>
    <w:rsid w:val="00F60FBF"/>
    <w:rsid w:val="00F91F5D"/>
    <w:rsid w:val="00FE6B87"/>
    <w:rsid w:val="00FF5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462"/>
    <w:pPr>
      <w:spacing w:after="0" w:line="240" w:lineRule="auto"/>
    </w:pPr>
    <w:rPr>
      <w:rFonts w:ascii="Tahoma" w:eastAsia="Times New Roman" w:hAnsi="Tahoma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171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171E"/>
    <w:rPr>
      <w:rFonts w:ascii="Tahoma" w:eastAsia="Times New Roman" w:hAnsi="Tahoma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5171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171E"/>
    <w:rPr>
      <w:rFonts w:ascii="Tahoma" w:eastAsia="Times New Roman" w:hAnsi="Tahoma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060C3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F528D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528D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462"/>
    <w:pPr>
      <w:spacing w:after="0" w:line="240" w:lineRule="auto"/>
    </w:pPr>
    <w:rPr>
      <w:rFonts w:ascii="Tahoma" w:eastAsia="Times New Roman" w:hAnsi="Tahoma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171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171E"/>
    <w:rPr>
      <w:rFonts w:ascii="Tahoma" w:eastAsia="Times New Roman" w:hAnsi="Tahoma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5171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171E"/>
    <w:rPr>
      <w:rFonts w:ascii="Tahoma" w:eastAsia="Times New Roman" w:hAnsi="Tahoma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060C3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F528D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528D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1114</Words>
  <Characters>6350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42</cp:revision>
  <cp:lastPrinted>2016-09-12T13:10:00Z</cp:lastPrinted>
  <dcterms:created xsi:type="dcterms:W3CDTF">2016-08-22T05:57:00Z</dcterms:created>
  <dcterms:modified xsi:type="dcterms:W3CDTF">2016-09-12T13:10:00Z</dcterms:modified>
</cp:coreProperties>
</file>