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62" w:rsidRDefault="00203D70" w:rsidP="004551A8">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TANAKA SITHOLE</w:t>
      </w:r>
    </w:p>
    <w:p w:rsidR="00203D70" w:rsidRDefault="0076083B"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nd</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CYNTHIA SITHOLE</w:t>
      </w:r>
    </w:p>
    <w:p w:rsidR="00203D70" w:rsidRDefault="0076083B" w:rsidP="004551A8">
      <w:pPr>
        <w:spacing w:after="0"/>
        <w:rPr>
          <w:rFonts w:ascii="Times New Roman" w:hAnsi="Times New Roman" w:cs="Times New Roman"/>
          <w:sz w:val="24"/>
          <w:szCs w:val="24"/>
        </w:rPr>
      </w:pPr>
      <w:r>
        <w:rPr>
          <w:rFonts w:ascii="Times New Roman" w:hAnsi="Times New Roman" w:cs="Times New Roman"/>
          <w:sz w:val="24"/>
          <w:szCs w:val="24"/>
        </w:rPr>
        <w:t>v</w:t>
      </w:r>
      <w:r w:rsidR="00203D70">
        <w:rPr>
          <w:rFonts w:ascii="Times New Roman" w:hAnsi="Times New Roman" w:cs="Times New Roman"/>
          <w:sz w:val="24"/>
          <w:szCs w:val="24"/>
        </w:rPr>
        <w:t>ersus</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PEN</w:t>
      </w:r>
      <w:r w:rsidR="007B3780">
        <w:rPr>
          <w:rFonts w:ascii="Times New Roman" w:hAnsi="Times New Roman" w:cs="Times New Roman"/>
          <w:sz w:val="24"/>
          <w:szCs w:val="24"/>
        </w:rPr>
        <w:t>NI</w:t>
      </w:r>
      <w:r>
        <w:rPr>
          <w:rFonts w:ascii="Times New Roman" w:hAnsi="Times New Roman" w:cs="Times New Roman"/>
          <w:sz w:val="24"/>
          <w:szCs w:val="24"/>
        </w:rPr>
        <w:t>WILL (PRIVATE) LIMITED</w:t>
      </w:r>
    </w:p>
    <w:p w:rsidR="00203D70" w:rsidRDefault="0076083B"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nd</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EDITHA INVESTMENTS (PVT) LTD</w:t>
      </w:r>
    </w:p>
    <w:p w:rsidR="00203D70" w:rsidRDefault="0076083B"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nd</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THE TRUSTEES</w:t>
      </w:r>
      <w:r w:rsidR="00F83A51">
        <w:rPr>
          <w:rFonts w:ascii="Times New Roman" w:hAnsi="Times New Roman" w:cs="Times New Roman"/>
          <w:sz w:val="24"/>
          <w:szCs w:val="24"/>
        </w:rPr>
        <w:t xml:space="preserve"> </w:t>
      </w:r>
      <w:r>
        <w:rPr>
          <w:rFonts w:ascii="Times New Roman" w:hAnsi="Times New Roman" w:cs="Times New Roman"/>
          <w:sz w:val="24"/>
          <w:szCs w:val="24"/>
        </w:rPr>
        <w:t xml:space="preserve">FOR THE TIME BEING OF GABRIEL AND </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ANGELS TRUS</w:t>
      </w:r>
      <w:r w:rsidR="00976E41">
        <w:rPr>
          <w:rFonts w:ascii="Times New Roman" w:hAnsi="Times New Roman" w:cs="Times New Roman"/>
          <w:sz w:val="24"/>
          <w:szCs w:val="24"/>
        </w:rPr>
        <w:t>T</w:t>
      </w:r>
    </w:p>
    <w:p w:rsidR="00203D70" w:rsidRDefault="0076083B"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nd</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NOBERT MAVUNGA</w:t>
      </w:r>
    </w:p>
    <w:p w:rsidR="00203D70" w:rsidRDefault="0076083B"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nd</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JOICE POUND</w:t>
      </w:r>
    </w:p>
    <w:p w:rsidR="00203D70"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nd</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CECIL KACHAMBWA</w:t>
      </w:r>
    </w:p>
    <w:p w:rsidR="00203D70"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nd</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LEWIS DOWA</w:t>
      </w:r>
    </w:p>
    <w:p w:rsidR="00203D70"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a</w:t>
      </w:r>
      <w:r w:rsidR="00203D70">
        <w:rPr>
          <w:rFonts w:ascii="Times New Roman" w:hAnsi="Times New Roman" w:cs="Times New Roman"/>
          <w:sz w:val="24"/>
          <w:szCs w:val="24"/>
        </w:rPr>
        <w:t xml:space="preserve">nd </w:t>
      </w:r>
    </w:p>
    <w:p w:rsidR="00203D70" w:rsidRDefault="00203D70" w:rsidP="004551A8">
      <w:pPr>
        <w:spacing w:after="0"/>
        <w:rPr>
          <w:rFonts w:ascii="Times New Roman" w:hAnsi="Times New Roman" w:cs="Times New Roman"/>
          <w:sz w:val="24"/>
          <w:szCs w:val="24"/>
        </w:rPr>
      </w:pPr>
      <w:r>
        <w:rPr>
          <w:rFonts w:ascii="Times New Roman" w:hAnsi="Times New Roman" w:cs="Times New Roman"/>
          <w:sz w:val="24"/>
          <w:szCs w:val="24"/>
        </w:rPr>
        <w:t>NYARADZO CHEZA</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and</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PAMELA KUBARA</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and</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LINDA MUNJOMA</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and</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BRADLEY TRUST</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and</w:t>
      </w:r>
    </w:p>
    <w:p w:rsidR="00D9752F" w:rsidRDefault="00D9752F" w:rsidP="004551A8">
      <w:pPr>
        <w:spacing w:after="0"/>
        <w:rPr>
          <w:rFonts w:ascii="Times New Roman" w:hAnsi="Times New Roman" w:cs="Times New Roman"/>
          <w:sz w:val="24"/>
          <w:szCs w:val="24"/>
        </w:rPr>
      </w:pPr>
      <w:r>
        <w:rPr>
          <w:rFonts w:ascii="Times New Roman" w:hAnsi="Times New Roman" w:cs="Times New Roman"/>
          <w:sz w:val="24"/>
          <w:szCs w:val="24"/>
        </w:rPr>
        <w:t>THE SHERIFF OF HIGH COURT OF ZIMBABWE N.O</w:t>
      </w:r>
    </w:p>
    <w:p w:rsidR="004551A8" w:rsidRDefault="004551A8" w:rsidP="004551A8">
      <w:pPr>
        <w:spacing w:after="0"/>
        <w:rPr>
          <w:rFonts w:ascii="Times New Roman" w:hAnsi="Times New Roman" w:cs="Times New Roman"/>
          <w:sz w:val="24"/>
          <w:szCs w:val="24"/>
        </w:rPr>
      </w:pPr>
    </w:p>
    <w:p w:rsidR="004551A8" w:rsidRDefault="004551A8" w:rsidP="004551A8">
      <w:pPr>
        <w:spacing w:after="0"/>
        <w:rPr>
          <w:rFonts w:ascii="Times New Roman" w:hAnsi="Times New Roman" w:cs="Times New Roman"/>
          <w:sz w:val="24"/>
          <w:szCs w:val="24"/>
        </w:rPr>
      </w:pPr>
    </w:p>
    <w:p w:rsidR="004551A8" w:rsidRDefault="00810E41" w:rsidP="004551A8">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810E41" w:rsidRDefault="00810E41" w:rsidP="004551A8">
      <w:pPr>
        <w:spacing w:after="0"/>
        <w:rPr>
          <w:rFonts w:ascii="Times New Roman" w:hAnsi="Times New Roman" w:cs="Times New Roman"/>
          <w:sz w:val="24"/>
          <w:szCs w:val="24"/>
        </w:rPr>
      </w:pPr>
      <w:r>
        <w:rPr>
          <w:rFonts w:ascii="Times New Roman" w:hAnsi="Times New Roman" w:cs="Times New Roman"/>
          <w:sz w:val="24"/>
          <w:szCs w:val="24"/>
        </w:rPr>
        <w:t>MHURI J</w:t>
      </w:r>
    </w:p>
    <w:p w:rsidR="00810E41" w:rsidRDefault="00810E41" w:rsidP="004551A8">
      <w:pPr>
        <w:spacing w:after="0"/>
        <w:rPr>
          <w:rFonts w:ascii="Times New Roman" w:hAnsi="Times New Roman" w:cs="Times New Roman"/>
          <w:sz w:val="24"/>
          <w:szCs w:val="24"/>
        </w:rPr>
      </w:pPr>
      <w:r>
        <w:rPr>
          <w:rFonts w:ascii="Times New Roman" w:hAnsi="Times New Roman" w:cs="Times New Roman"/>
          <w:sz w:val="24"/>
          <w:szCs w:val="24"/>
        </w:rPr>
        <w:t>HARARE, 16 &amp; 2</w:t>
      </w:r>
      <w:r w:rsidR="00520275">
        <w:rPr>
          <w:rFonts w:ascii="Times New Roman" w:hAnsi="Times New Roman" w:cs="Times New Roman"/>
          <w:sz w:val="24"/>
          <w:szCs w:val="24"/>
        </w:rPr>
        <w:t>6</w:t>
      </w:r>
      <w:r>
        <w:rPr>
          <w:rFonts w:ascii="Times New Roman" w:hAnsi="Times New Roman" w:cs="Times New Roman"/>
          <w:sz w:val="24"/>
          <w:szCs w:val="24"/>
        </w:rPr>
        <w:t xml:space="preserve"> May 2023</w:t>
      </w:r>
    </w:p>
    <w:p w:rsidR="00810E41" w:rsidRDefault="00810E41" w:rsidP="004551A8">
      <w:pPr>
        <w:spacing w:after="0"/>
        <w:rPr>
          <w:rFonts w:ascii="Times New Roman" w:hAnsi="Times New Roman" w:cs="Times New Roman"/>
          <w:sz w:val="24"/>
          <w:szCs w:val="24"/>
        </w:rPr>
      </w:pPr>
    </w:p>
    <w:p w:rsidR="00810E41" w:rsidRDefault="00810E41" w:rsidP="004551A8">
      <w:pPr>
        <w:spacing w:after="0"/>
        <w:rPr>
          <w:rFonts w:ascii="Times New Roman" w:hAnsi="Times New Roman" w:cs="Times New Roman"/>
          <w:sz w:val="24"/>
          <w:szCs w:val="24"/>
        </w:rPr>
      </w:pPr>
    </w:p>
    <w:p w:rsidR="00810E41" w:rsidRPr="00810E41" w:rsidRDefault="00810E41" w:rsidP="004551A8">
      <w:pPr>
        <w:spacing w:after="0"/>
        <w:rPr>
          <w:rFonts w:ascii="Times New Roman" w:hAnsi="Times New Roman" w:cs="Times New Roman"/>
          <w:b/>
          <w:sz w:val="24"/>
          <w:szCs w:val="24"/>
        </w:rPr>
      </w:pPr>
      <w:r w:rsidRPr="00810E41">
        <w:rPr>
          <w:rFonts w:ascii="Times New Roman" w:hAnsi="Times New Roman" w:cs="Times New Roman"/>
          <w:b/>
          <w:sz w:val="24"/>
          <w:szCs w:val="24"/>
        </w:rPr>
        <w:t>Application for Condonation</w:t>
      </w:r>
    </w:p>
    <w:p w:rsidR="00810E41" w:rsidRDefault="00810E41" w:rsidP="004551A8">
      <w:pPr>
        <w:spacing w:after="0"/>
        <w:rPr>
          <w:rFonts w:ascii="Times New Roman" w:hAnsi="Times New Roman" w:cs="Times New Roman"/>
          <w:sz w:val="24"/>
          <w:szCs w:val="24"/>
        </w:rPr>
      </w:pPr>
    </w:p>
    <w:p w:rsidR="00810E41" w:rsidRDefault="00810E41" w:rsidP="004551A8">
      <w:pPr>
        <w:spacing w:after="0"/>
        <w:rPr>
          <w:rFonts w:ascii="Times New Roman" w:hAnsi="Times New Roman" w:cs="Times New Roman"/>
          <w:sz w:val="24"/>
          <w:szCs w:val="24"/>
        </w:rPr>
      </w:pPr>
    </w:p>
    <w:p w:rsidR="00810E41" w:rsidRDefault="00810E41" w:rsidP="004551A8">
      <w:pPr>
        <w:spacing w:after="0"/>
        <w:rPr>
          <w:rFonts w:ascii="Times New Roman" w:hAnsi="Times New Roman" w:cs="Times New Roman"/>
          <w:sz w:val="24"/>
          <w:szCs w:val="24"/>
        </w:rPr>
      </w:pPr>
      <w:r w:rsidRPr="00810E41">
        <w:rPr>
          <w:rFonts w:ascii="Times New Roman" w:hAnsi="Times New Roman" w:cs="Times New Roman"/>
          <w:i/>
          <w:sz w:val="24"/>
          <w:szCs w:val="24"/>
        </w:rPr>
        <w:t>J Mambara,</w:t>
      </w:r>
      <w:r>
        <w:rPr>
          <w:rFonts w:ascii="Times New Roman" w:hAnsi="Times New Roman" w:cs="Times New Roman"/>
          <w:sz w:val="24"/>
          <w:szCs w:val="24"/>
        </w:rPr>
        <w:t xml:space="preserve"> for the applicants</w:t>
      </w:r>
    </w:p>
    <w:p w:rsidR="00810E41" w:rsidRDefault="00810E41" w:rsidP="004551A8">
      <w:pPr>
        <w:spacing w:after="0"/>
        <w:rPr>
          <w:rFonts w:ascii="Times New Roman" w:hAnsi="Times New Roman" w:cs="Times New Roman"/>
          <w:sz w:val="24"/>
          <w:szCs w:val="24"/>
        </w:rPr>
      </w:pPr>
      <w:r w:rsidRPr="00810E41">
        <w:rPr>
          <w:rFonts w:ascii="Times New Roman" w:hAnsi="Times New Roman" w:cs="Times New Roman"/>
          <w:i/>
          <w:sz w:val="24"/>
          <w:szCs w:val="24"/>
        </w:rPr>
        <w:t>Advocate W Ncube</w:t>
      </w:r>
      <w:r>
        <w:rPr>
          <w:rFonts w:ascii="Times New Roman" w:hAnsi="Times New Roman" w:cs="Times New Roman"/>
          <w:sz w:val="24"/>
          <w:szCs w:val="24"/>
        </w:rPr>
        <w:t>, for the 1</w:t>
      </w:r>
      <w:r w:rsidRPr="00810E4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10E41" w:rsidRDefault="00810E41" w:rsidP="004551A8">
      <w:pPr>
        <w:spacing w:after="0"/>
        <w:rPr>
          <w:rFonts w:ascii="Times New Roman" w:hAnsi="Times New Roman" w:cs="Times New Roman"/>
          <w:sz w:val="24"/>
          <w:szCs w:val="24"/>
        </w:rPr>
      </w:pPr>
      <w:r w:rsidRPr="00810E41">
        <w:rPr>
          <w:rFonts w:ascii="Times New Roman" w:hAnsi="Times New Roman" w:cs="Times New Roman"/>
          <w:i/>
          <w:sz w:val="24"/>
          <w:szCs w:val="24"/>
        </w:rPr>
        <w:t>T Makanza</w:t>
      </w:r>
      <w:r>
        <w:rPr>
          <w:rFonts w:ascii="Times New Roman" w:hAnsi="Times New Roman" w:cs="Times New Roman"/>
          <w:sz w:val="24"/>
          <w:szCs w:val="24"/>
        </w:rPr>
        <w:t>, for 2</w:t>
      </w:r>
      <w:r w:rsidRPr="00810E4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810E41" w:rsidRDefault="00810E41" w:rsidP="004551A8">
      <w:pPr>
        <w:spacing w:after="0"/>
        <w:rPr>
          <w:rFonts w:ascii="Times New Roman" w:hAnsi="Times New Roman" w:cs="Times New Roman"/>
          <w:sz w:val="24"/>
          <w:szCs w:val="24"/>
        </w:rPr>
      </w:pPr>
      <w:r>
        <w:rPr>
          <w:rFonts w:ascii="Times New Roman" w:hAnsi="Times New Roman" w:cs="Times New Roman"/>
          <w:sz w:val="24"/>
          <w:szCs w:val="24"/>
        </w:rPr>
        <w:t xml:space="preserve">Ms </w:t>
      </w:r>
      <w:r w:rsidRPr="00810E41">
        <w:rPr>
          <w:rFonts w:ascii="Times New Roman" w:hAnsi="Times New Roman" w:cs="Times New Roman"/>
          <w:i/>
          <w:sz w:val="24"/>
          <w:szCs w:val="24"/>
        </w:rPr>
        <w:t>A Chatsama</w:t>
      </w:r>
      <w:r>
        <w:rPr>
          <w:rFonts w:ascii="Times New Roman" w:hAnsi="Times New Roman" w:cs="Times New Roman"/>
          <w:sz w:val="24"/>
          <w:szCs w:val="24"/>
        </w:rPr>
        <w:t>, for the 3</w:t>
      </w:r>
      <w:r w:rsidRPr="00810E41">
        <w:rPr>
          <w:rFonts w:ascii="Times New Roman" w:hAnsi="Times New Roman" w:cs="Times New Roman"/>
          <w:sz w:val="24"/>
          <w:szCs w:val="24"/>
          <w:vertAlign w:val="superscript"/>
        </w:rPr>
        <w:t>rd</w:t>
      </w:r>
      <w:r>
        <w:rPr>
          <w:rFonts w:ascii="Times New Roman" w:hAnsi="Times New Roman" w:cs="Times New Roman"/>
          <w:sz w:val="24"/>
          <w:szCs w:val="24"/>
        </w:rPr>
        <w:t xml:space="preserve"> – 11</w:t>
      </w:r>
      <w:r w:rsidRPr="00810E4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453DEF" w:rsidRDefault="00453DEF" w:rsidP="004551A8">
      <w:pPr>
        <w:spacing w:after="0"/>
        <w:rPr>
          <w:rFonts w:ascii="Times New Roman" w:hAnsi="Times New Roman" w:cs="Times New Roman"/>
          <w:sz w:val="24"/>
          <w:szCs w:val="24"/>
        </w:rPr>
      </w:pPr>
      <w:r>
        <w:rPr>
          <w:rFonts w:ascii="Times New Roman" w:hAnsi="Times New Roman" w:cs="Times New Roman"/>
          <w:sz w:val="24"/>
          <w:szCs w:val="24"/>
        </w:rPr>
        <w:t>No appearance for the 12</w:t>
      </w:r>
      <w:r w:rsidRPr="00453DE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810E41" w:rsidRDefault="00810E41" w:rsidP="004551A8">
      <w:pPr>
        <w:spacing w:after="0"/>
        <w:rPr>
          <w:rFonts w:ascii="Times New Roman" w:hAnsi="Times New Roman" w:cs="Times New Roman"/>
          <w:sz w:val="24"/>
          <w:szCs w:val="24"/>
        </w:rPr>
      </w:pPr>
    </w:p>
    <w:p w:rsidR="00810E41" w:rsidRDefault="00A25FEC" w:rsidP="00A25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MHURI J:</w:t>
      </w:r>
      <w:r>
        <w:rPr>
          <w:rFonts w:ascii="Times New Roman" w:hAnsi="Times New Roman" w:cs="Times New Roman"/>
          <w:sz w:val="24"/>
          <w:szCs w:val="24"/>
        </w:rPr>
        <w:tab/>
        <w:t xml:space="preserve">On 16 May 2022 this </w:t>
      </w:r>
      <w:r w:rsidR="00B00F0F">
        <w:rPr>
          <w:rFonts w:ascii="Times New Roman" w:hAnsi="Times New Roman" w:cs="Times New Roman"/>
          <w:sz w:val="24"/>
          <w:szCs w:val="24"/>
        </w:rPr>
        <w:t>C</w:t>
      </w:r>
      <w:r>
        <w:rPr>
          <w:rFonts w:ascii="Times New Roman" w:hAnsi="Times New Roman" w:cs="Times New Roman"/>
          <w:sz w:val="24"/>
          <w:szCs w:val="24"/>
        </w:rPr>
        <w:t>ourt (</w:t>
      </w:r>
      <w:r w:rsidRPr="00A25FEC">
        <w:rPr>
          <w:rFonts w:ascii="Times New Roman" w:hAnsi="Times New Roman" w:cs="Times New Roman"/>
          <w:smallCaps/>
          <w:sz w:val="24"/>
          <w:szCs w:val="24"/>
        </w:rPr>
        <w:t>Hon. Mangota J</w:t>
      </w:r>
      <w:r>
        <w:rPr>
          <w:rFonts w:ascii="Times New Roman" w:hAnsi="Times New Roman" w:cs="Times New Roman"/>
          <w:sz w:val="24"/>
          <w:szCs w:val="24"/>
        </w:rPr>
        <w:t>) issued an order (the Order) in an application HC 5689/21 pitt</w:t>
      </w:r>
      <w:r w:rsidR="00A84C04">
        <w:rPr>
          <w:rFonts w:ascii="Times New Roman" w:hAnsi="Times New Roman" w:cs="Times New Roman"/>
          <w:sz w:val="24"/>
          <w:szCs w:val="24"/>
        </w:rPr>
        <w:t>i</w:t>
      </w:r>
      <w:r>
        <w:rPr>
          <w:rFonts w:ascii="Times New Roman" w:hAnsi="Times New Roman" w:cs="Times New Roman"/>
          <w:sz w:val="24"/>
          <w:szCs w:val="24"/>
        </w:rPr>
        <w:t>ng first respondent (a</w:t>
      </w:r>
      <w:r w:rsidR="00655D7B">
        <w:rPr>
          <w:rFonts w:ascii="Times New Roman" w:hAnsi="Times New Roman" w:cs="Times New Roman"/>
          <w:sz w:val="24"/>
          <w:szCs w:val="24"/>
        </w:rPr>
        <w:t>p</w:t>
      </w:r>
      <w:r>
        <w:rPr>
          <w:rFonts w:ascii="Times New Roman" w:hAnsi="Times New Roman" w:cs="Times New Roman"/>
          <w:sz w:val="24"/>
          <w:szCs w:val="24"/>
        </w:rPr>
        <w:t xml:space="preserve">plicant therein) against applicants </w:t>
      </w:r>
      <w:r w:rsidRPr="00B00F0F">
        <w:rPr>
          <w:rFonts w:ascii="Times New Roman" w:hAnsi="Times New Roman" w:cs="Times New Roman"/>
          <w:i/>
          <w:sz w:val="24"/>
          <w:szCs w:val="24"/>
        </w:rPr>
        <w:t>in cas</w:t>
      </w:r>
      <w:r w:rsidR="00B00F0F" w:rsidRPr="00B00F0F">
        <w:rPr>
          <w:rFonts w:ascii="Times New Roman" w:hAnsi="Times New Roman" w:cs="Times New Roman"/>
          <w:i/>
          <w:sz w:val="24"/>
          <w:szCs w:val="24"/>
        </w:rPr>
        <w:t>u</w:t>
      </w:r>
      <w:r>
        <w:rPr>
          <w:rFonts w:ascii="Times New Roman" w:hAnsi="Times New Roman" w:cs="Times New Roman"/>
          <w:sz w:val="24"/>
          <w:szCs w:val="24"/>
        </w:rPr>
        <w:t xml:space="preserve"> and the rest of the</w:t>
      </w:r>
      <w:r w:rsidR="00655D7B">
        <w:rPr>
          <w:rFonts w:ascii="Times New Roman" w:hAnsi="Times New Roman" w:cs="Times New Roman"/>
          <w:sz w:val="24"/>
          <w:szCs w:val="24"/>
        </w:rPr>
        <w:t xml:space="preserve"> respondents.  The order read as follows:</w:t>
      </w:r>
    </w:p>
    <w:p w:rsidR="00655D7B" w:rsidRDefault="00655D7B" w:rsidP="00655D7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papers to serve as its summons</w:t>
      </w:r>
      <w:r w:rsidR="000F7930">
        <w:rPr>
          <w:rFonts w:ascii="Times New Roman" w:hAnsi="Times New Roman" w:cs="Times New Roman"/>
          <w:sz w:val="24"/>
          <w:szCs w:val="24"/>
        </w:rPr>
        <w:t>.</w:t>
      </w:r>
    </w:p>
    <w:p w:rsidR="00655D7B" w:rsidRDefault="00655D7B" w:rsidP="00655D7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to prepare</w:t>
      </w:r>
      <w:r w:rsidR="00B00F0F">
        <w:rPr>
          <w:rFonts w:ascii="Times New Roman" w:hAnsi="Times New Roman" w:cs="Times New Roman"/>
          <w:sz w:val="24"/>
          <w:szCs w:val="24"/>
        </w:rPr>
        <w:t>,</w:t>
      </w:r>
      <w:r>
        <w:rPr>
          <w:rFonts w:ascii="Times New Roman" w:hAnsi="Times New Roman" w:cs="Times New Roman"/>
          <w:sz w:val="24"/>
          <w:szCs w:val="24"/>
        </w:rPr>
        <w:t xml:space="preserve"> file and serve upon the respondent its declaration on or before 31 May 2022</w:t>
      </w:r>
      <w:r w:rsidR="000F7930">
        <w:rPr>
          <w:rFonts w:ascii="Times New Roman" w:hAnsi="Times New Roman" w:cs="Times New Roman"/>
          <w:sz w:val="24"/>
          <w:szCs w:val="24"/>
        </w:rPr>
        <w:t>.</w:t>
      </w:r>
    </w:p>
    <w:p w:rsidR="00655D7B" w:rsidRDefault="00655D7B" w:rsidP="00655D7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w:t>
      </w:r>
      <w:r w:rsidR="00B00F0F">
        <w:rPr>
          <w:rFonts w:ascii="Times New Roman" w:hAnsi="Times New Roman" w:cs="Times New Roman"/>
          <w:sz w:val="24"/>
          <w:szCs w:val="24"/>
        </w:rPr>
        <w:t>’</w:t>
      </w:r>
      <w:r>
        <w:rPr>
          <w:rFonts w:ascii="Times New Roman" w:hAnsi="Times New Roman" w:cs="Times New Roman"/>
          <w:sz w:val="24"/>
          <w:szCs w:val="24"/>
        </w:rPr>
        <w:t>s notice of opposition to serve on (</w:t>
      </w:r>
      <w:r w:rsidRPr="00B00F0F">
        <w:rPr>
          <w:rFonts w:ascii="Times New Roman" w:hAnsi="Times New Roman" w:cs="Times New Roman"/>
          <w:i/>
          <w:sz w:val="24"/>
          <w:szCs w:val="24"/>
        </w:rPr>
        <w:t>sic</w:t>
      </w:r>
      <w:r>
        <w:rPr>
          <w:rFonts w:ascii="Times New Roman" w:hAnsi="Times New Roman" w:cs="Times New Roman"/>
          <w:sz w:val="24"/>
          <w:szCs w:val="24"/>
        </w:rPr>
        <w:t>) its notice of appearance to defend</w:t>
      </w:r>
      <w:r w:rsidR="000F7930">
        <w:rPr>
          <w:rFonts w:ascii="Times New Roman" w:hAnsi="Times New Roman" w:cs="Times New Roman"/>
          <w:sz w:val="24"/>
          <w:szCs w:val="24"/>
        </w:rPr>
        <w:t>.</w:t>
      </w:r>
    </w:p>
    <w:p w:rsidR="00655D7B" w:rsidRDefault="00655D7B" w:rsidP="00655D7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to prepare</w:t>
      </w:r>
      <w:r w:rsidR="00B00F0F">
        <w:rPr>
          <w:rFonts w:ascii="Times New Roman" w:hAnsi="Times New Roman" w:cs="Times New Roman"/>
          <w:sz w:val="24"/>
          <w:szCs w:val="24"/>
        </w:rPr>
        <w:t>,</w:t>
      </w:r>
      <w:r>
        <w:rPr>
          <w:rFonts w:ascii="Times New Roman" w:hAnsi="Times New Roman" w:cs="Times New Roman"/>
          <w:sz w:val="24"/>
          <w:szCs w:val="24"/>
        </w:rPr>
        <w:t xml:space="preserve"> file and serve upon the applicant its plea on or before 14 June </w:t>
      </w:r>
      <w:r w:rsidR="000F7930">
        <w:rPr>
          <w:rFonts w:ascii="Times New Roman" w:hAnsi="Times New Roman" w:cs="Times New Roman"/>
          <w:sz w:val="24"/>
          <w:szCs w:val="24"/>
        </w:rPr>
        <w:t>2022.</w:t>
      </w:r>
    </w:p>
    <w:p w:rsidR="000F7930" w:rsidRDefault="000F7930" w:rsidP="00655D7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the case shall proceed in terms of the rules of court.</w:t>
      </w:r>
    </w:p>
    <w:p w:rsidR="000F7930" w:rsidRDefault="000F7930" w:rsidP="000F7930">
      <w:pPr>
        <w:spacing w:after="0" w:line="360" w:lineRule="auto"/>
        <w:jc w:val="both"/>
        <w:rPr>
          <w:rFonts w:ascii="Times New Roman" w:hAnsi="Times New Roman" w:cs="Times New Roman"/>
          <w:sz w:val="24"/>
          <w:szCs w:val="24"/>
        </w:rPr>
      </w:pPr>
    </w:p>
    <w:p w:rsidR="000F7930" w:rsidRDefault="000F7930" w:rsidP="003A5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Order, in particular para. 4 thereto, that gave </w:t>
      </w:r>
      <w:r w:rsidR="00B00F0F">
        <w:rPr>
          <w:rFonts w:ascii="Times New Roman" w:hAnsi="Times New Roman" w:cs="Times New Roman"/>
          <w:sz w:val="24"/>
          <w:szCs w:val="24"/>
        </w:rPr>
        <w:t>ris</w:t>
      </w:r>
      <w:r>
        <w:rPr>
          <w:rFonts w:ascii="Times New Roman" w:hAnsi="Times New Roman" w:cs="Times New Roman"/>
          <w:sz w:val="24"/>
          <w:szCs w:val="24"/>
        </w:rPr>
        <w:t>e to this application for condonation for late filing of first and second applicant’s plea.  Applicant</w:t>
      </w:r>
      <w:r w:rsidR="006F52BB">
        <w:rPr>
          <w:rFonts w:ascii="Times New Roman" w:hAnsi="Times New Roman" w:cs="Times New Roman"/>
          <w:sz w:val="24"/>
          <w:szCs w:val="24"/>
        </w:rPr>
        <w:t>s fell foul of this order by not complying with the time limit</w:t>
      </w:r>
      <w:r w:rsidR="00B00F0F">
        <w:rPr>
          <w:rFonts w:ascii="Times New Roman" w:hAnsi="Times New Roman" w:cs="Times New Roman"/>
          <w:sz w:val="24"/>
          <w:szCs w:val="24"/>
        </w:rPr>
        <w:t xml:space="preserve">s </w:t>
      </w:r>
      <w:r w:rsidR="006F52BB">
        <w:rPr>
          <w:rFonts w:ascii="Times New Roman" w:hAnsi="Times New Roman" w:cs="Times New Roman"/>
          <w:sz w:val="24"/>
          <w:szCs w:val="24"/>
        </w:rPr>
        <w:t>stated in para (4).  In this application, applicants are seeking the following relief that:</w:t>
      </w:r>
    </w:p>
    <w:p w:rsidR="006F52BB" w:rsidRDefault="006F52BB" w:rsidP="006F52B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for late filing of the first and second applicants’ pleas in case number HC 5689/21 be granted.</w:t>
      </w:r>
    </w:p>
    <w:p w:rsidR="006F52BB" w:rsidRPr="006F52BB" w:rsidRDefault="006F52BB" w:rsidP="006F52B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applicants file their pleas within seven </w:t>
      </w:r>
      <w:r w:rsidR="003A532B">
        <w:rPr>
          <w:rFonts w:ascii="Times New Roman" w:hAnsi="Times New Roman" w:cs="Times New Roman"/>
          <w:sz w:val="24"/>
          <w:szCs w:val="24"/>
        </w:rPr>
        <w:t>(7) days of the granting of this order</w:t>
      </w:r>
    </w:p>
    <w:p w:rsidR="00D9752F" w:rsidRDefault="003A532B" w:rsidP="003A5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i</w:t>
      </w:r>
      <w:r w:rsidR="00B00F0F">
        <w:rPr>
          <w:rFonts w:ascii="Times New Roman" w:hAnsi="Times New Roman" w:cs="Times New Roman"/>
          <w:sz w:val="24"/>
          <w:szCs w:val="24"/>
        </w:rPr>
        <w:t>s</w:t>
      </w:r>
      <w:r>
        <w:rPr>
          <w:rFonts w:ascii="Times New Roman" w:hAnsi="Times New Roman" w:cs="Times New Roman"/>
          <w:sz w:val="24"/>
          <w:szCs w:val="24"/>
        </w:rPr>
        <w:t xml:space="preserve"> averse to the granting of the applica</w:t>
      </w:r>
      <w:r w:rsidR="0027146C">
        <w:rPr>
          <w:rFonts w:ascii="Times New Roman" w:hAnsi="Times New Roman" w:cs="Times New Roman"/>
          <w:sz w:val="24"/>
          <w:szCs w:val="24"/>
        </w:rPr>
        <w:t>tion</w:t>
      </w:r>
      <w:r>
        <w:rPr>
          <w:rFonts w:ascii="Times New Roman" w:hAnsi="Times New Roman" w:cs="Times New Roman"/>
          <w:sz w:val="24"/>
          <w:szCs w:val="24"/>
        </w:rPr>
        <w:t xml:space="preserve"> and prays that it be dismissed with costs.</w:t>
      </w:r>
    </w:p>
    <w:p w:rsidR="003A532B" w:rsidRDefault="003A532B" w:rsidP="003A5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to eleventh respondents are not averse to the granting of the application and have filed their con</w:t>
      </w:r>
      <w:r w:rsidR="0027146C">
        <w:rPr>
          <w:rFonts w:ascii="Times New Roman" w:hAnsi="Times New Roman" w:cs="Times New Roman"/>
          <w:sz w:val="24"/>
          <w:szCs w:val="24"/>
        </w:rPr>
        <w:t>s</w:t>
      </w:r>
      <w:r>
        <w:rPr>
          <w:rFonts w:ascii="Times New Roman" w:hAnsi="Times New Roman" w:cs="Times New Roman"/>
          <w:sz w:val="24"/>
          <w:szCs w:val="24"/>
        </w:rPr>
        <w:t>ent to judgment.</w:t>
      </w:r>
    </w:p>
    <w:p w:rsidR="00820FB9" w:rsidRDefault="00820FB9" w:rsidP="003A5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an established position of the law that in application</w:t>
      </w:r>
      <w:r w:rsidR="0027146C">
        <w:rPr>
          <w:rFonts w:ascii="Times New Roman" w:hAnsi="Times New Roman" w:cs="Times New Roman"/>
          <w:sz w:val="24"/>
          <w:szCs w:val="24"/>
        </w:rPr>
        <w:t>s</w:t>
      </w:r>
      <w:r>
        <w:rPr>
          <w:rFonts w:ascii="Times New Roman" w:hAnsi="Times New Roman" w:cs="Times New Roman"/>
          <w:sz w:val="24"/>
          <w:szCs w:val="24"/>
        </w:rPr>
        <w:t xml:space="preserve"> such as this one, the court has to consider the following </w:t>
      </w:r>
      <w:r w:rsidR="00485470">
        <w:rPr>
          <w:rFonts w:ascii="Times New Roman" w:hAnsi="Times New Roman" w:cs="Times New Roman"/>
          <w:sz w:val="24"/>
          <w:szCs w:val="24"/>
        </w:rPr>
        <w:t xml:space="preserve">main factors </w:t>
      </w:r>
      <w:r w:rsidR="00485470" w:rsidRPr="00485470">
        <w:rPr>
          <w:rFonts w:ascii="Times New Roman" w:hAnsi="Times New Roman" w:cs="Times New Roman"/>
          <w:i/>
          <w:sz w:val="24"/>
          <w:szCs w:val="24"/>
        </w:rPr>
        <w:t>inter alia</w:t>
      </w:r>
      <w:r w:rsidR="00485470">
        <w:rPr>
          <w:rFonts w:ascii="Times New Roman" w:hAnsi="Times New Roman" w:cs="Times New Roman"/>
          <w:sz w:val="24"/>
          <w:szCs w:val="24"/>
        </w:rPr>
        <w:t>:</w:t>
      </w:r>
    </w:p>
    <w:p w:rsidR="00485470" w:rsidRDefault="00485470" w:rsidP="0048547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length of the delay </w:t>
      </w:r>
    </w:p>
    <w:p w:rsidR="00485470" w:rsidRDefault="00485470" w:rsidP="0048547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for the delay</w:t>
      </w:r>
    </w:p>
    <w:p w:rsidR="00485470" w:rsidRDefault="00485470" w:rsidP="0048547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in the main matter</w:t>
      </w:r>
    </w:p>
    <w:p w:rsidR="00485470" w:rsidRDefault="00485470" w:rsidP="0048547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finality to litigation</w:t>
      </w:r>
    </w:p>
    <w:p w:rsidR="00485470" w:rsidRDefault="00485470" w:rsidP="00485470">
      <w:pPr>
        <w:spacing w:after="0" w:line="360" w:lineRule="auto"/>
        <w:ind w:left="720"/>
        <w:jc w:val="both"/>
        <w:rPr>
          <w:rFonts w:ascii="Times New Roman" w:hAnsi="Times New Roman" w:cs="Times New Roman"/>
          <w:sz w:val="24"/>
          <w:szCs w:val="24"/>
        </w:rPr>
      </w:pPr>
    </w:p>
    <w:p w:rsidR="0046307B" w:rsidRDefault="00485470" w:rsidP="00485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list is not exhaustive.  The courts have pronounced on this principle in several cases.  See </w:t>
      </w:r>
      <w:r w:rsidRPr="00854F86">
        <w:rPr>
          <w:rFonts w:ascii="Times New Roman" w:hAnsi="Times New Roman" w:cs="Times New Roman"/>
          <w:i/>
          <w:sz w:val="24"/>
          <w:szCs w:val="24"/>
        </w:rPr>
        <w:t>K M Auctions (Pvt) Ltd</w:t>
      </w:r>
      <w:r>
        <w:rPr>
          <w:rFonts w:ascii="Times New Roman" w:hAnsi="Times New Roman" w:cs="Times New Roman"/>
          <w:sz w:val="24"/>
          <w:szCs w:val="24"/>
        </w:rPr>
        <w:t xml:space="preserve"> v </w:t>
      </w:r>
      <w:r w:rsidRPr="00854F86">
        <w:rPr>
          <w:rFonts w:ascii="Times New Roman" w:hAnsi="Times New Roman" w:cs="Times New Roman"/>
          <w:i/>
          <w:sz w:val="24"/>
          <w:szCs w:val="24"/>
        </w:rPr>
        <w:t>Adenash Samuel</w:t>
      </w:r>
      <w:r w:rsidR="0027146C">
        <w:rPr>
          <w:rFonts w:ascii="Times New Roman" w:hAnsi="Times New Roman" w:cs="Times New Roman"/>
          <w:sz w:val="24"/>
          <w:szCs w:val="24"/>
        </w:rPr>
        <w:t xml:space="preserve"> </w:t>
      </w:r>
      <w:r w:rsidR="0027146C" w:rsidRPr="0027146C">
        <w:rPr>
          <w:rFonts w:ascii="Times New Roman" w:hAnsi="Times New Roman" w:cs="Times New Roman"/>
          <w:i/>
          <w:sz w:val="24"/>
          <w:szCs w:val="24"/>
        </w:rPr>
        <w:t>and</w:t>
      </w:r>
      <w:r w:rsidRPr="0027146C">
        <w:rPr>
          <w:rFonts w:ascii="Times New Roman" w:hAnsi="Times New Roman" w:cs="Times New Roman"/>
          <w:i/>
          <w:sz w:val="24"/>
          <w:szCs w:val="24"/>
        </w:rPr>
        <w:t xml:space="preserve"> </w:t>
      </w:r>
      <w:r w:rsidRPr="00854F86">
        <w:rPr>
          <w:rFonts w:ascii="Times New Roman" w:hAnsi="Times New Roman" w:cs="Times New Roman"/>
          <w:i/>
          <w:sz w:val="24"/>
          <w:szCs w:val="24"/>
        </w:rPr>
        <w:t>Registrar of Deeds</w:t>
      </w:r>
      <w:r w:rsidR="00854F86">
        <w:rPr>
          <w:rFonts w:ascii="Times New Roman" w:hAnsi="Times New Roman" w:cs="Times New Roman"/>
          <w:sz w:val="24"/>
          <w:szCs w:val="24"/>
        </w:rPr>
        <w:t xml:space="preserve"> SC 262/08, </w:t>
      </w:r>
      <w:r w:rsidR="00854F86" w:rsidRPr="00854F86">
        <w:rPr>
          <w:rFonts w:ascii="Times New Roman" w:hAnsi="Times New Roman" w:cs="Times New Roman"/>
          <w:i/>
          <w:sz w:val="24"/>
          <w:szCs w:val="24"/>
        </w:rPr>
        <w:t>Kombayi</w:t>
      </w:r>
      <w:r w:rsidR="00854F86">
        <w:rPr>
          <w:rFonts w:ascii="Times New Roman" w:hAnsi="Times New Roman" w:cs="Times New Roman"/>
          <w:sz w:val="24"/>
          <w:szCs w:val="24"/>
        </w:rPr>
        <w:t xml:space="preserve"> v </w:t>
      </w:r>
      <w:r w:rsidR="00854F86" w:rsidRPr="00854F86">
        <w:rPr>
          <w:rFonts w:ascii="Times New Roman" w:hAnsi="Times New Roman" w:cs="Times New Roman"/>
          <w:i/>
          <w:sz w:val="24"/>
          <w:szCs w:val="24"/>
        </w:rPr>
        <w:t>Berk</w:t>
      </w:r>
      <w:r w:rsidR="00854F86">
        <w:rPr>
          <w:rFonts w:ascii="Times New Roman" w:hAnsi="Times New Roman" w:cs="Times New Roman"/>
          <w:sz w:val="24"/>
          <w:szCs w:val="24"/>
        </w:rPr>
        <w:t xml:space="preserve"> </w:t>
      </w:r>
      <w:r w:rsidR="0027146C">
        <w:rPr>
          <w:rFonts w:ascii="Times New Roman" w:hAnsi="Times New Roman" w:cs="Times New Roman"/>
          <w:sz w:val="24"/>
          <w:szCs w:val="24"/>
        </w:rPr>
        <w:t xml:space="preserve">hout </w:t>
      </w:r>
      <w:r w:rsidR="00854F86">
        <w:rPr>
          <w:rFonts w:ascii="Times New Roman" w:hAnsi="Times New Roman" w:cs="Times New Roman"/>
          <w:sz w:val="24"/>
          <w:szCs w:val="24"/>
        </w:rPr>
        <w:t>1988(1) ZLR 53(</w:t>
      </w:r>
      <w:r w:rsidR="005E653E">
        <w:rPr>
          <w:rFonts w:ascii="Times New Roman" w:hAnsi="Times New Roman" w:cs="Times New Roman"/>
          <w:sz w:val="24"/>
          <w:szCs w:val="24"/>
        </w:rPr>
        <w:t>S</w:t>
      </w:r>
    </w:p>
    <w:p w:rsidR="00485470" w:rsidRDefault="00854F86" w:rsidP="00485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and </w:t>
      </w:r>
      <w:r w:rsidRPr="00854F86">
        <w:rPr>
          <w:rFonts w:ascii="Times New Roman" w:hAnsi="Times New Roman" w:cs="Times New Roman"/>
          <w:i/>
          <w:sz w:val="24"/>
          <w:szCs w:val="24"/>
        </w:rPr>
        <w:t>National Social Security</w:t>
      </w:r>
      <w:r>
        <w:rPr>
          <w:rFonts w:ascii="Times New Roman" w:hAnsi="Times New Roman" w:cs="Times New Roman"/>
          <w:sz w:val="24"/>
          <w:szCs w:val="24"/>
        </w:rPr>
        <w:t xml:space="preserve"> </w:t>
      </w:r>
      <w:r w:rsidR="0027146C" w:rsidRPr="0027146C">
        <w:rPr>
          <w:rFonts w:ascii="Times New Roman" w:hAnsi="Times New Roman" w:cs="Times New Roman"/>
          <w:i/>
          <w:sz w:val="24"/>
          <w:szCs w:val="24"/>
        </w:rPr>
        <w:t>Authority</w:t>
      </w:r>
      <w:r w:rsidR="0027146C">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854F86">
        <w:rPr>
          <w:rFonts w:ascii="Times New Roman" w:hAnsi="Times New Roman" w:cs="Times New Roman"/>
          <w:i/>
          <w:sz w:val="24"/>
          <w:szCs w:val="24"/>
        </w:rPr>
        <w:t>Denford Chipunza</w:t>
      </w:r>
      <w:r>
        <w:rPr>
          <w:rFonts w:ascii="Times New Roman" w:hAnsi="Times New Roman" w:cs="Times New Roman"/>
          <w:sz w:val="24"/>
          <w:szCs w:val="24"/>
        </w:rPr>
        <w:t xml:space="preserve"> SC 116/04.</w:t>
      </w:r>
    </w:p>
    <w:p w:rsidR="00F65489" w:rsidRDefault="00B611F1" w:rsidP="00B61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also a trite position that when determining such applications, the court will be exercising a discretion which discretion must be exercised in a judicious manner.  This position was elabor</w:t>
      </w:r>
      <w:r w:rsidR="002E38C3">
        <w:rPr>
          <w:rFonts w:ascii="Times New Roman" w:hAnsi="Times New Roman" w:cs="Times New Roman"/>
          <w:sz w:val="24"/>
          <w:szCs w:val="24"/>
        </w:rPr>
        <w:t xml:space="preserve">ately pronounced by </w:t>
      </w:r>
      <w:r w:rsidR="002E38C3" w:rsidRPr="002E38C3">
        <w:rPr>
          <w:rFonts w:ascii="Times New Roman" w:hAnsi="Times New Roman" w:cs="Times New Roman"/>
          <w:smallCaps/>
          <w:sz w:val="24"/>
          <w:szCs w:val="24"/>
        </w:rPr>
        <w:t>Sandura JA</w:t>
      </w:r>
      <w:r w:rsidR="002E38C3">
        <w:rPr>
          <w:rFonts w:ascii="Times New Roman" w:hAnsi="Times New Roman" w:cs="Times New Roman"/>
          <w:sz w:val="24"/>
          <w:szCs w:val="24"/>
        </w:rPr>
        <w:t xml:space="preserve"> in the case of </w:t>
      </w:r>
      <w:r w:rsidR="002E38C3" w:rsidRPr="002E38C3">
        <w:rPr>
          <w:rFonts w:ascii="Times New Roman" w:hAnsi="Times New Roman" w:cs="Times New Roman"/>
          <w:i/>
          <w:sz w:val="24"/>
          <w:szCs w:val="24"/>
        </w:rPr>
        <w:t>Kodzwa</w:t>
      </w:r>
      <w:r w:rsidR="002E38C3">
        <w:rPr>
          <w:rFonts w:ascii="Times New Roman" w:hAnsi="Times New Roman" w:cs="Times New Roman"/>
          <w:sz w:val="24"/>
          <w:szCs w:val="24"/>
        </w:rPr>
        <w:t xml:space="preserve"> </w:t>
      </w:r>
      <w:r w:rsidR="002E38C3" w:rsidRPr="00453DEF">
        <w:rPr>
          <w:rFonts w:ascii="Times New Roman" w:hAnsi="Times New Roman" w:cs="Times New Roman"/>
          <w:sz w:val="24"/>
          <w:szCs w:val="24"/>
        </w:rPr>
        <w:t>v</w:t>
      </w:r>
      <w:r w:rsidR="002E38C3" w:rsidRPr="002E38C3">
        <w:rPr>
          <w:rFonts w:ascii="Times New Roman" w:hAnsi="Times New Roman" w:cs="Times New Roman"/>
          <w:i/>
          <w:sz w:val="24"/>
          <w:szCs w:val="24"/>
        </w:rPr>
        <w:t xml:space="preserve"> Secretarty for Health &amp; Anor</w:t>
      </w:r>
      <w:r w:rsidR="002E38C3">
        <w:rPr>
          <w:rFonts w:ascii="Times New Roman" w:hAnsi="Times New Roman" w:cs="Times New Roman"/>
          <w:sz w:val="24"/>
          <w:szCs w:val="24"/>
        </w:rPr>
        <w:t xml:space="preserve"> 1999(1) ZLR 313(S) at p 315 B-C quoting </w:t>
      </w:r>
      <w:r w:rsidR="00683BB2">
        <w:rPr>
          <w:rFonts w:ascii="Times New Roman" w:hAnsi="Times New Roman" w:cs="Times New Roman"/>
          <w:sz w:val="24"/>
          <w:szCs w:val="24"/>
        </w:rPr>
        <w:t xml:space="preserve">Herbstein &amp; Van Winsen’s </w:t>
      </w:r>
      <w:r w:rsidR="00683BB2" w:rsidRPr="00683BB2">
        <w:rPr>
          <w:rFonts w:ascii="Times New Roman" w:hAnsi="Times New Roman" w:cs="Times New Roman"/>
          <w:i/>
          <w:sz w:val="24"/>
          <w:szCs w:val="24"/>
        </w:rPr>
        <w:t xml:space="preserve">The Civil Practice of the Supreme Court of South Africa </w:t>
      </w:r>
      <w:r w:rsidR="00683BB2" w:rsidRPr="00683BB2">
        <w:rPr>
          <w:rFonts w:ascii="Times New Roman" w:hAnsi="Times New Roman" w:cs="Times New Roman"/>
          <w:sz w:val="24"/>
          <w:szCs w:val="24"/>
        </w:rPr>
        <w:t>4ed</w:t>
      </w:r>
      <w:r w:rsidR="0027146C">
        <w:rPr>
          <w:rFonts w:ascii="Times New Roman" w:hAnsi="Times New Roman" w:cs="Times New Roman"/>
          <w:i/>
          <w:sz w:val="24"/>
          <w:szCs w:val="24"/>
        </w:rPr>
        <w:t>,</w:t>
      </w:r>
      <w:r w:rsidR="00683BB2">
        <w:rPr>
          <w:rFonts w:ascii="Times New Roman" w:hAnsi="Times New Roman" w:cs="Times New Roman"/>
          <w:sz w:val="24"/>
          <w:szCs w:val="24"/>
        </w:rPr>
        <w:t xml:space="preserve"> </w:t>
      </w:r>
      <w:r w:rsidR="0027146C">
        <w:rPr>
          <w:rFonts w:ascii="Times New Roman" w:hAnsi="Times New Roman" w:cs="Times New Roman"/>
          <w:sz w:val="24"/>
          <w:szCs w:val="24"/>
        </w:rPr>
        <w:t>b</w:t>
      </w:r>
      <w:r w:rsidR="00683BB2">
        <w:rPr>
          <w:rFonts w:ascii="Times New Roman" w:hAnsi="Times New Roman" w:cs="Times New Roman"/>
          <w:sz w:val="24"/>
          <w:szCs w:val="24"/>
        </w:rPr>
        <w:t xml:space="preserve">y Van Winsen, Cilliers and </w:t>
      </w:r>
      <w:r w:rsidR="00E45F33">
        <w:rPr>
          <w:rFonts w:ascii="Times New Roman" w:hAnsi="Times New Roman" w:cs="Times New Roman"/>
          <w:sz w:val="24"/>
          <w:szCs w:val="24"/>
        </w:rPr>
        <w:t>L</w:t>
      </w:r>
      <w:r w:rsidR="00683BB2">
        <w:rPr>
          <w:rFonts w:ascii="Times New Roman" w:hAnsi="Times New Roman" w:cs="Times New Roman"/>
          <w:sz w:val="24"/>
          <w:szCs w:val="24"/>
        </w:rPr>
        <w:t>oots, the learned</w:t>
      </w:r>
      <w:r w:rsidR="00070AEA">
        <w:rPr>
          <w:rFonts w:ascii="Times New Roman" w:hAnsi="Times New Roman" w:cs="Times New Roman"/>
          <w:sz w:val="24"/>
          <w:szCs w:val="24"/>
        </w:rPr>
        <w:t xml:space="preserve"> </w:t>
      </w:r>
    </w:p>
    <w:p w:rsidR="00B611F1" w:rsidRDefault="00683BB2" w:rsidP="00B61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Judge of Appeal had this to say:</w:t>
      </w:r>
    </w:p>
    <w:p w:rsidR="00683BB2" w:rsidRPr="00AF0173" w:rsidRDefault="00683BB2" w:rsidP="00AF0173">
      <w:pPr>
        <w:spacing w:after="0" w:line="240" w:lineRule="auto"/>
        <w:ind w:left="720"/>
        <w:jc w:val="both"/>
        <w:rPr>
          <w:rFonts w:ascii="Times New Roman" w:hAnsi="Times New Roman" w:cs="Times New Roman"/>
        </w:rPr>
      </w:pPr>
      <w:r w:rsidRPr="00AF0173">
        <w:rPr>
          <w:rFonts w:ascii="Times New Roman" w:hAnsi="Times New Roman" w:cs="Times New Roman"/>
        </w:rPr>
        <w:t>“Condonation of the non-o</w:t>
      </w:r>
      <w:r w:rsidR="00C620DE" w:rsidRPr="00AF0173">
        <w:rPr>
          <w:rFonts w:ascii="Times New Roman" w:hAnsi="Times New Roman" w:cs="Times New Roman"/>
        </w:rPr>
        <w:t>b</w:t>
      </w:r>
      <w:r w:rsidRPr="00AF0173">
        <w:rPr>
          <w:rFonts w:ascii="Times New Roman" w:hAnsi="Times New Roman" w:cs="Times New Roman"/>
        </w:rPr>
        <w:t xml:space="preserve">servance of the rules is by no means </w:t>
      </w:r>
      <w:r w:rsidR="00C620DE" w:rsidRPr="00AF0173">
        <w:rPr>
          <w:rFonts w:ascii="Times New Roman" w:hAnsi="Times New Roman" w:cs="Times New Roman"/>
        </w:rPr>
        <w:t>a mere formality.   It is for the applicant to satisfy the court that there is sufficient cause to excuse him from compliance…..  The court’s power to grant relief should not be exercised arbitrarily and upon the mere asking, but with proper judicial discretion and satisfactory grounds being shown by the applicant.”.</w:t>
      </w:r>
    </w:p>
    <w:p w:rsidR="00C620DE" w:rsidRDefault="00C620DE" w:rsidP="00C620DE">
      <w:pPr>
        <w:spacing w:after="0" w:line="360" w:lineRule="auto"/>
        <w:ind w:left="720"/>
        <w:jc w:val="both"/>
        <w:rPr>
          <w:rFonts w:ascii="Times New Roman" w:hAnsi="Times New Roman" w:cs="Times New Roman"/>
          <w:sz w:val="24"/>
          <w:szCs w:val="24"/>
        </w:rPr>
      </w:pPr>
    </w:p>
    <w:p w:rsidR="00D77430" w:rsidRDefault="00D77430" w:rsidP="00D77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para (4) of the Order was to be compiled with by 14 June 2022.  This was not done.  This application for condonation was filed on </w:t>
      </w:r>
      <w:r w:rsidR="00AF0173">
        <w:rPr>
          <w:rFonts w:ascii="Times New Roman" w:hAnsi="Times New Roman" w:cs="Times New Roman"/>
          <w:sz w:val="24"/>
          <w:szCs w:val="24"/>
        </w:rPr>
        <w:t>5</w:t>
      </w:r>
      <w:r w:rsidR="00AF0173">
        <w:rPr>
          <w:rFonts w:ascii="Times New Roman" w:hAnsi="Times New Roman" w:cs="Times New Roman"/>
          <w:sz w:val="24"/>
          <w:szCs w:val="24"/>
          <w:vertAlign w:val="superscript"/>
        </w:rPr>
        <w:t xml:space="preserve"> </w:t>
      </w:r>
      <w:r w:rsidR="00AF0173">
        <w:rPr>
          <w:rFonts w:ascii="Times New Roman" w:hAnsi="Times New Roman" w:cs="Times New Roman"/>
          <w:sz w:val="24"/>
          <w:szCs w:val="24"/>
        </w:rPr>
        <w:t>October</w:t>
      </w:r>
      <w:r>
        <w:rPr>
          <w:rFonts w:ascii="Times New Roman" w:hAnsi="Times New Roman" w:cs="Times New Roman"/>
          <w:sz w:val="24"/>
          <w:szCs w:val="24"/>
        </w:rPr>
        <w:t xml:space="preserve"> 2022.  The delay therefore is almost four (4) months.  This is a long delay in my view.  </w:t>
      </w:r>
    </w:p>
    <w:p w:rsidR="00D77430" w:rsidRDefault="00D77430" w:rsidP="00D77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explaining the delay, applicants averred in their founding affidavit that these are fully explained in their legal practitioner’s supporting affidavit, </w:t>
      </w:r>
      <w:r w:rsidR="007B1CED">
        <w:rPr>
          <w:rFonts w:ascii="Times New Roman" w:hAnsi="Times New Roman" w:cs="Times New Roman"/>
          <w:sz w:val="24"/>
          <w:szCs w:val="24"/>
        </w:rPr>
        <w:t>who accepts the blame for taking the route the matter proce</w:t>
      </w:r>
      <w:r w:rsidR="00EA7FA8">
        <w:rPr>
          <w:rFonts w:ascii="Times New Roman" w:hAnsi="Times New Roman" w:cs="Times New Roman"/>
          <w:sz w:val="24"/>
          <w:szCs w:val="24"/>
        </w:rPr>
        <w:t>ed</w:t>
      </w:r>
      <w:r w:rsidR="007B1CED">
        <w:rPr>
          <w:rFonts w:ascii="Times New Roman" w:hAnsi="Times New Roman" w:cs="Times New Roman"/>
          <w:sz w:val="24"/>
          <w:szCs w:val="24"/>
        </w:rPr>
        <w:t>ed on.</w:t>
      </w:r>
    </w:p>
    <w:p w:rsidR="007B1CED" w:rsidRDefault="007B1CED" w:rsidP="00D77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supporting affidavit, Mr </w:t>
      </w:r>
      <w:r w:rsidRPr="007B1CED">
        <w:rPr>
          <w:rFonts w:ascii="Times New Roman" w:hAnsi="Times New Roman" w:cs="Times New Roman"/>
          <w:i/>
          <w:sz w:val="24"/>
          <w:szCs w:val="24"/>
        </w:rPr>
        <w:t>Mambara</w:t>
      </w:r>
      <w:r>
        <w:rPr>
          <w:rFonts w:ascii="Times New Roman" w:hAnsi="Times New Roman" w:cs="Times New Roman"/>
          <w:sz w:val="24"/>
          <w:szCs w:val="24"/>
        </w:rPr>
        <w:t xml:space="preserve"> (applicants’ legal practitioner) gave the explanation that, the delay was not of the applicants’ making but his and he fully took the blame.  He filed an appearance to defend on the mistaken view that the matter was to proceed in terms of the Rules and yet the Order indicated otherwise.  He completely missed the </w:t>
      </w:r>
      <w:r w:rsidR="007653A0">
        <w:rPr>
          <w:rFonts w:ascii="Times New Roman" w:hAnsi="Times New Roman" w:cs="Times New Roman"/>
          <w:sz w:val="24"/>
          <w:szCs w:val="24"/>
        </w:rPr>
        <w:t xml:space="preserve">directive.  He explained further that he was out of time to file the plea as the special plea he had filed was pending.  It was only heard on 4 October 2022.  He further averred that the fact that the special plea was still pending did not take away the blame from him.  He fully accepted the blame for misreading the Order.   His submission in this regard was that he had relied on </w:t>
      </w:r>
      <w:r w:rsidR="00EA7FA8">
        <w:rPr>
          <w:rFonts w:ascii="Times New Roman" w:hAnsi="Times New Roman" w:cs="Times New Roman"/>
          <w:sz w:val="24"/>
          <w:szCs w:val="24"/>
        </w:rPr>
        <w:t xml:space="preserve">Rule </w:t>
      </w:r>
      <w:r w:rsidR="007653A0">
        <w:rPr>
          <w:rFonts w:ascii="Times New Roman" w:hAnsi="Times New Roman" w:cs="Times New Roman"/>
          <w:sz w:val="24"/>
          <w:szCs w:val="24"/>
        </w:rPr>
        <w:t xml:space="preserve">42(7) of the High Court Rules 2021 which in his view, the plea would only be filed after the special plea </w:t>
      </w:r>
      <w:r w:rsidR="003A5546">
        <w:rPr>
          <w:rFonts w:ascii="Times New Roman" w:hAnsi="Times New Roman" w:cs="Times New Roman"/>
          <w:sz w:val="24"/>
          <w:szCs w:val="24"/>
        </w:rPr>
        <w:t>had been heard.  Had he not waited for the outcome of the special plea, the plea would have been noted in time.  He submitted further that the misreading of the Order was not deliberate but an honest mistake on his part as such his sins should not be visited on the applicants.</w:t>
      </w:r>
    </w:p>
    <w:p w:rsidR="003A5546" w:rsidRDefault="003A5546" w:rsidP="00D77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following facts are common cause that:</w:t>
      </w:r>
    </w:p>
    <w:p w:rsidR="003A5546" w:rsidRDefault="003A5546" w:rsidP="003A5546">
      <w:pPr>
        <w:pStyle w:val="ListParagraph"/>
        <w:numPr>
          <w:ilvl w:val="0"/>
          <w:numId w:val="3"/>
        </w:numPr>
        <w:spacing w:after="0" w:line="360" w:lineRule="auto"/>
        <w:jc w:val="both"/>
        <w:rPr>
          <w:rFonts w:ascii="Times New Roman" w:hAnsi="Times New Roman" w:cs="Times New Roman"/>
          <w:sz w:val="24"/>
          <w:szCs w:val="24"/>
        </w:rPr>
      </w:pPr>
      <w:r w:rsidRPr="003A5546">
        <w:rPr>
          <w:rFonts w:ascii="Times New Roman" w:hAnsi="Times New Roman" w:cs="Times New Roman"/>
          <w:sz w:val="24"/>
          <w:szCs w:val="24"/>
        </w:rPr>
        <w:t>as per para</w:t>
      </w:r>
      <w:r w:rsidR="00EA7FA8">
        <w:rPr>
          <w:rFonts w:ascii="Times New Roman" w:hAnsi="Times New Roman" w:cs="Times New Roman"/>
          <w:sz w:val="24"/>
          <w:szCs w:val="24"/>
        </w:rPr>
        <w:t xml:space="preserve">graphs </w:t>
      </w:r>
      <w:r w:rsidRPr="003A5546">
        <w:rPr>
          <w:rFonts w:ascii="Times New Roman" w:hAnsi="Times New Roman" w:cs="Times New Roman"/>
          <w:sz w:val="24"/>
          <w:szCs w:val="24"/>
        </w:rPr>
        <w:t>3 and 4 of the Order, appl</w:t>
      </w:r>
      <w:r>
        <w:rPr>
          <w:rFonts w:ascii="Times New Roman" w:hAnsi="Times New Roman" w:cs="Times New Roman"/>
          <w:sz w:val="24"/>
          <w:szCs w:val="24"/>
        </w:rPr>
        <w:t xml:space="preserve">icants notice of opposition was to </w:t>
      </w:r>
      <w:r w:rsidR="00ED20D7">
        <w:rPr>
          <w:rFonts w:ascii="Times New Roman" w:hAnsi="Times New Roman" w:cs="Times New Roman"/>
          <w:sz w:val="24"/>
          <w:szCs w:val="24"/>
        </w:rPr>
        <w:t>serve as its notice of appearance to defend;</w:t>
      </w:r>
    </w:p>
    <w:p w:rsidR="00ED20D7" w:rsidRDefault="003062D1" w:rsidP="003A5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D20D7">
        <w:rPr>
          <w:rFonts w:ascii="Times New Roman" w:hAnsi="Times New Roman" w:cs="Times New Roman"/>
          <w:sz w:val="24"/>
          <w:szCs w:val="24"/>
        </w:rPr>
        <w:t>pplicants were to file and serve</w:t>
      </w:r>
      <w:r w:rsidR="00EA7FA8">
        <w:rPr>
          <w:rFonts w:ascii="Times New Roman" w:hAnsi="Times New Roman" w:cs="Times New Roman"/>
          <w:sz w:val="24"/>
          <w:szCs w:val="24"/>
        </w:rPr>
        <w:t xml:space="preserve"> their</w:t>
      </w:r>
      <w:r w:rsidR="00ED20D7">
        <w:rPr>
          <w:rFonts w:ascii="Times New Roman" w:hAnsi="Times New Roman" w:cs="Times New Roman"/>
          <w:sz w:val="24"/>
          <w:szCs w:val="24"/>
        </w:rPr>
        <w:t xml:space="preserve"> plea by the 14</w:t>
      </w:r>
      <w:r w:rsidR="00ED20D7" w:rsidRPr="00ED20D7">
        <w:rPr>
          <w:rFonts w:ascii="Times New Roman" w:hAnsi="Times New Roman" w:cs="Times New Roman"/>
          <w:sz w:val="24"/>
          <w:szCs w:val="24"/>
          <w:vertAlign w:val="superscript"/>
        </w:rPr>
        <w:t>th</w:t>
      </w:r>
      <w:r w:rsidR="00ED20D7">
        <w:rPr>
          <w:rFonts w:ascii="Times New Roman" w:hAnsi="Times New Roman" w:cs="Times New Roman"/>
          <w:sz w:val="24"/>
          <w:szCs w:val="24"/>
        </w:rPr>
        <w:t xml:space="preserve"> of June 2022</w:t>
      </w:r>
    </w:p>
    <w:p w:rsidR="00ED20D7" w:rsidRDefault="003062D1" w:rsidP="003A5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ED20D7">
        <w:rPr>
          <w:rFonts w:ascii="Times New Roman" w:hAnsi="Times New Roman" w:cs="Times New Roman"/>
          <w:sz w:val="24"/>
          <w:szCs w:val="24"/>
        </w:rPr>
        <w:t>n 6 June 2022 applicants’ legal practitioners filed a notice of appearance to defend</w:t>
      </w:r>
    </w:p>
    <w:p w:rsidR="00ED20D7" w:rsidRDefault="00ED20D7" w:rsidP="003A5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29 June 2022 applicants</w:t>
      </w:r>
      <w:r w:rsidR="005C0B25">
        <w:rPr>
          <w:rFonts w:ascii="Times New Roman" w:hAnsi="Times New Roman" w:cs="Times New Roman"/>
          <w:sz w:val="24"/>
          <w:szCs w:val="24"/>
        </w:rPr>
        <w:t>’</w:t>
      </w:r>
      <w:r>
        <w:rPr>
          <w:rFonts w:ascii="Times New Roman" w:hAnsi="Times New Roman" w:cs="Times New Roman"/>
          <w:sz w:val="24"/>
          <w:szCs w:val="24"/>
        </w:rPr>
        <w:t xml:space="preserve"> legal practitioners wrote a letter of complainant to first respondent in terms of </w:t>
      </w:r>
      <w:r w:rsidR="00EA7FA8">
        <w:rPr>
          <w:rFonts w:ascii="Times New Roman" w:hAnsi="Times New Roman" w:cs="Times New Roman"/>
          <w:sz w:val="24"/>
          <w:szCs w:val="24"/>
        </w:rPr>
        <w:t>Rule</w:t>
      </w:r>
      <w:r>
        <w:rPr>
          <w:rFonts w:ascii="Times New Roman" w:hAnsi="Times New Roman" w:cs="Times New Roman"/>
          <w:sz w:val="24"/>
          <w:szCs w:val="24"/>
        </w:rPr>
        <w:t xml:space="preserve"> 42(3)</w:t>
      </w:r>
      <w:r w:rsidR="003062D1">
        <w:rPr>
          <w:rFonts w:ascii="Times New Roman" w:hAnsi="Times New Roman" w:cs="Times New Roman"/>
          <w:sz w:val="24"/>
          <w:szCs w:val="24"/>
        </w:rPr>
        <w:t>.</w:t>
      </w:r>
    </w:p>
    <w:p w:rsidR="003062D1" w:rsidRDefault="003062D1" w:rsidP="003A5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15 July 2022 he filed a special plea</w:t>
      </w:r>
    </w:p>
    <w:p w:rsidR="003062D1" w:rsidRDefault="003062D1" w:rsidP="003A5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w:t>
      </w:r>
      <w:r w:rsidR="00EA7FA8">
        <w:rPr>
          <w:rFonts w:ascii="Times New Roman" w:hAnsi="Times New Roman" w:cs="Times New Roman"/>
          <w:sz w:val="24"/>
          <w:szCs w:val="24"/>
        </w:rPr>
        <w:t xml:space="preserve">4 August </w:t>
      </w:r>
      <w:r w:rsidR="00CE19B9">
        <w:rPr>
          <w:rFonts w:ascii="Times New Roman" w:hAnsi="Times New Roman" w:cs="Times New Roman"/>
          <w:sz w:val="24"/>
          <w:szCs w:val="24"/>
        </w:rPr>
        <w:t xml:space="preserve">2022 </w:t>
      </w:r>
      <w:r>
        <w:rPr>
          <w:rFonts w:ascii="Times New Roman" w:hAnsi="Times New Roman" w:cs="Times New Roman"/>
          <w:sz w:val="24"/>
          <w:szCs w:val="24"/>
        </w:rPr>
        <w:t xml:space="preserve">first respondent filed its opposition to the special plea in which it raised a point </w:t>
      </w:r>
      <w:r w:rsidRPr="003062D1">
        <w:rPr>
          <w:rFonts w:ascii="Times New Roman" w:hAnsi="Times New Roman" w:cs="Times New Roman"/>
          <w:i/>
          <w:sz w:val="24"/>
          <w:szCs w:val="24"/>
        </w:rPr>
        <w:t>in limine</w:t>
      </w:r>
      <w:r>
        <w:rPr>
          <w:rFonts w:ascii="Times New Roman" w:hAnsi="Times New Roman" w:cs="Times New Roman"/>
          <w:sz w:val="24"/>
          <w:szCs w:val="24"/>
        </w:rPr>
        <w:t xml:space="preserve"> that the special plea was filed out of time.</w:t>
      </w:r>
    </w:p>
    <w:p w:rsidR="003062D1" w:rsidRDefault="003062D1" w:rsidP="003A5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4 October 2022 the special plea was set down </w:t>
      </w:r>
      <w:r w:rsidR="00CE19B9">
        <w:rPr>
          <w:rFonts w:ascii="Times New Roman" w:hAnsi="Times New Roman" w:cs="Times New Roman"/>
          <w:sz w:val="24"/>
          <w:szCs w:val="24"/>
        </w:rPr>
        <w:t>for hearing</w:t>
      </w:r>
      <w:r w:rsidR="001A7105">
        <w:rPr>
          <w:rFonts w:ascii="Times New Roman" w:hAnsi="Times New Roman" w:cs="Times New Roman"/>
          <w:sz w:val="24"/>
          <w:szCs w:val="24"/>
        </w:rPr>
        <w:t xml:space="preserve"> </w:t>
      </w:r>
      <w:r>
        <w:rPr>
          <w:rFonts w:ascii="Times New Roman" w:hAnsi="Times New Roman" w:cs="Times New Roman"/>
          <w:sz w:val="24"/>
          <w:szCs w:val="24"/>
        </w:rPr>
        <w:t>and was struck off.</w:t>
      </w:r>
    </w:p>
    <w:p w:rsidR="003062D1" w:rsidRDefault="003062D1" w:rsidP="003A5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next day </w:t>
      </w:r>
      <w:r w:rsidR="005C0B25">
        <w:rPr>
          <w:rFonts w:ascii="Times New Roman" w:hAnsi="Times New Roman" w:cs="Times New Roman"/>
          <w:sz w:val="24"/>
          <w:szCs w:val="24"/>
        </w:rPr>
        <w:t>i.e. 5 October 2022 this application was lodged.</w:t>
      </w:r>
    </w:p>
    <w:p w:rsidR="005C0B25" w:rsidRDefault="005C0B25" w:rsidP="005C0B25">
      <w:pPr>
        <w:pStyle w:val="ListParagraph"/>
        <w:spacing w:after="0" w:line="360" w:lineRule="auto"/>
        <w:ind w:left="1080"/>
        <w:jc w:val="both"/>
        <w:rPr>
          <w:rFonts w:ascii="Times New Roman" w:hAnsi="Times New Roman" w:cs="Times New Roman"/>
          <w:sz w:val="24"/>
          <w:szCs w:val="24"/>
        </w:rPr>
      </w:pPr>
    </w:p>
    <w:p w:rsidR="005C0B25" w:rsidRDefault="005C0B25" w:rsidP="00AB6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stated that the delay is long.  I now turn </w:t>
      </w:r>
      <w:r w:rsidR="00AB65CD">
        <w:rPr>
          <w:rFonts w:ascii="Times New Roman" w:hAnsi="Times New Roman" w:cs="Times New Roman"/>
          <w:sz w:val="24"/>
          <w:szCs w:val="24"/>
        </w:rPr>
        <w:t xml:space="preserve">to consider whether the explanation given is reasonable.  </w:t>
      </w:r>
    </w:p>
    <w:p w:rsidR="004F4385" w:rsidRDefault="004F4385" w:rsidP="00AB6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 from the founding affidavit i</w:t>
      </w:r>
      <w:r w:rsidR="00CE19B9">
        <w:rPr>
          <w:rFonts w:ascii="Times New Roman" w:hAnsi="Times New Roman" w:cs="Times New Roman"/>
          <w:sz w:val="24"/>
          <w:szCs w:val="24"/>
        </w:rPr>
        <w:t>s</w:t>
      </w:r>
      <w:r>
        <w:rPr>
          <w:rFonts w:ascii="Times New Roman" w:hAnsi="Times New Roman" w:cs="Times New Roman"/>
          <w:sz w:val="24"/>
          <w:szCs w:val="24"/>
        </w:rPr>
        <w:t xml:space="preserve"> the absence of any explanation for the delay.  Applicants left it to their legal </w:t>
      </w:r>
      <w:r w:rsidR="00923218">
        <w:rPr>
          <w:rFonts w:ascii="Times New Roman" w:hAnsi="Times New Roman" w:cs="Times New Roman"/>
          <w:sz w:val="24"/>
          <w:szCs w:val="24"/>
        </w:rPr>
        <w:t>practitioner to profer the explanation as according to their averment they had instructed him to take the matter further after it had been referred to trial.  Their stance is understandable in my view as it was the legal practitioner who took the route that he did despite a clear wording of the Order and fully acknowledged his tardiness.</w:t>
      </w:r>
    </w:p>
    <w:p w:rsidR="00923218" w:rsidRDefault="00923218" w:rsidP="00AB6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particularly para</w:t>
      </w:r>
      <w:r w:rsidR="00CE19B9">
        <w:rPr>
          <w:rFonts w:ascii="Times New Roman" w:hAnsi="Times New Roman" w:cs="Times New Roman"/>
          <w:sz w:val="24"/>
          <w:szCs w:val="24"/>
        </w:rPr>
        <w:t>graphs</w:t>
      </w:r>
      <w:r w:rsidR="006D22D1">
        <w:rPr>
          <w:rFonts w:ascii="Times New Roman" w:hAnsi="Times New Roman" w:cs="Times New Roman"/>
          <w:sz w:val="24"/>
          <w:szCs w:val="24"/>
        </w:rPr>
        <w:t xml:space="preserve"> 3 and 4 are very clear and unambiguous.  They need no interpretation at all.  It is not Mr </w:t>
      </w:r>
      <w:r w:rsidR="006D22D1" w:rsidRPr="006D22D1">
        <w:rPr>
          <w:rFonts w:ascii="Times New Roman" w:hAnsi="Times New Roman" w:cs="Times New Roman"/>
          <w:i/>
          <w:sz w:val="24"/>
          <w:szCs w:val="24"/>
        </w:rPr>
        <w:t xml:space="preserve">Mambara’s </w:t>
      </w:r>
      <w:r w:rsidR="006D22D1">
        <w:rPr>
          <w:rFonts w:ascii="Times New Roman" w:hAnsi="Times New Roman" w:cs="Times New Roman"/>
          <w:sz w:val="24"/>
          <w:szCs w:val="24"/>
        </w:rPr>
        <w:t xml:space="preserve">position however that the </w:t>
      </w:r>
      <w:r w:rsidR="00CE19B9">
        <w:rPr>
          <w:rFonts w:ascii="Times New Roman" w:hAnsi="Times New Roman" w:cs="Times New Roman"/>
          <w:sz w:val="24"/>
          <w:szCs w:val="24"/>
        </w:rPr>
        <w:t>order</w:t>
      </w:r>
      <w:r w:rsidR="006D22D1">
        <w:rPr>
          <w:rFonts w:ascii="Times New Roman" w:hAnsi="Times New Roman" w:cs="Times New Roman"/>
          <w:sz w:val="24"/>
          <w:szCs w:val="24"/>
        </w:rPr>
        <w:t xml:space="preserve"> was not clear </w:t>
      </w:r>
      <w:r w:rsidR="00517B73">
        <w:rPr>
          <w:rFonts w:ascii="Times New Roman" w:hAnsi="Times New Roman" w:cs="Times New Roman"/>
          <w:sz w:val="24"/>
          <w:szCs w:val="24"/>
        </w:rPr>
        <w:t>but that he misread it and took the route that he took i</w:t>
      </w:r>
      <w:r w:rsidR="00453DEF">
        <w:rPr>
          <w:rFonts w:ascii="Times New Roman" w:hAnsi="Times New Roman" w:cs="Times New Roman"/>
          <w:sz w:val="24"/>
          <w:szCs w:val="24"/>
        </w:rPr>
        <w:t>.</w:t>
      </w:r>
      <w:r w:rsidR="00517B73">
        <w:rPr>
          <w:rFonts w:ascii="Times New Roman" w:hAnsi="Times New Roman" w:cs="Times New Roman"/>
          <w:sz w:val="24"/>
          <w:szCs w:val="24"/>
        </w:rPr>
        <w:t>e. file</w:t>
      </w:r>
      <w:r w:rsidR="00453DEF">
        <w:rPr>
          <w:rFonts w:ascii="Times New Roman" w:hAnsi="Times New Roman" w:cs="Times New Roman"/>
          <w:sz w:val="24"/>
          <w:szCs w:val="24"/>
        </w:rPr>
        <w:t>d</w:t>
      </w:r>
      <w:r w:rsidR="00517B73">
        <w:rPr>
          <w:rFonts w:ascii="Times New Roman" w:hAnsi="Times New Roman" w:cs="Times New Roman"/>
          <w:sz w:val="24"/>
          <w:szCs w:val="24"/>
        </w:rPr>
        <w:t xml:space="preserve"> a notice of appearance to defend, wrote a letter of complaint and filed a special </w:t>
      </w:r>
      <w:r w:rsidR="00582663">
        <w:rPr>
          <w:rFonts w:ascii="Times New Roman" w:hAnsi="Times New Roman" w:cs="Times New Roman"/>
          <w:sz w:val="24"/>
          <w:szCs w:val="24"/>
        </w:rPr>
        <w:t>plea in terms of</w:t>
      </w:r>
      <w:r w:rsidR="00CE19B9">
        <w:rPr>
          <w:rFonts w:ascii="Times New Roman" w:hAnsi="Times New Roman" w:cs="Times New Roman"/>
          <w:sz w:val="24"/>
          <w:szCs w:val="24"/>
        </w:rPr>
        <w:t xml:space="preserve"> Rule</w:t>
      </w:r>
      <w:r w:rsidR="00582663">
        <w:rPr>
          <w:rFonts w:ascii="Times New Roman" w:hAnsi="Times New Roman" w:cs="Times New Roman"/>
          <w:sz w:val="24"/>
          <w:szCs w:val="24"/>
        </w:rPr>
        <w:t xml:space="preserve"> 42.  Mr </w:t>
      </w:r>
      <w:r w:rsidR="00582663" w:rsidRPr="00582663">
        <w:rPr>
          <w:rFonts w:ascii="Times New Roman" w:hAnsi="Times New Roman" w:cs="Times New Roman"/>
          <w:i/>
          <w:sz w:val="24"/>
          <w:szCs w:val="24"/>
        </w:rPr>
        <w:t xml:space="preserve">Mambara </w:t>
      </w:r>
      <w:r w:rsidR="00582663">
        <w:rPr>
          <w:rFonts w:ascii="Times New Roman" w:hAnsi="Times New Roman" w:cs="Times New Roman"/>
          <w:sz w:val="24"/>
          <w:szCs w:val="24"/>
        </w:rPr>
        <w:t>took this route up to the end i.e. until the special plea was struck off for being improperly before the court.</w:t>
      </w:r>
    </w:p>
    <w:p w:rsidR="00582663" w:rsidRDefault="00582663" w:rsidP="00AB6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42(7) relie</w:t>
      </w:r>
      <w:r w:rsidR="00CE19B9">
        <w:rPr>
          <w:rFonts w:ascii="Times New Roman" w:hAnsi="Times New Roman" w:cs="Times New Roman"/>
          <w:sz w:val="24"/>
          <w:szCs w:val="24"/>
        </w:rPr>
        <w:t>d</w:t>
      </w:r>
      <w:r>
        <w:rPr>
          <w:rFonts w:ascii="Times New Roman" w:hAnsi="Times New Roman" w:cs="Times New Roman"/>
          <w:sz w:val="24"/>
          <w:szCs w:val="24"/>
        </w:rPr>
        <w:t xml:space="preserve"> upon by Mr </w:t>
      </w:r>
      <w:r w:rsidRPr="001E3F88">
        <w:rPr>
          <w:rFonts w:ascii="Times New Roman" w:hAnsi="Times New Roman" w:cs="Times New Roman"/>
          <w:i/>
          <w:sz w:val="24"/>
          <w:szCs w:val="24"/>
        </w:rPr>
        <w:t xml:space="preserve">Mambara </w:t>
      </w:r>
      <w:r>
        <w:rPr>
          <w:rFonts w:ascii="Times New Roman" w:hAnsi="Times New Roman" w:cs="Times New Roman"/>
          <w:sz w:val="24"/>
          <w:szCs w:val="24"/>
        </w:rPr>
        <w:t>reads as follows:</w:t>
      </w:r>
    </w:p>
    <w:p w:rsidR="00582663" w:rsidRDefault="00582663" w:rsidP="001E3F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E3F88">
        <w:rPr>
          <w:rFonts w:ascii="Times New Roman" w:hAnsi="Times New Roman" w:cs="Times New Roman"/>
        </w:rPr>
        <w:t>Whenever any exception</w:t>
      </w:r>
      <w:r w:rsidR="001E3F88" w:rsidRPr="001E3F88">
        <w:rPr>
          <w:rFonts w:ascii="Times New Roman" w:hAnsi="Times New Roman" w:cs="Times New Roman"/>
        </w:rPr>
        <w:t xml:space="preserve"> </w:t>
      </w:r>
      <w:r w:rsidRPr="001E3F88">
        <w:rPr>
          <w:rFonts w:ascii="Times New Roman" w:hAnsi="Times New Roman" w:cs="Times New Roman"/>
        </w:rPr>
        <w:t xml:space="preserve">is taken to any </w:t>
      </w:r>
      <w:r w:rsidR="001E3F88" w:rsidRPr="001E3F88">
        <w:rPr>
          <w:rFonts w:ascii="Times New Roman" w:hAnsi="Times New Roman" w:cs="Times New Roman"/>
        </w:rPr>
        <w:t>pleading or an application to strike out is made, until it has been determined, no plea replication or other pleading shall be necessary except as provided for in subrule (8).”</w:t>
      </w:r>
    </w:p>
    <w:p w:rsidR="001E3F88" w:rsidRDefault="001E3F88" w:rsidP="00AB65CD">
      <w:pPr>
        <w:spacing w:after="0" w:line="360" w:lineRule="auto"/>
        <w:ind w:firstLine="720"/>
        <w:jc w:val="both"/>
        <w:rPr>
          <w:rFonts w:ascii="Times New Roman" w:hAnsi="Times New Roman" w:cs="Times New Roman"/>
          <w:sz w:val="24"/>
          <w:szCs w:val="24"/>
        </w:rPr>
      </w:pPr>
    </w:p>
    <w:p w:rsidR="001E3F88" w:rsidRDefault="001E3F88" w:rsidP="00AB6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view of the above, his decision </w:t>
      </w:r>
      <w:r w:rsidR="006B6397">
        <w:rPr>
          <w:rFonts w:ascii="Times New Roman" w:hAnsi="Times New Roman" w:cs="Times New Roman"/>
          <w:sz w:val="24"/>
          <w:szCs w:val="24"/>
        </w:rPr>
        <w:t>though wrong for not filing the plea before determination of the special plea cannot be faulted and to that end his explanation for the delay is found to be reasonable.</w:t>
      </w:r>
    </w:p>
    <w:p w:rsidR="006B6397" w:rsidRDefault="006B6397" w:rsidP="00AB6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B6397">
        <w:rPr>
          <w:rFonts w:ascii="Times New Roman" w:hAnsi="Times New Roman" w:cs="Times New Roman"/>
          <w:i/>
          <w:sz w:val="24"/>
          <w:szCs w:val="24"/>
        </w:rPr>
        <w:t>Mambara</w:t>
      </w:r>
      <w:r>
        <w:rPr>
          <w:rFonts w:ascii="Times New Roman" w:hAnsi="Times New Roman" w:cs="Times New Roman"/>
          <w:sz w:val="24"/>
          <w:szCs w:val="24"/>
        </w:rPr>
        <w:t xml:space="preserve"> acknowledged his tardiness.  Should his sins be visited on the applicants, his </w:t>
      </w:r>
      <w:r w:rsidR="00403410">
        <w:rPr>
          <w:rFonts w:ascii="Times New Roman" w:hAnsi="Times New Roman" w:cs="Times New Roman"/>
          <w:sz w:val="24"/>
          <w:szCs w:val="24"/>
        </w:rPr>
        <w:t>clients?  The relationship between legal practitioner and client is akin to the principal and agent relationship.  The principal is bound by the actions of his agent.  The same applies in legal practitioner-client relationships.</w:t>
      </w:r>
    </w:p>
    <w:p w:rsidR="00403410" w:rsidRDefault="00403410" w:rsidP="00AB65CD">
      <w:pPr>
        <w:spacing w:after="0" w:line="360" w:lineRule="auto"/>
        <w:ind w:firstLine="720"/>
        <w:jc w:val="both"/>
        <w:rPr>
          <w:rFonts w:ascii="Times New Roman" w:hAnsi="Times New Roman" w:cs="Times New Roman"/>
          <w:sz w:val="24"/>
          <w:szCs w:val="24"/>
        </w:rPr>
      </w:pPr>
      <w:r w:rsidRPr="00403410">
        <w:rPr>
          <w:rFonts w:ascii="Times New Roman" w:hAnsi="Times New Roman" w:cs="Times New Roman"/>
          <w:i/>
          <w:sz w:val="24"/>
          <w:szCs w:val="24"/>
        </w:rPr>
        <w:t>In casu</w:t>
      </w:r>
      <w:r>
        <w:rPr>
          <w:rFonts w:ascii="Times New Roman" w:hAnsi="Times New Roman" w:cs="Times New Roman"/>
          <w:sz w:val="24"/>
          <w:szCs w:val="24"/>
        </w:rPr>
        <w:t>, it goes without saying that applicants’ legal practit</w:t>
      </w:r>
      <w:r w:rsidR="00C675AF">
        <w:rPr>
          <w:rFonts w:ascii="Times New Roman" w:hAnsi="Times New Roman" w:cs="Times New Roman"/>
          <w:sz w:val="24"/>
          <w:szCs w:val="24"/>
        </w:rPr>
        <w:t>i</w:t>
      </w:r>
      <w:r>
        <w:rPr>
          <w:rFonts w:ascii="Times New Roman" w:hAnsi="Times New Roman" w:cs="Times New Roman"/>
          <w:sz w:val="24"/>
          <w:szCs w:val="24"/>
        </w:rPr>
        <w:t xml:space="preserve">oner was very tardy </w:t>
      </w:r>
      <w:r w:rsidR="00C675AF">
        <w:rPr>
          <w:rFonts w:ascii="Times New Roman" w:hAnsi="Times New Roman" w:cs="Times New Roman"/>
          <w:sz w:val="24"/>
          <w:szCs w:val="24"/>
        </w:rPr>
        <w:t>in the manner he handled this matter moreso</w:t>
      </w:r>
      <w:r w:rsidR="00CE19B9">
        <w:rPr>
          <w:rFonts w:ascii="Times New Roman" w:hAnsi="Times New Roman" w:cs="Times New Roman"/>
          <w:sz w:val="24"/>
          <w:szCs w:val="24"/>
        </w:rPr>
        <w:t>,</w:t>
      </w:r>
      <w:r w:rsidR="00C675AF">
        <w:rPr>
          <w:rFonts w:ascii="Times New Roman" w:hAnsi="Times New Roman" w:cs="Times New Roman"/>
          <w:sz w:val="24"/>
          <w:szCs w:val="24"/>
        </w:rPr>
        <w:t xml:space="preserve"> after it had been brought to his attention by the first respondent in its response to the special plea that the special plea was improperly before the court as it was filed out of time in contravention of para</w:t>
      </w:r>
      <w:r w:rsidR="00CE19B9">
        <w:rPr>
          <w:rFonts w:ascii="Times New Roman" w:hAnsi="Times New Roman" w:cs="Times New Roman"/>
          <w:sz w:val="24"/>
          <w:szCs w:val="24"/>
        </w:rPr>
        <w:t>graph</w:t>
      </w:r>
      <w:r w:rsidR="00C675AF">
        <w:rPr>
          <w:rFonts w:ascii="Times New Roman" w:hAnsi="Times New Roman" w:cs="Times New Roman"/>
          <w:sz w:val="24"/>
          <w:szCs w:val="24"/>
        </w:rPr>
        <w:t xml:space="preserve"> </w:t>
      </w:r>
      <w:r w:rsidR="00CE19B9">
        <w:rPr>
          <w:rFonts w:ascii="Times New Roman" w:hAnsi="Times New Roman" w:cs="Times New Roman"/>
          <w:sz w:val="24"/>
          <w:szCs w:val="24"/>
        </w:rPr>
        <w:t xml:space="preserve">4 </w:t>
      </w:r>
      <w:r w:rsidR="00C675AF">
        <w:rPr>
          <w:rFonts w:ascii="Times New Roman" w:hAnsi="Times New Roman" w:cs="Times New Roman"/>
          <w:sz w:val="24"/>
          <w:szCs w:val="24"/>
        </w:rPr>
        <w:t>of the Order.</w:t>
      </w:r>
    </w:p>
    <w:p w:rsidR="00EE015A" w:rsidRDefault="00327D64" w:rsidP="00EE0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t>
      </w:r>
      <w:r w:rsidR="00CE19B9">
        <w:rPr>
          <w:rFonts w:ascii="Times New Roman" w:hAnsi="Times New Roman" w:cs="Times New Roman"/>
          <w:sz w:val="24"/>
          <w:szCs w:val="24"/>
        </w:rPr>
        <w:t>about</w:t>
      </w:r>
      <w:r>
        <w:rPr>
          <w:rFonts w:ascii="Times New Roman" w:hAnsi="Times New Roman" w:cs="Times New Roman"/>
          <w:sz w:val="24"/>
          <w:szCs w:val="24"/>
        </w:rPr>
        <w:t xml:space="preserve"> the legal practitioner’s sins be</w:t>
      </w:r>
      <w:r w:rsidR="00360940">
        <w:rPr>
          <w:rFonts w:ascii="Times New Roman" w:hAnsi="Times New Roman" w:cs="Times New Roman"/>
          <w:sz w:val="24"/>
          <w:szCs w:val="24"/>
        </w:rPr>
        <w:t>ing</w:t>
      </w:r>
      <w:r>
        <w:rPr>
          <w:rFonts w:ascii="Times New Roman" w:hAnsi="Times New Roman" w:cs="Times New Roman"/>
          <w:sz w:val="24"/>
          <w:szCs w:val="24"/>
        </w:rPr>
        <w:t xml:space="preserve"> visited on his clients, should be answered in the negative in these circumstances.  I find support for this answer in the remarks by </w:t>
      </w:r>
      <w:r w:rsidRPr="005924C0">
        <w:rPr>
          <w:rFonts w:ascii="Times New Roman" w:hAnsi="Times New Roman" w:cs="Times New Roman"/>
          <w:smallCaps/>
          <w:sz w:val="24"/>
          <w:szCs w:val="24"/>
        </w:rPr>
        <w:t>Mangota J</w:t>
      </w:r>
      <w:r>
        <w:rPr>
          <w:rFonts w:ascii="Times New Roman" w:hAnsi="Times New Roman" w:cs="Times New Roman"/>
          <w:sz w:val="24"/>
          <w:szCs w:val="24"/>
        </w:rPr>
        <w:t xml:space="preserve"> in the case of </w:t>
      </w:r>
      <w:r w:rsidRPr="00C45499">
        <w:rPr>
          <w:rFonts w:ascii="Times New Roman" w:hAnsi="Times New Roman" w:cs="Times New Roman"/>
          <w:i/>
          <w:sz w:val="24"/>
          <w:szCs w:val="24"/>
        </w:rPr>
        <w:t>Michelle Nyamangunda</w:t>
      </w:r>
      <w:r>
        <w:rPr>
          <w:rFonts w:ascii="Times New Roman" w:hAnsi="Times New Roman" w:cs="Times New Roman"/>
          <w:sz w:val="24"/>
          <w:szCs w:val="24"/>
        </w:rPr>
        <w:t xml:space="preserve"> v </w:t>
      </w:r>
      <w:r w:rsidRPr="00C45499">
        <w:rPr>
          <w:rFonts w:ascii="Times New Roman" w:hAnsi="Times New Roman" w:cs="Times New Roman"/>
          <w:i/>
          <w:sz w:val="24"/>
          <w:szCs w:val="24"/>
        </w:rPr>
        <w:t>Mashonaland Turf Club</w:t>
      </w:r>
      <w:r>
        <w:rPr>
          <w:rFonts w:ascii="Times New Roman" w:hAnsi="Times New Roman" w:cs="Times New Roman"/>
          <w:sz w:val="24"/>
          <w:szCs w:val="24"/>
        </w:rPr>
        <w:t xml:space="preserve"> HH 125/13</w:t>
      </w:r>
      <w:r w:rsidR="00C45499">
        <w:rPr>
          <w:rFonts w:ascii="Times New Roman" w:hAnsi="Times New Roman" w:cs="Times New Roman"/>
          <w:sz w:val="24"/>
          <w:szCs w:val="24"/>
        </w:rPr>
        <w:t xml:space="preserve"> in which he found the answer to the same question to be in the negative though as he aptly put it, generally this answer is in the affirmative.  Also</w:t>
      </w:r>
      <w:r w:rsidR="00EE015A">
        <w:rPr>
          <w:rFonts w:ascii="Times New Roman" w:hAnsi="Times New Roman" w:cs="Times New Roman"/>
          <w:sz w:val="24"/>
          <w:szCs w:val="24"/>
        </w:rPr>
        <w:t xml:space="preserve">, when dealing with the same issue of a legal practitioner’s tardiness, </w:t>
      </w:r>
      <w:r w:rsidR="00EE015A" w:rsidRPr="00EE015A">
        <w:rPr>
          <w:rFonts w:ascii="Times New Roman" w:hAnsi="Times New Roman" w:cs="Times New Roman"/>
          <w:smallCaps/>
          <w:sz w:val="24"/>
          <w:szCs w:val="24"/>
        </w:rPr>
        <w:t>Gwaunza JA</w:t>
      </w:r>
      <w:r w:rsidR="00EE015A">
        <w:rPr>
          <w:rFonts w:ascii="Times New Roman" w:hAnsi="Times New Roman" w:cs="Times New Roman"/>
          <w:sz w:val="24"/>
          <w:szCs w:val="24"/>
        </w:rPr>
        <w:t xml:space="preserve"> (as she then was)</w:t>
      </w:r>
      <w:r>
        <w:rPr>
          <w:rFonts w:ascii="Times New Roman" w:hAnsi="Times New Roman" w:cs="Times New Roman"/>
          <w:sz w:val="24"/>
          <w:szCs w:val="24"/>
        </w:rPr>
        <w:t xml:space="preserve"> </w:t>
      </w:r>
      <w:r w:rsidR="00EE015A">
        <w:rPr>
          <w:rFonts w:ascii="Times New Roman" w:hAnsi="Times New Roman" w:cs="Times New Roman"/>
          <w:sz w:val="24"/>
          <w:szCs w:val="24"/>
        </w:rPr>
        <w:t xml:space="preserve">had this to say in the case of </w:t>
      </w:r>
      <w:r w:rsidR="00EE015A" w:rsidRPr="00EE015A">
        <w:rPr>
          <w:rFonts w:ascii="Times New Roman" w:hAnsi="Times New Roman" w:cs="Times New Roman"/>
          <w:i/>
          <w:sz w:val="24"/>
          <w:szCs w:val="24"/>
        </w:rPr>
        <w:t>FBC Bank Limited</w:t>
      </w:r>
      <w:r w:rsidR="00EE015A">
        <w:rPr>
          <w:rFonts w:ascii="Times New Roman" w:hAnsi="Times New Roman" w:cs="Times New Roman"/>
          <w:sz w:val="24"/>
          <w:szCs w:val="24"/>
        </w:rPr>
        <w:t xml:space="preserve"> v </w:t>
      </w:r>
      <w:r w:rsidR="00EE015A" w:rsidRPr="00EE015A">
        <w:rPr>
          <w:rFonts w:ascii="Times New Roman" w:hAnsi="Times New Roman" w:cs="Times New Roman"/>
          <w:i/>
          <w:sz w:val="24"/>
          <w:szCs w:val="24"/>
        </w:rPr>
        <w:t>Robert Chimwanza</w:t>
      </w:r>
      <w:r w:rsidR="00EE015A">
        <w:rPr>
          <w:rFonts w:ascii="Times New Roman" w:hAnsi="Times New Roman" w:cs="Times New Roman"/>
          <w:sz w:val="24"/>
          <w:szCs w:val="24"/>
        </w:rPr>
        <w:t xml:space="preserve"> SC 31/17 at p 4 of the cyclostyled judgment:</w:t>
      </w:r>
    </w:p>
    <w:p w:rsidR="00EE015A" w:rsidRDefault="00EE015A" w:rsidP="00CD41D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CD41D4">
        <w:rPr>
          <w:rFonts w:ascii="Times New Roman" w:hAnsi="Times New Roman" w:cs="Times New Roman"/>
        </w:rPr>
        <w:t xml:space="preserve">I found it quite tempting to follow the principle in McNab’s case, and would have done so but for the fact that I do not believe it would be fair on the applicant to visit this particular </w:t>
      </w:r>
      <w:r w:rsidR="00424112" w:rsidRPr="00CD41D4">
        <w:rPr>
          <w:rFonts w:ascii="Times New Roman" w:hAnsi="Times New Roman" w:cs="Times New Roman"/>
        </w:rPr>
        <w:t>‘sin’ of its legal practitioner, on it.”</w:t>
      </w:r>
    </w:p>
    <w:p w:rsidR="00CD41D4" w:rsidRDefault="00CD41D4" w:rsidP="00CD41D4">
      <w:pPr>
        <w:spacing w:after="0" w:line="240" w:lineRule="auto"/>
        <w:ind w:left="720"/>
        <w:jc w:val="both"/>
        <w:rPr>
          <w:rFonts w:ascii="Times New Roman" w:hAnsi="Times New Roman" w:cs="Times New Roman"/>
          <w:sz w:val="24"/>
          <w:szCs w:val="24"/>
        </w:rPr>
      </w:pPr>
    </w:p>
    <w:p w:rsidR="00424112" w:rsidRDefault="00424112" w:rsidP="00EE0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now to consider the requirement on the prospects of success.  From the pleadings filed of record, it is not in dispute that applicants bought the stand in question from the second respondent who had bought it from the first respondent.  This shows they have an interest in the outcome of the trial.  The issue for trial is about the subdivision </w:t>
      </w:r>
      <w:r w:rsidR="00360940">
        <w:rPr>
          <w:rFonts w:ascii="Times New Roman" w:hAnsi="Times New Roman" w:cs="Times New Roman"/>
          <w:sz w:val="24"/>
          <w:szCs w:val="24"/>
        </w:rPr>
        <w:t>permit, the</w:t>
      </w:r>
      <w:r>
        <w:rPr>
          <w:rFonts w:ascii="Times New Roman" w:hAnsi="Times New Roman" w:cs="Times New Roman"/>
          <w:sz w:val="24"/>
          <w:szCs w:val="24"/>
        </w:rPr>
        <w:t xml:space="preserve"> determination of which will have a bearing on the applicants.  In their </w:t>
      </w:r>
      <w:r w:rsidR="00622842">
        <w:rPr>
          <w:rFonts w:ascii="Times New Roman" w:hAnsi="Times New Roman" w:cs="Times New Roman"/>
          <w:sz w:val="24"/>
          <w:szCs w:val="24"/>
        </w:rPr>
        <w:t>draft plea filed of record it is their position that at the time of the agreement of sale between them and the second respondent, there was no repudiation and there was a deed of settlement between first and second respondents.  In view of the above, I find that applicants’ prospects of success are not dim.  Their case is arguable in the main matter.  They will suffer great prejudice i</w:t>
      </w:r>
      <w:r w:rsidR="00360940">
        <w:rPr>
          <w:rFonts w:ascii="Times New Roman" w:hAnsi="Times New Roman" w:cs="Times New Roman"/>
          <w:sz w:val="24"/>
          <w:szCs w:val="24"/>
        </w:rPr>
        <w:t>f</w:t>
      </w:r>
      <w:r w:rsidR="00622842">
        <w:rPr>
          <w:rFonts w:ascii="Times New Roman" w:hAnsi="Times New Roman" w:cs="Times New Roman"/>
          <w:sz w:val="24"/>
          <w:szCs w:val="24"/>
        </w:rPr>
        <w:t xml:space="preserve"> not allowed to ventilate their issues at trial.  This will also ensure finality to litigation between the parties.  I am, however, </w:t>
      </w:r>
      <w:r w:rsidR="00EB5863">
        <w:rPr>
          <w:rFonts w:ascii="Times New Roman" w:hAnsi="Times New Roman" w:cs="Times New Roman"/>
          <w:sz w:val="24"/>
          <w:szCs w:val="24"/>
        </w:rPr>
        <w:t>of the view that the prejudice suffered by first respondent can be cured by an order for costs.</w:t>
      </w:r>
    </w:p>
    <w:p w:rsidR="00EB5863" w:rsidRDefault="00EB5863" w:rsidP="00EE0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I grant the applicants the indulgence they are seeking an</w:t>
      </w:r>
      <w:r w:rsidR="00C5452B">
        <w:rPr>
          <w:rFonts w:ascii="Times New Roman" w:hAnsi="Times New Roman" w:cs="Times New Roman"/>
          <w:sz w:val="24"/>
          <w:szCs w:val="24"/>
        </w:rPr>
        <w:t>d</w:t>
      </w:r>
      <w:r>
        <w:rPr>
          <w:rFonts w:ascii="Times New Roman" w:hAnsi="Times New Roman" w:cs="Times New Roman"/>
          <w:sz w:val="24"/>
          <w:szCs w:val="24"/>
        </w:rPr>
        <w:t xml:space="preserve"> grant the application.  It is therefore ordered that:</w:t>
      </w:r>
    </w:p>
    <w:p w:rsidR="00EB5863" w:rsidRDefault="00EB5863" w:rsidP="00EB586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of late filing of plea by first and second applica</w:t>
      </w:r>
      <w:r w:rsidR="00360940">
        <w:rPr>
          <w:rFonts w:ascii="Times New Roman" w:hAnsi="Times New Roman" w:cs="Times New Roman"/>
          <w:sz w:val="24"/>
          <w:szCs w:val="24"/>
        </w:rPr>
        <w:t>nts</w:t>
      </w:r>
      <w:r>
        <w:rPr>
          <w:rFonts w:ascii="Times New Roman" w:hAnsi="Times New Roman" w:cs="Times New Roman"/>
          <w:sz w:val="24"/>
          <w:szCs w:val="24"/>
        </w:rPr>
        <w:t xml:space="preserve"> in case no. HC 5689/21 be and is hereby granted.</w:t>
      </w:r>
    </w:p>
    <w:p w:rsidR="00EB5863" w:rsidRDefault="00EB5863" w:rsidP="00EB586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file their plea within seven (7) days of the date of this Order.</w:t>
      </w:r>
    </w:p>
    <w:p w:rsidR="00C5452B" w:rsidRPr="00EB5863" w:rsidRDefault="00C5452B" w:rsidP="00EB586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to pay costs of this application.</w:t>
      </w:r>
    </w:p>
    <w:p w:rsidR="003A532B" w:rsidRDefault="003A532B" w:rsidP="00C5452B">
      <w:pPr>
        <w:spacing w:after="0"/>
        <w:jc w:val="both"/>
        <w:rPr>
          <w:rFonts w:ascii="Times New Roman" w:hAnsi="Times New Roman" w:cs="Times New Roman"/>
          <w:sz w:val="24"/>
          <w:szCs w:val="24"/>
        </w:rPr>
      </w:pPr>
    </w:p>
    <w:p w:rsidR="00C5452B" w:rsidRDefault="00C5452B" w:rsidP="00C5452B">
      <w:pPr>
        <w:spacing w:after="0"/>
        <w:jc w:val="both"/>
        <w:rPr>
          <w:rFonts w:ascii="Times New Roman" w:hAnsi="Times New Roman" w:cs="Times New Roman"/>
          <w:sz w:val="24"/>
          <w:szCs w:val="24"/>
        </w:rPr>
      </w:pPr>
    </w:p>
    <w:p w:rsidR="00CD41D4" w:rsidRDefault="00CD41D4" w:rsidP="00C5452B">
      <w:pPr>
        <w:spacing w:after="0"/>
        <w:jc w:val="both"/>
        <w:rPr>
          <w:rFonts w:ascii="Times New Roman" w:hAnsi="Times New Roman" w:cs="Times New Roman"/>
          <w:sz w:val="24"/>
          <w:szCs w:val="24"/>
        </w:rPr>
      </w:pPr>
    </w:p>
    <w:p w:rsidR="00CD41D4" w:rsidRDefault="00CD41D4" w:rsidP="00C5452B">
      <w:pPr>
        <w:spacing w:after="0"/>
        <w:jc w:val="both"/>
        <w:rPr>
          <w:rFonts w:ascii="Times New Roman" w:hAnsi="Times New Roman" w:cs="Times New Roman"/>
          <w:sz w:val="24"/>
          <w:szCs w:val="24"/>
        </w:rPr>
      </w:pPr>
    </w:p>
    <w:p w:rsidR="00CD41D4" w:rsidRDefault="00CD41D4" w:rsidP="00C5452B">
      <w:pPr>
        <w:spacing w:after="0"/>
        <w:jc w:val="both"/>
        <w:rPr>
          <w:rFonts w:ascii="Times New Roman" w:hAnsi="Times New Roman" w:cs="Times New Roman"/>
          <w:sz w:val="24"/>
          <w:szCs w:val="24"/>
        </w:rPr>
      </w:pPr>
    </w:p>
    <w:p w:rsidR="00CD41D4" w:rsidRDefault="00CD41D4" w:rsidP="00C5452B">
      <w:pPr>
        <w:spacing w:after="0"/>
        <w:jc w:val="both"/>
        <w:rPr>
          <w:rFonts w:ascii="Times New Roman" w:hAnsi="Times New Roman" w:cs="Times New Roman"/>
          <w:sz w:val="24"/>
          <w:szCs w:val="24"/>
        </w:rPr>
      </w:pPr>
    </w:p>
    <w:p w:rsidR="00C5452B" w:rsidRDefault="00C5452B" w:rsidP="00C5452B">
      <w:pPr>
        <w:spacing w:after="0"/>
        <w:jc w:val="both"/>
        <w:rPr>
          <w:rFonts w:ascii="Times New Roman" w:hAnsi="Times New Roman" w:cs="Times New Roman"/>
          <w:sz w:val="24"/>
          <w:szCs w:val="24"/>
        </w:rPr>
      </w:pPr>
    </w:p>
    <w:p w:rsidR="00C5452B" w:rsidRDefault="00C5452B" w:rsidP="00C5452B">
      <w:pPr>
        <w:spacing w:after="0"/>
        <w:jc w:val="both"/>
        <w:rPr>
          <w:rFonts w:ascii="Times New Roman" w:hAnsi="Times New Roman" w:cs="Times New Roman"/>
          <w:sz w:val="24"/>
          <w:szCs w:val="24"/>
        </w:rPr>
      </w:pPr>
      <w:r w:rsidRPr="00C5452B">
        <w:rPr>
          <w:rFonts w:ascii="Times New Roman" w:hAnsi="Times New Roman" w:cs="Times New Roman"/>
          <w:i/>
          <w:sz w:val="24"/>
          <w:szCs w:val="24"/>
        </w:rPr>
        <w:t>Mambara &amp; Partners</w:t>
      </w:r>
      <w:r>
        <w:rPr>
          <w:rFonts w:ascii="Times New Roman" w:hAnsi="Times New Roman" w:cs="Times New Roman"/>
          <w:sz w:val="24"/>
          <w:szCs w:val="24"/>
        </w:rPr>
        <w:t>, first and second applicant</w:t>
      </w:r>
      <w:r w:rsidR="00360940">
        <w:rPr>
          <w:rFonts w:ascii="Times New Roman" w:hAnsi="Times New Roman" w:cs="Times New Roman"/>
          <w:sz w:val="24"/>
          <w:szCs w:val="24"/>
        </w:rPr>
        <w:t>s’</w:t>
      </w:r>
      <w:r>
        <w:rPr>
          <w:rFonts w:ascii="Times New Roman" w:hAnsi="Times New Roman" w:cs="Times New Roman"/>
          <w:sz w:val="24"/>
          <w:szCs w:val="24"/>
        </w:rPr>
        <w:t xml:space="preserve"> legal practitioners</w:t>
      </w:r>
    </w:p>
    <w:p w:rsidR="00C5452B" w:rsidRDefault="00C5452B" w:rsidP="00C5452B">
      <w:pPr>
        <w:spacing w:after="0"/>
        <w:jc w:val="both"/>
        <w:rPr>
          <w:rFonts w:ascii="Times New Roman" w:hAnsi="Times New Roman" w:cs="Times New Roman"/>
          <w:sz w:val="24"/>
          <w:szCs w:val="24"/>
        </w:rPr>
      </w:pPr>
      <w:r w:rsidRPr="00C5452B">
        <w:rPr>
          <w:rFonts w:ascii="Times New Roman" w:hAnsi="Times New Roman" w:cs="Times New Roman"/>
          <w:i/>
          <w:sz w:val="24"/>
          <w:szCs w:val="24"/>
        </w:rPr>
        <w:t>Tamuka Moyo &amp; Partners</w:t>
      </w:r>
      <w:r>
        <w:rPr>
          <w:rFonts w:ascii="Times New Roman" w:hAnsi="Times New Roman" w:cs="Times New Roman"/>
          <w:sz w:val="24"/>
          <w:szCs w:val="24"/>
        </w:rPr>
        <w:t>, first respondents</w:t>
      </w:r>
      <w:r w:rsidR="00360940">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C5452B" w:rsidRDefault="00C5452B" w:rsidP="00C5452B">
      <w:pPr>
        <w:spacing w:after="0"/>
        <w:jc w:val="both"/>
        <w:rPr>
          <w:rFonts w:ascii="Times New Roman" w:hAnsi="Times New Roman" w:cs="Times New Roman"/>
          <w:sz w:val="24"/>
          <w:szCs w:val="24"/>
        </w:rPr>
      </w:pPr>
      <w:r w:rsidRPr="00C5452B">
        <w:rPr>
          <w:rFonts w:ascii="Times New Roman" w:hAnsi="Times New Roman" w:cs="Times New Roman"/>
          <w:i/>
          <w:sz w:val="24"/>
          <w:szCs w:val="24"/>
        </w:rPr>
        <w:t>Makanza Law Chambers</w:t>
      </w:r>
      <w:r>
        <w:rPr>
          <w:rFonts w:ascii="Times New Roman" w:hAnsi="Times New Roman" w:cs="Times New Roman"/>
          <w:sz w:val="24"/>
          <w:szCs w:val="24"/>
        </w:rPr>
        <w:t>, second respondents</w:t>
      </w:r>
      <w:r w:rsidR="00360940">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C5452B" w:rsidRDefault="00C5452B" w:rsidP="00C5452B">
      <w:pPr>
        <w:spacing w:after="0"/>
        <w:jc w:val="both"/>
        <w:rPr>
          <w:rFonts w:ascii="Times New Roman" w:hAnsi="Times New Roman" w:cs="Times New Roman"/>
          <w:sz w:val="24"/>
          <w:szCs w:val="24"/>
        </w:rPr>
      </w:pPr>
      <w:r w:rsidRPr="007A09B4">
        <w:rPr>
          <w:rFonts w:ascii="Times New Roman" w:hAnsi="Times New Roman" w:cs="Times New Roman"/>
          <w:i/>
          <w:sz w:val="24"/>
          <w:szCs w:val="24"/>
        </w:rPr>
        <w:t>Chatsama &amp; Partners</w:t>
      </w:r>
      <w:r w:rsidR="007A09B4">
        <w:rPr>
          <w:rFonts w:ascii="Times New Roman" w:hAnsi="Times New Roman" w:cs="Times New Roman"/>
          <w:sz w:val="24"/>
          <w:szCs w:val="24"/>
        </w:rPr>
        <w:t>, third to eleventh respondents’ legal practitioners</w:t>
      </w:r>
    </w:p>
    <w:p w:rsidR="00C5452B" w:rsidRPr="00203D70" w:rsidRDefault="00C5452B" w:rsidP="00C5452B">
      <w:pPr>
        <w:spacing w:after="0"/>
        <w:jc w:val="both"/>
        <w:rPr>
          <w:rFonts w:ascii="Times New Roman" w:hAnsi="Times New Roman" w:cs="Times New Roman"/>
          <w:sz w:val="24"/>
          <w:szCs w:val="24"/>
        </w:rPr>
      </w:pPr>
    </w:p>
    <w:sectPr w:rsidR="00C5452B" w:rsidRPr="00203D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821" w:rsidRDefault="00917821" w:rsidP="00CD41D4">
      <w:pPr>
        <w:spacing w:after="0" w:line="240" w:lineRule="auto"/>
      </w:pPr>
      <w:r>
        <w:separator/>
      </w:r>
    </w:p>
  </w:endnote>
  <w:endnote w:type="continuationSeparator" w:id="0">
    <w:p w:rsidR="00917821" w:rsidRDefault="00917821" w:rsidP="00CD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821" w:rsidRDefault="00917821" w:rsidP="00CD41D4">
      <w:pPr>
        <w:spacing w:after="0" w:line="240" w:lineRule="auto"/>
      </w:pPr>
      <w:r>
        <w:separator/>
      </w:r>
    </w:p>
  </w:footnote>
  <w:footnote w:type="continuationSeparator" w:id="0">
    <w:p w:rsidR="00917821" w:rsidRDefault="00917821" w:rsidP="00CD4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63129"/>
      <w:docPartObj>
        <w:docPartGallery w:val="Page Numbers (Top of Page)"/>
        <w:docPartUnique/>
      </w:docPartObj>
    </w:sdtPr>
    <w:sdtEndPr>
      <w:rPr>
        <w:noProof/>
      </w:rPr>
    </w:sdtEndPr>
    <w:sdtContent>
      <w:p w:rsidR="00CD41D4" w:rsidRDefault="00CD41D4">
        <w:pPr>
          <w:pStyle w:val="Header"/>
          <w:jc w:val="right"/>
          <w:rPr>
            <w:noProof/>
          </w:rPr>
        </w:pPr>
        <w:r>
          <w:fldChar w:fldCharType="begin"/>
        </w:r>
        <w:r>
          <w:instrText xml:space="preserve"> PAGE   \* MERGEFORMAT </w:instrText>
        </w:r>
        <w:r>
          <w:fldChar w:fldCharType="separate"/>
        </w:r>
        <w:r w:rsidR="00C02A4F">
          <w:rPr>
            <w:noProof/>
          </w:rPr>
          <w:t>2</w:t>
        </w:r>
        <w:r>
          <w:rPr>
            <w:noProof/>
          </w:rPr>
          <w:fldChar w:fldCharType="end"/>
        </w:r>
      </w:p>
      <w:p w:rsidR="00CD41D4" w:rsidRDefault="00CD41D4">
        <w:pPr>
          <w:pStyle w:val="Header"/>
          <w:jc w:val="right"/>
          <w:rPr>
            <w:noProof/>
          </w:rPr>
        </w:pPr>
        <w:r>
          <w:rPr>
            <w:noProof/>
          </w:rPr>
          <w:t>HH</w:t>
        </w:r>
        <w:r w:rsidR="00520275">
          <w:rPr>
            <w:noProof/>
          </w:rPr>
          <w:t xml:space="preserve"> 325</w:t>
        </w:r>
        <w:r>
          <w:rPr>
            <w:noProof/>
          </w:rPr>
          <w:t>-23</w:t>
        </w:r>
      </w:p>
      <w:p w:rsidR="00CD41D4" w:rsidRDefault="00CD41D4">
        <w:pPr>
          <w:pStyle w:val="Header"/>
          <w:jc w:val="right"/>
        </w:pPr>
        <w:r>
          <w:t>HC 6705/22</w:t>
        </w:r>
      </w:p>
      <w:p w:rsidR="00CD41D4" w:rsidRDefault="00CD41D4">
        <w:pPr>
          <w:pStyle w:val="Header"/>
          <w:jc w:val="right"/>
        </w:pPr>
        <w:r>
          <w:t>X REF. HC 5689/21</w:t>
        </w:r>
      </w:p>
    </w:sdtContent>
  </w:sdt>
  <w:p w:rsidR="00CD41D4" w:rsidRDefault="00CD41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6FC"/>
    <w:multiLevelType w:val="hybridMultilevel"/>
    <w:tmpl w:val="20B2A0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743311"/>
    <w:multiLevelType w:val="hybridMultilevel"/>
    <w:tmpl w:val="896A2764"/>
    <w:lvl w:ilvl="0" w:tplc="6E5416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E45BEB"/>
    <w:multiLevelType w:val="hybridMultilevel"/>
    <w:tmpl w:val="9D123EF4"/>
    <w:lvl w:ilvl="0" w:tplc="C3B44B98">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15:restartNumberingAfterBreak="0">
    <w:nsid w:val="79476C01"/>
    <w:multiLevelType w:val="hybridMultilevel"/>
    <w:tmpl w:val="22B24F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70"/>
    <w:rsid w:val="00070AEA"/>
    <w:rsid w:val="000F7930"/>
    <w:rsid w:val="001A7105"/>
    <w:rsid w:val="001B3AB2"/>
    <w:rsid w:val="001E3F88"/>
    <w:rsid w:val="00203D70"/>
    <w:rsid w:val="0027146C"/>
    <w:rsid w:val="002C4262"/>
    <w:rsid w:val="002E38C3"/>
    <w:rsid w:val="003062D1"/>
    <w:rsid w:val="00327D64"/>
    <w:rsid w:val="00360940"/>
    <w:rsid w:val="00385652"/>
    <w:rsid w:val="003A532B"/>
    <w:rsid w:val="003A5546"/>
    <w:rsid w:val="003D6235"/>
    <w:rsid w:val="00403410"/>
    <w:rsid w:val="00406257"/>
    <w:rsid w:val="00424112"/>
    <w:rsid w:val="00453DEF"/>
    <w:rsid w:val="004551A8"/>
    <w:rsid w:val="0046307B"/>
    <w:rsid w:val="00485470"/>
    <w:rsid w:val="004F4385"/>
    <w:rsid w:val="00517B73"/>
    <w:rsid w:val="00520275"/>
    <w:rsid w:val="00582663"/>
    <w:rsid w:val="005924C0"/>
    <w:rsid w:val="005C0B25"/>
    <w:rsid w:val="005E653E"/>
    <w:rsid w:val="00622842"/>
    <w:rsid w:val="00655D7B"/>
    <w:rsid w:val="00683BB2"/>
    <w:rsid w:val="006B6397"/>
    <w:rsid w:val="006D22D1"/>
    <w:rsid w:val="006F52BB"/>
    <w:rsid w:val="0076083B"/>
    <w:rsid w:val="007653A0"/>
    <w:rsid w:val="0077037A"/>
    <w:rsid w:val="007A09B4"/>
    <w:rsid w:val="007B1CED"/>
    <w:rsid w:val="007B3780"/>
    <w:rsid w:val="007C3FDD"/>
    <w:rsid w:val="00810E41"/>
    <w:rsid w:val="00820FB9"/>
    <w:rsid w:val="00854F86"/>
    <w:rsid w:val="00886B2C"/>
    <w:rsid w:val="00917821"/>
    <w:rsid w:val="00923218"/>
    <w:rsid w:val="00976E41"/>
    <w:rsid w:val="00A25FEC"/>
    <w:rsid w:val="00A84C04"/>
    <w:rsid w:val="00AB65CD"/>
    <w:rsid w:val="00AD4AE5"/>
    <w:rsid w:val="00AF0173"/>
    <w:rsid w:val="00B00F0F"/>
    <w:rsid w:val="00B611F1"/>
    <w:rsid w:val="00BE781B"/>
    <w:rsid w:val="00C02A4F"/>
    <w:rsid w:val="00C45499"/>
    <w:rsid w:val="00C5452B"/>
    <w:rsid w:val="00C620DE"/>
    <w:rsid w:val="00C675AF"/>
    <w:rsid w:val="00CA4EDC"/>
    <w:rsid w:val="00CD41D4"/>
    <w:rsid w:val="00CE19B9"/>
    <w:rsid w:val="00D77430"/>
    <w:rsid w:val="00D9752F"/>
    <w:rsid w:val="00E45F33"/>
    <w:rsid w:val="00EA7FA8"/>
    <w:rsid w:val="00EB5863"/>
    <w:rsid w:val="00ED20D7"/>
    <w:rsid w:val="00EE015A"/>
    <w:rsid w:val="00F467CD"/>
    <w:rsid w:val="00F65489"/>
    <w:rsid w:val="00F83A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7A122-67C4-420B-9D10-5205EB75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7B"/>
    <w:pPr>
      <w:ind w:left="720"/>
      <w:contextualSpacing/>
    </w:pPr>
  </w:style>
  <w:style w:type="paragraph" w:styleId="Header">
    <w:name w:val="header"/>
    <w:basedOn w:val="Normal"/>
    <w:link w:val="HeaderChar"/>
    <w:uiPriority w:val="99"/>
    <w:unhideWhenUsed/>
    <w:rsid w:val="00CD4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1D4"/>
  </w:style>
  <w:style w:type="paragraph" w:styleId="Footer">
    <w:name w:val="footer"/>
    <w:basedOn w:val="Normal"/>
    <w:link w:val="FooterChar"/>
    <w:uiPriority w:val="99"/>
    <w:unhideWhenUsed/>
    <w:rsid w:val="00CD4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1D4"/>
  </w:style>
  <w:style w:type="paragraph" w:styleId="BalloonText">
    <w:name w:val="Balloon Text"/>
    <w:basedOn w:val="Normal"/>
    <w:link w:val="BalloonTextChar"/>
    <w:uiPriority w:val="99"/>
    <w:semiHidden/>
    <w:unhideWhenUsed/>
    <w:rsid w:val="00F83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2023-05-24T08:24:00Z</cp:lastPrinted>
  <dcterms:created xsi:type="dcterms:W3CDTF">2023-05-26T09:16:00Z</dcterms:created>
  <dcterms:modified xsi:type="dcterms:W3CDTF">2023-05-26T09:16:00Z</dcterms:modified>
</cp:coreProperties>
</file>