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B5" w:rsidRPr="009763E3" w:rsidRDefault="00E015B5" w:rsidP="00E015B5">
      <w:pPr>
        <w:spacing w:line="360" w:lineRule="auto"/>
        <w:jc w:val="both"/>
        <w:rPr>
          <w:rFonts w:ascii="Times New Roman" w:hAnsi="Times New Roman"/>
          <w:b/>
        </w:rPr>
      </w:pPr>
      <w:r w:rsidRPr="009763E3">
        <w:rPr>
          <w:rFonts w:ascii="Times New Roman" w:hAnsi="Times New Roman"/>
          <w:b/>
        </w:rPr>
        <w:t xml:space="preserve">IN THE LABOUR COURT OF ZIMBABWE      </w:t>
      </w:r>
      <w:r>
        <w:rPr>
          <w:rFonts w:ascii="Times New Roman" w:hAnsi="Times New Roman"/>
          <w:b/>
        </w:rPr>
        <w:t xml:space="preserve">      </w:t>
      </w:r>
      <w:r w:rsidRPr="009763E3">
        <w:rPr>
          <w:rFonts w:ascii="Times New Roman" w:hAnsi="Times New Roman"/>
          <w:b/>
        </w:rPr>
        <w:t>JUDGMENT NO. LC/H/</w:t>
      </w:r>
      <w:r>
        <w:rPr>
          <w:rFonts w:ascii="Times New Roman" w:hAnsi="Times New Roman"/>
          <w:b/>
        </w:rPr>
        <w:t>377</w:t>
      </w:r>
      <w:r w:rsidRPr="009763E3">
        <w:rPr>
          <w:rFonts w:ascii="Times New Roman" w:hAnsi="Times New Roman"/>
          <w:b/>
        </w:rPr>
        <w:t>/2014</w:t>
      </w:r>
    </w:p>
    <w:p w:rsidR="00E015B5" w:rsidRPr="009763E3" w:rsidRDefault="00E015B5" w:rsidP="00E015B5">
      <w:pPr>
        <w:spacing w:line="360" w:lineRule="auto"/>
        <w:jc w:val="both"/>
        <w:rPr>
          <w:rFonts w:ascii="Times New Roman" w:hAnsi="Times New Roman"/>
          <w:b/>
        </w:rPr>
      </w:pPr>
      <w:r w:rsidRPr="009763E3">
        <w:rPr>
          <w:rFonts w:ascii="Times New Roman" w:hAnsi="Times New Roman"/>
          <w:b/>
        </w:rPr>
        <w:t>HARARE, 1</w:t>
      </w:r>
      <w:r>
        <w:rPr>
          <w:rFonts w:ascii="Times New Roman" w:hAnsi="Times New Roman"/>
          <w:b/>
        </w:rPr>
        <w:t>7</w:t>
      </w:r>
      <w:r w:rsidRPr="009763E3">
        <w:rPr>
          <w:rFonts w:ascii="Times New Roman" w:hAnsi="Times New Roman"/>
          <w:b/>
          <w:vertAlign w:val="superscript"/>
        </w:rPr>
        <w:t>th</w:t>
      </w:r>
      <w:r w:rsidRPr="009763E3">
        <w:rPr>
          <w:rFonts w:ascii="Times New Roman" w:hAnsi="Times New Roman"/>
          <w:b/>
        </w:rPr>
        <w:t xml:space="preserve"> MARCH, 2014    </w:t>
      </w:r>
      <w:r w:rsidRPr="009763E3">
        <w:rPr>
          <w:rFonts w:ascii="Times New Roman" w:hAnsi="Times New Roman"/>
          <w:b/>
        </w:rPr>
        <w:tab/>
      </w:r>
      <w:r w:rsidRPr="009763E3">
        <w:rPr>
          <w:rFonts w:ascii="Times New Roman" w:hAnsi="Times New Roman"/>
          <w:b/>
        </w:rPr>
        <w:tab/>
        <w:t xml:space="preserve">            </w:t>
      </w:r>
      <w:r>
        <w:rPr>
          <w:rFonts w:ascii="Times New Roman" w:hAnsi="Times New Roman"/>
          <w:b/>
        </w:rPr>
        <w:t xml:space="preserve">              </w:t>
      </w:r>
      <w:r w:rsidRPr="009763E3">
        <w:rPr>
          <w:rFonts w:ascii="Times New Roman" w:hAnsi="Times New Roman"/>
          <w:b/>
        </w:rPr>
        <w:t>CASE NO. LC/</w:t>
      </w:r>
      <w:r>
        <w:rPr>
          <w:rFonts w:ascii="Times New Roman" w:hAnsi="Times New Roman"/>
          <w:b/>
        </w:rPr>
        <w:t>APP/H</w:t>
      </w:r>
      <w:r w:rsidRPr="009763E3">
        <w:rPr>
          <w:rFonts w:ascii="Times New Roman" w:hAnsi="Times New Roman"/>
          <w:b/>
        </w:rPr>
        <w:t>/</w:t>
      </w:r>
      <w:r>
        <w:rPr>
          <w:rFonts w:ascii="Times New Roman" w:hAnsi="Times New Roman"/>
          <w:b/>
        </w:rPr>
        <w:t>48/14</w:t>
      </w:r>
    </w:p>
    <w:p w:rsidR="00E015B5" w:rsidRPr="009763E3" w:rsidRDefault="00E015B5" w:rsidP="00E015B5">
      <w:pPr>
        <w:spacing w:line="360" w:lineRule="auto"/>
        <w:jc w:val="both"/>
        <w:outlineLvl w:val="0"/>
        <w:rPr>
          <w:rFonts w:ascii="Times New Roman" w:hAnsi="Times New Roman"/>
          <w:b/>
        </w:rPr>
      </w:pPr>
      <w:r w:rsidRPr="009763E3">
        <w:rPr>
          <w:rFonts w:ascii="Times New Roman" w:hAnsi="Times New Roman"/>
          <w:b/>
        </w:rPr>
        <w:t xml:space="preserve">AND </w:t>
      </w:r>
      <w:r>
        <w:rPr>
          <w:rFonts w:ascii="Times New Roman" w:hAnsi="Times New Roman"/>
          <w:b/>
        </w:rPr>
        <w:t>4</w:t>
      </w:r>
      <w:r w:rsidRPr="00FD51C8">
        <w:rPr>
          <w:rFonts w:ascii="Times New Roman" w:hAnsi="Times New Roman"/>
          <w:b/>
          <w:vertAlign w:val="superscript"/>
        </w:rPr>
        <w:t>TH</w:t>
      </w:r>
      <w:r>
        <w:rPr>
          <w:rFonts w:ascii="Times New Roman" w:hAnsi="Times New Roman"/>
          <w:b/>
        </w:rPr>
        <w:t xml:space="preserve"> JULY, </w:t>
      </w:r>
      <w:r w:rsidRPr="009763E3">
        <w:rPr>
          <w:rFonts w:ascii="Times New Roman" w:hAnsi="Times New Roman"/>
          <w:b/>
        </w:rPr>
        <w:t>2014</w:t>
      </w:r>
    </w:p>
    <w:p w:rsidR="00E015B5" w:rsidRDefault="00E015B5" w:rsidP="00E015B5">
      <w:pPr>
        <w:spacing w:line="360" w:lineRule="auto"/>
        <w:jc w:val="both"/>
        <w:rPr>
          <w:rFonts w:ascii="Times New Roman" w:hAnsi="Times New Roman"/>
        </w:rPr>
      </w:pPr>
    </w:p>
    <w:p w:rsidR="00E015B5" w:rsidRPr="009763E3" w:rsidRDefault="00E015B5" w:rsidP="00E015B5">
      <w:pPr>
        <w:spacing w:line="360" w:lineRule="auto"/>
        <w:jc w:val="both"/>
        <w:rPr>
          <w:rFonts w:ascii="Times New Roman" w:hAnsi="Times New Roman"/>
          <w:b/>
        </w:rPr>
      </w:pPr>
      <w:r w:rsidRPr="009763E3">
        <w:rPr>
          <w:rFonts w:ascii="Times New Roman" w:hAnsi="Times New Roman"/>
        </w:rPr>
        <w:t>In the matter between:-</w:t>
      </w:r>
    </w:p>
    <w:p w:rsidR="00E015B5" w:rsidRPr="009763E3" w:rsidRDefault="00E015B5" w:rsidP="00E015B5">
      <w:pPr>
        <w:spacing w:line="360" w:lineRule="auto"/>
        <w:jc w:val="both"/>
        <w:rPr>
          <w:rFonts w:ascii="Times New Roman" w:hAnsi="Times New Roman"/>
        </w:rPr>
      </w:pPr>
    </w:p>
    <w:p w:rsidR="00E015B5" w:rsidRPr="009763E3" w:rsidRDefault="00E015B5" w:rsidP="00E015B5">
      <w:pPr>
        <w:spacing w:line="600" w:lineRule="auto"/>
        <w:jc w:val="both"/>
        <w:rPr>
          <w:rFonts w:ascii="Times New Roman" w:hAnsi="Times New Roman"/>
          <w:b/>
        </w:rPr>
      </w:pPr>
      <w:r>
        <w:rPr>
          <w:rFonts w:ascii="Times New Roman" w:hAnsi="Times New Roman"/>
          <w:b/>
        </w:rPr>
        <w:t>TAMBAOGA NYAZIKA</w:t>
      </w:r>
      <w:r w:rsidRPr="009763E3">
        <w:rPr>
          <w:rFonts w:ascii="Times New Roman" w:hAnsi="Times New Roman"/>
          <w:b/>
        </w:rPr>
        <w:tab/>
      </w:r>
      <w:r w:rsidRPr="009763E3">
        <w:rPr>
          <w:rFonts w:ascii="Times New Roman" w:hAnsi="Times New Roman"/>
          <w:b/>
        </w:rPr>
        <w:tab/>
      </w:r>
      <w:r w:rsidRPr="009763E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9763E3">
        <w:rPr>
          <w:rFonts w:ascii="Times New Roman" w:hAnsi="Times New Roman"/>
          <w:b/>
        </w:rPr>
        <w:t>Appl</w:t>
      </w:r>
      <w:r>
        <w:rPr>
          <w:rFonts w:ascii="Times New Roman" w:hAnsi="Times New Roman"/>
          <w:b/>
        </w:rPr>
        <w:t>ic</w:t>
      </w:r>
      <w:r w:rsidRPr="009763E3">
        <w:rPr>
          <w:rFonts w:ascii="Times New Roman" w:hAnsi="Times New Roman"/>
          <w:b/>
        </w:rPr>
        <w:t>ant</w:t>
      </w:r>
    </w:p>
    <w:p w:rsidR="00E015B5" w:rsidRPr="009763E3" w:rsidRDefault="00E015B5" w:rsidP="00E015B5">
      <w:pPr>
        <w:tabs>
          <w:tab w:val="left" w:pos="1995"/>
        </w:tabs>
        <w:spacing w:line="600" w:lineRule="auto"/>
        <w:jc w:val="both"/>
        <w:outlineLvl w:val="0"/>
        <w:rPr>
          <w:rFonts w:ascii="Times New Roman" w:hAnsi="Times New Roman"/>
        </w:rPr>
      </w:pPr>
      <w:r w:rsidRPr="009763E3">
        <w:rPr>
          <w:rFonts w:ascii="Times New Roman" w:hAnsi="Times New Roman"/>
        </w:rPr>
        <w:t>And</w:t>
      </w:r>
      <w:r w:rsidRPr="009763E3">
        <w:rPr>
          <w:rFonts w:ascii="Times New Roman" w:hAnsi="Times New Roman"/>
        </w:rPr>
        <w:tab/>
      </w:r>
    </w:p>
    <w:p w:rsidR="00E015B5" w:rsidRPr="009763E3" w:rsidRDefault="00E015B5" w:rsidP="00E015B5">
      <w:pPr>
        <w:spacing w:line="600" w:lineRule="auto"/>
        <w:jc w:val="both"/>
        <w:rPr>
          <w:rFonts w:ascii="Times New Roman" w:hAnsi="Times New Roman"/>
          <w:b/>
        </w:rPr>
      </w:pPr>
      <w:r>
        <w:rPr>
          <w:rFonts w:ascii="Times New Roman" w:hAnsi="Times New Roman"/>
          <w:b/>
        </w:rPr>
        <w:t>ZIMBABWE ENERGY WORKERS UNION</w:t>
      </w:r>
      <w:r>
        <w:rPr>
          <w:rFonts w:ascii="Times New Roman" w:hAnsi="Times New Roman"/>
          <w:b/>
        </w:rPr>
        <w:tab/>
      </w:r>
      <w:r w:rsidRPr="009763E3">
        <w:rPr>
          <w:rFonts w:ascii="Times New Roman" w:hAnsi="Times New Roman"/>
          <w:b/>
        </w:rPr>
        <w:tab/>
      </w:r>
      <w:r w:rsidRPr="009763E3">
        <w:rPr>
          <w:rFonts w:ascii="Times New Roman" w:hAnsi="Times New Roman"/>
          <w:b/>
        </w:rPr>
        <w:tab/>
        <w:t>Respondent</w:t>
      </w:r>
    </w:p>
    <w:p w:rsidR="00E015B5" w:rsidRPr="009763E3" w:rsidRDefault="00E015B5" w:rsidP="00E015B5">
      <w:pPr>
        <w:spacing w:line="600" w:lineRule="auto"/>
        <w:jc w:val="both"/>
        <w:rPr>
          <w:rFonts w:ascii="Times New Roman" w:hAnsi="Times New Roman"/>
          <w:b/>
        </w:rPr>
      </w:pPr>
    </w:p>
    <w:p w:rsidR="00E015B5" w:rsidRPr="009763E3" w:rsidRDefault="00E015B5" w:rsidP="00E015B5">
      <w:pPr>
        <w:spacing w:line="360" w:lineRule="auto"/>
        <w:jc w:val="both"/>
        <w:outlineLvl w:val="0"/>
        <w:rPr>
          <w:rFonts w:ascii="Times New Roman" w:hAnsi="Times New Roman"/>
        </w:rPr>
      </w:pPr>
      <w:r w:rsidRPr="009763E3">
        <w:rPr>
          <w:rFonts w:ascii="Times New Roman" w:hAnsi="Times New Roman"/>
        </w:rPr>
        <w:t xml:space="preserve">Before The Honourable </w:t>
      </w:r>
      <w:r>
        <w:rPr>
          <w:rFonts w:ascii="Times New Roman" w:hAnsi="Times New Roman"/>
        </w:rPr>
        <w:t xml:space="preserve">F.C. </w:t>
      </w:r>
      <w:r w:rsidRPr="009763E3">
        <w:rPr>
          <w:rFonts w:ascii="Times New Roman" w:hAnsi="Times New Roman"/>
        </w:rPr>
        <w:t>M</w:t>
      </w:r>
      <w:r>
        <w:rPr>
          <w:rFonts w:ascii="Times New Roman" w:hAnsi="Times New Roman"/>
        </w:rPr>
        <w:t>axwell</w:t>
      </w:r>
      <w:r w:rsidRPr="009763E3">
        <w:rPr>
          <w:rFonts w:ascii="Times New Roman" w:hAnsi="Times New Roman"/>
        </w:rPr>
        <w:t>, Judge</w:t>
      </w:r>
    </w:p>
    <w:p w:rsidR="00E015B5" w:rsidRPr="009763E3" w:rsidRDefault="00E015B5" w:rsidP="00E015B5">
      <w:pPr>
        <w:spacing w:line="360" w:lineRule="auto"/>
        <w:jc w:val="both"/>
        <w:rPr>
          <w:rFonts w:ascii="Times New Roman" w:hAnsi="Times New Roman"/>
        </w:rPr>
      </w:pPr>
      <w:r w:rsidRPr="009763E3">
        <w:rPr>
          <w:rFonts w:ascii="Times New Roman" w:hAnsi="Times New Roman"/>
        </w:rPr>
        <w:tab/>
      </w:r>
      <w:r w:rsidRPr="009763E3">
        <w:rPr>
          <w:rFonts w:ascii="Times New Roman" w:hAnsi="Times New Roman"/>
        </w:rPr>
        <w:tab/>
      </w:r>
      <w:r w:rsidRPr="009763E3">
        <w:rPr>
          <w:rFonts w:ascii="Times New Roman" w:hAnsi="Times New Roman"/>
        </w:rPr>
        <w:tab/>
      </w:r>
    </w:p>
    <w:p w:rsidR="00E015B5" w:rsidRDefault="00E015B5" w:rsidP="00E015B5">
      <w:pPr>
        <w:spacing w:line="360" w:lineRule="auto"/>
        <w:jc w:val="both"/>
        <w:rPr>
          <w:rFonts w:ascii="Times New Roman" w:hAnsi="Times New Roman"/>
          <w:b/>
        </w:rPr>
      </w:pPr>
      <w:r>
        <w:rPr>
          <w:rFonts w:ascii="Times New Roman" w:hAnsi="Times New Roman"/>
          <w:b/>
        </w:rPr>
        <w:t xml:space="preserve">For Applicant </w:t>
      </w:r>
      <w:r>
        <w:rPr>
          <w:rFonts w:ascii="Times New Roman" w:hAnsi="Times New Roman"/>
          <w:b/>
        </w:rPr>
        <w:tab/>
      </w:r>
      <w:r>
        <w:rPr>
          <w:rFonts w:ascii="Times New Roman" w:hAnsi="Times New Roman"/>
          <w:b/>
        </w:rPr>
        <w:tab/>
        <w:t xml:space="preserve">- </w:t>
      </w:r>
      <w:r>
        <w:rPr>
          <w:rFonts w:ascii="Times New Roman" w:hAnsi="Times New Roman"/>
          <w:b/>
        </w:rPr>
        <w:tab/>
        <w:t>G. Madzoka (</w:t>
      </w:r>
      <w:r w:rsidRPr="009763E3">
        <w:rPr>
          <w:rFonts w:ascii="Times New Roman" w:hAnsi="Times New Roman"/>
          <w:b/>
        </w:rPr>
        <w:t>Legal Practitioner)</w:t>
      </w:r>
      <w:r w:rsidRPr="009763E3">
        <w:rPr>
          <w:rFonts w:ascii="Times New Roman" w:hAnsi="Times New Roman"/>
          <w:b/>
        </w:rPr>
        <w:tab/>
      </w:r>
    </w:p>
    <w:p w:rsidR="00E015B5" w:rsidRPr="009763E3" w:rsidRDefault="00E015B5" w:rsidP="00E015B5">
      <w:pPr>
        <w:spacing w:line="360" w:lineRule="auto"/>
        <w:jc w:val="both"/>
        <w:rPr>
          <w:rFonts w:ascii="Times New Roman" w:hAnsi="Times New Roman"/>
          <w:b/>
        </w:rPr>
      </w:pPr>
      <w:r w:rsidRPr="009763E3">
        <w:rPr>
          <w:rFonts w:ascii="Times New Roman" w:hAnsi="Times New Roman"/>
          <w:b/>
        </w:rPr>
        <w:t>For Respondent</w:t>
      </w:r>
      <w:r w:rsidRPr="009763E3">
        <w:rPr>
          <w:rFonts w:ascii="Times New Roman" w:hAnsi="Times New Roman"/>
          <w:b/>
        </w:rPr>
        <w:tab/>
      </w:r>
      <w:r w:rsidRPr="009763E3">
        <w:rPr>
          <w:rFonts w:ascii="Times New Roman" w:hAnsi="Times New Roman"/>
          <w:b/>
        </w:rPr>
        <w:tab/>
        <w:t>-</w:t>
      </w:r>
      <w:r w:rsidRPr="009763E3">
        <w:rPr>
          <w:rFonts w:ascii="Times New Roman" w:hAnsi="Times New Roman"/>
          <w:b/>
        </w:rPr>
        <w:tab/>
      </w:r>
      <w:r>
        <w:rPr>
          <w:rFonts w:ascii="Times New Roman" w:hAnsi="Times New Roman"/>
          <w:b/>
        </w:rPr>
        <w:t>S.  Machingauta</w:t>
      </w:r>
      <w:r w:rsidRPr="009763E3">
        <w:rPr>
          <w:rFonts w:ascii="Times New Roman" w:hAnsi="Times New Roman"/>
          <w:b/>
        </w:rPr>
        <w:t xml:space="preserve"> (Legal Practitioner)</w:t>
      </w:r>
    </w:p>
    <w:p w:rsidR="00E015B5" w:rsidRPr="009763E3" w:rsidRDefault="00E015B5" w:rsidP="00E015B5">
      <w:pPr>
        <w:spacing w:line="360" w:lineRule="auto"/>
        <w:jc w:val="both"/>
        <w:rPr>
          <w:rFonts w:ascii="Times New Roman" w:hAnsi="Times New Roman"/>
          <w:b/>
        </w:rPr>
      </w:pPr>
    </w:p>
    <w:p w:rsidR="00E015B5" w:rsidRPr="009763E3" w:rsidRDefault="00E015B5" w:rsidP="00E015B5">
      <w:pPr>
        <w:spacing w:line="360" w:lineRule="auto"/>
        <w:jc w:val="both"/>
        <w:outlineLvl w:val="0"/>
        <w:rPr>
          <w:rFonts w:ascii="Times New Roman" w:hAnsi="Times New Roman"/>
          <w:b/>
        </w:rPr>
      </w:pPr>
      <w:r w:rsidRPr="009763E3">
        <w:rPr>
          <w:rFonts w:ascii="Times New Roman" w:hAnsi="Times New Roman"/>
          <w:b/>
        </w:rPr>
        <w:t>MA</w:t>
      </w:r>
      <w:r>
        <w:rPr>
          <w:rFonts w:ascii="Times New Roman" w:hAnsi="Times New Roman"/>
          <w:b/>
        </w:rPr>
        <w:t>XWELL</w:t>
      </w:r>
      <w:r w:rsidRPr="009763E3">
        <w:rPr>
          <w:rFonts w:ascii="Times New Roman" w:hAnsi="Times New Roman"/>
          <w:b/>
        </w:rPr>
        <w:t xml:space="preserve"> J:</w:t>
      </w:r>
    </w:p>
    <w:p w:rsidR="00E015B5" w:rsidRDefault="00E015B5" w:rsidP="00E015B5">
      <w:pPr>
        <w:spacing w:line="360" w:lineRule="auto"/>
        <w:jc w:val="both"/>
        <w:rPr>
          <w:rFonts w:ascii="Times New Roman" w:hAnsi="Times New Roman"/>
        </w:rPr>
      </w:pPr>
    </w:p>
    <w:p w:rsidR="00E015B5" w:rsidRDefault="00E015B5" w:rsidP="00E015B5">
      <w:pPr>
        <w:spacing w:line="360" w:lineRule="auto"/>
        <w:rPr>
          <w:rFonts w:ascii="Times New Roman" w:hAnsi="Times New Roman"/>
        </w:rPr>
      </w:pPr>
      <w:r>
        <w:rPr>
          <w:rFonts w:ascii="Times New Roman" w:hAnsi="Times New Roman"/>
        </w:rPr>
        <w:tab/>
        <w:t>This is an application for rescission of a judgment issued in terms of Rule 19(3) (a) of this Court’s Rules SI 59/2006.</w:t>
      </w:r>
    </w:p>
    <w:p w:rsidR="00E015B5" w:rsidRDefault="00E015B5" w:rsidP="00E015B5">
      <w:pPr>
        <w:spacing w:line="360" w:lineRule="auto"/>
        <w:jc w:val="both"/>
        <w:rPr>
          <w:rFonts w:ascii="Times New Roman" w:hAnsi="Times New Roman"/>
        </w:rPr>
      </w:pPr>
      <w:r>
        <w:rPr>
          <w:rFonts w:ascii="Times New Roman" w:hAnsi="Times New Roman"/>
        </w:rPr>
        <w:tab/>
        <w:t>On 6</w:t>
      </w:r>
      <w:r w:rsidRPr="009F7095">
        <w:rPr>
          <w:rFonts w:ascii="Times New Roman" w:hAnsi="Times New Roman"/>
          <w:vertAlign w:val="superscript"/>
        </w:rPr>
        <w:t>th</w:t>
      </w:r>
      <w:r>
        <w:rPr>
          <w:rFonts w:ascii="Times New Roman" w:hAnsi="Times New Roman"/>
        </w:rPr>
        <w:t xml:space="preserve"> November 2013 Applicant noted an appeal against an arbitral award dated 22</w:t>
      </w:r>
      <w:r w:rsidRPr="009F7095">
        <w:rPr>
          <w:rFonts w:ascii="Times New Roman" w:hAnsi="Times New Roman"/>
          <w:vertAlign w:val="superscript"/>
        </w:rPr>
        <w:t>nd</w:t>
      </w:r>
      <w:r>
        <w:rPr>
          <w:rFonts w:ascii="Times New Roman" w:hAnsi="Times New Roman"/>
        </w:rPr>
        <w:t xml:space="preserve"> October 2013. On 13</w:t>
      </w:r>
      <w:r w:rsidRPr="009F7095">
        <w:rPr>
          <w:rFonts w:ascii="Times New Roman" w:hAnsi="Times New Roman"/>
          <w:vertAlign w:val="superscript"/>
        </w:rPr>
        <w:t>th</w:t>
      </w:r>
      <w:r>
        <w:rPr>
          <w:rFonts w:ascii="Times New Roman" w:hAnsi="Times New Roman"/>
        </w:rPr>
        <w:t xml:space="preserve"> November 2013 Respondent filed its Notice of Response. In terms of Rule 19(3) (a) of SI 59/2006 Applicant was supposed to file heads of arguments within fourteen days of receipt of the notice of response. This Applicant did not do. On 17</w:t>
      </w:r>
      <w:r w:rsidRPr="009F7095">
        <w:rPr>
          <w:rFonts w:ascii="Times New Roman" w:hAnsi="Times New Roman"/>
          <w:vertAlign w:val="superscript"/>
        </w:rPr>
        <w:t>th</w:t>
      </w:r>
      <w:r>
        <w:rPr>
          <w:rFonts w:ascii="Times New Roman" w:hAnsi="Times New Roman"/>
        </w:rPr>
        <w:t xml:space="preserve"> December 2013 Respondent reminded Applicant of the provisions of Rule 19(3) (a) of SI 59/2006. Applicant did not rectify the breach. On 10</w:t>
      </w:r>
      <w:r w:rsidRPr="009F7095">
        <w:rPr>
          <w:rFonts w:ascii="Times New Roman" w:hAnsi="Times New Roman"/>
          <w:vertAlign w:val="superscript"/>
        </w:rPr>
        <w:t>th</w:t>
      </w:r>
      <w:r>
        <w:rPr>
          <w:rFonts w:ascii="Times New Roman" w:hAnsi="Times New Roman"/>
        </w:rPr>
        <w:t xml:space="preserve"> March 2014 Respondent filed a Chamber Application for the dismissal of the appeal in terms of Rule 19(3) (a) of SI 59/2006. The application was granted on 17</w:t>
      </w:r>
      <w:r w:rsidRPr="009F7095">
        <w:rPr>
          <w:rFonts w:ascii="Times New Roman" w:hAnsi="Times New Roman"/>
          <w:vertAlign w:val="superscript"/>
        </w:rPr>
        <w:t>th</w:t>
      </w:r>
      <w:r>
        <w:rPr>
          <w:rFonts w:ascii="Times New Roman" w:hAnsi="Times New Roman"/>
        </w:rPr>
        <w:t xml:space="preserve"> March 2014.</w:t>
      </w:r>
    </w:p>
    <w:p w:rsidR="00E015B5" w:rsidRDefault="00E015B5" w:rsidP="00E015B5">
      <w:pPr>
        <w:spacing w:line="360" w:lineRule="auto"/>
        <w:jc w:val="both"/>
        <w:rPr>
          <w:rFonts w:ascii="Times New Roman" w:hAnsi="Times New Roman"/>
        </w:rPr>
      </w:pPr>
      <w:r>
        <w:rPr>
          <w:rFonts w:ascii="Times New Roman" w:hAnsi="Times New Roman"/>
        </w:rPr>
        <w:tab/>
        <w:t>On 24</w:t>
      </w:r>
      <w:r w:rsidRPr="009F7095">
        <w:rPr>
          <w:rFonts w:ascii="Times New Roman" w:hAnsi="Times New Roman"/>
          <w:vertAlign w:val="superscript"/>
        </w:rPr>
        <w:t>th</w:t>
      </w:r>
      <w:r>
        <w:rPr>
          <w:rFonts w:ascii="Times New Roman" w:hAnsi="Times New Roman"/>
        </w:rPr>
        <w:t xml:space="preserve"> April 2014 the present application was filed. On 9</w:t>
      </w:r>
      <w:r w:rsidRPr="009F7095">
        <w:rPr>
          <w:rFonts w:ascii="Times New Roman" w:hAnsi="Times New Roman"/>
          <w:vertAlign w:val="superscript"/>
        </w:rPr>
        <w:t>th</w:t>
      </w:r>
      <w:r>
        <w:rPr>
          <w:rFonts w:ascii="Times New Roman" w:hAnsi="Times New Roman"/>
        </w:rPr>
        <w:t xml:space="preserve"> May 2014 Respondent opposed the application. For an application of this nature to succeed it is trite that good and sufficient cause for the default has to be established. In doing so the following, among other factors have to be considered.</w:t>
      </w:r>
    </w:p>
    <w:p w:rsidR="00E015B5" w:rsidRDefault="00E015B5" w:rsidP="00E015B5">
      <w:pPr>
        <w:spacing w:line="360" w:lineRule="auto"/>
        <w:jc w:val="both"/>
        <w:rPr>
          <w:rFonts w:ascii="Times New Roman" w:hAnsi="Times New Roman"/>
        </w:rPr>
      </w:pPr>
      <w:r>
        <w:rPr>
          <w:rFonts w:ascii="Times New Roman" w:hAnsi="Times New Roman"/>
        </w:rPr>
        <w:lastRenderedPageBreak/>
        <w:t xml:space="preserve">  </w:t>
      </w:r>
    </w:p>
    <w:p w:rsidR="00E015B5" w:rsidRDefault="00E015B5" w:rsidP="00E015B5">
      <w:pPr>
        <w:pStyle w:val="ListParagraph"/>
        <w:numPr>
          <w:ilvl w:val="0"/>
          <w:numId w:val="1"/>
        </w:numPr>
        <w:spacing w:line="360" w:lineRule="auto"/>
        <w:jc w:val="both"/>
        <w:rPr>
          <w:rFonts w:ascii="Times New Roman" w:hAnsi="Times New Roman"/>
        </w:rPr>
      </w:pPr>
      <w:r>
        <w:rPr>
          <w:rFonts w:ascii="Times New Roman" w:hAnsi="Times New Roman"/>
        </w:rPr>
        <w:t>t</w:t>
      </w:r>
      <w:r w:rsidRPr="009F7095">
        <w:rPr>
          <w:rFonts w:ascii="Times New Roman" w:hAnsi="Times New Roman"/>
        </w:rPr>
        <w:t>he length of the delay in applying for rescission</w:t>
      </w:r>
    </w:p>
    <w:p w:rsidR="00E015B5" w:rsidRDefault="00E015B5" w:rsidP="00E015B5">
      <w:pPr>
        <w:pStyle w:val="ListParagraph"/>
        <w:numPr>
          <w:ilvl w:val="0"/>
          <w:numId w:val="1"/>
        </w:numPr>
        <w:spacing w:line="360" w:lineRule="auto"/>
        <w:jc w:val="both"/>
        <w:rPr>
          <w:rFonts w:ascii="Times New Roman" w:hAnsi="Times New Roman"/>
        </w:rPr>
      </w:pPr>
      <w:r>
        <w:rPr>
          <w:rFonts w:ascii="Times New Roman" w:hAnsi="Times New Roman"/>
        </w:rPr>
        <w:t>the reason for the default</w:t>
      </w:r>
    </w:p>
    <w:p w:rsidR="00E015B5" w:rsidRDefault="00E015B5" w:rsidP="00E015B5">
      <w:pPr>
        <w:pStyle w:val="ListParagraph"/>
        <w:numPr>
          <w:ilvl w:val="0"/>
          <w:numId w:val="1"/>
        </w:numPr>
        <w:spacing w:line="360" w:lineRule="auto"/>
        <w:jc w:val="both"/>
        <w:rPr>
          <w:rFonts w:ascii="Times New Roman" w:hAnsi="Times New Roman"/>
        </w:rPr>
      </w:pPr>
      <w:r>
        <w:rPr>
          <w:rFonts w:ascii="Times New Roman" w:hAnsi="Times New Roman"/>
        </w:rPr>
        <w:t>the prospects of success</w:t>
      </w:r>
    </w:p>
    <w:p w:rsidR="00E015B5" w:rsidRDefault="00E015B5" w:rsidP="00E015B5">
      <w:pPr>
        <w:pStyle w:val="ListParagraph"/>
        <w:numPr>
          <w:ilvl w:val="0"/>
          <w:numId w:val="1"/>
        </w:numPr>
        <w:spacing w:line="360" w:lineRule="auto"/>
        <w:jc w:val="both"/>
        <w:rPr>
          <w:rFonts w:ascii="Times New Roman" w:hAnsi="Times New Roman"/>
        </w:rPr>
      </w:pPr>
      <w:r>
        <w:rPr>
          <w:rFonts w:ascii="Times New Roman" w:hAnsi="Times New Roman"/>
        </w:rPr>
        <w:t>the balance of convenience</w:t>
      </w:r>
    </w:p>
    <w:p w:rsidR="00E015B5" w:rsidRDefault="00E015B5" w:rsidP="00E015B5">
      <w:pPr>
        <w:spacing w:line="360" w:lineRule="auto"/>
        <w:jc w:val="both"/>
        <w:rPr>
          <w:rFonts w:ascii="Times New Roman" w:hAnsi="Times New Roman"/>
        </w:rPr>
      </w:pPr>
    </w:p>
    <w:p w:rsidR="00E015B5" w:rsidRDefault="00E015B5" w:rsidP="00E015B5">
      <w:pPr>
        <w:spacing w:line="360" w:lineRule="auto"/>
        <w:jc w:val="both"/>
        <w:rPr>
          <w:rFonts w:ascii="Times New Roman" w:hAnsi="Times New Roman"/>
        </w:rPr>
      </w:pPr>
      <w:r>
        <w:rPr>
          <w:rFonts w:ascii="Times New Roman" w:hAnsi="Times New Roman"/>
        </w:rPr>
        <w:t xml:space="preserve">See - </w:t>
      </w:r>
      <w:r>
        <w:rPr>
          <w:rFonts w:ascii="Times New Roman" w:hAnsi="Times New Roman"/>
        </w:rPr>
        <w:tab/>
        <w:t xml:space="preserve">  </w:t>
      </w:r>
      <w:r w:rsidRPr="00540ABA">
        <w:rPr>
          <w:rFonts w:ascii="Times New Roman" w:hAnsi="Times New Roman"/>
          <w:b/>
        </w:rPr>
        <w:t>Redstar Wholesalers</w:t>
      </w:r>
      <w:r>
        <w:rPr>
          <w:rFonts w:ascii="Times New Roman" w:hAnsi="Times New Roman"/>
        </w:rPr>
        <w:t xml:space="preserve"> vs. </w:t>
      </w:r>
      <w:r w:rsidRPr="00540ABA">
        <w:rPr>
          <w:rFonts w:ascii="Times New Roman" w:hAnsi="Times New Roman"/>
          <w:b/>
        </w:rPr>
        <w:t>Livingstone Muhomba</w:t>
      </w:r>
      <w:r>
        <w:rPr>
          <w:rFonts w:ascii="Times New Roman" w:hAnsi="Times New Roman"/>
        </w:rPr>
        <w:t xml:space="preserve"> SC 142/04</w:t>
      </w:r>
    </w:p>
    <w:p w:rsidR="00E015B5" w:rsidRPr="00540ABA" w:rsidRDefault="00E015B5" w:rsidP="00E015B5">
      <w:pPr>
        <w:pStyle w:val="ListParagraph"/>
        <w:numPr>
          <w:ilvl w:val="0"/>
          <w:numId w:val="2"/>
        </w:numPr>
        <w:spacing w:line="360" w:lineRule="auto"/>
        <w:jc w:val="both"/>
        <w:rPr>
          <w:rFonts w:ascii="Times New Roman" w:hAnsi="Times New Roman"/>
        </w:rPr>
      </w:pPr>
      <w:r w:rsidRPr="00540ABA">
        <w:rPr>
          <w:rFonts w:ascii="Times New Roman" w:hAnsi="Times New Roman"/>
          <w:b/>
        </w:rPr>
        <w:t xml:space="preserve">Maheya </w:t>
      </w:r>
      <w:r w:rsidRPr="00540ABA">
        <w:rPr>
          <w:rFonts w:ascii="Times New Roman" w:hAnsi="Times New Roman"/>
        </w:rPr>
        <w:t xml:space="preserve">vs. </w:t>
      </w:r>
      <w:r w:rsidRPr="00540ABA">
        <w:rPr>
          <w:rFonts w:ascii="Times New Roman" w:hAnsi="Times New Roman"/>
          <w:b/>
        </w:rPr>
        <w:t>Independent African Church</w:t>
      </w:r>
      <w:r w:rsidRPr="00540ABA">
        <w:rPr>
          <w:rFonts w:ascii="Times New Roman" w:hAnsi="Times New Roman"/>
        </w:rPr>
        <w:t xml:space="preserve"> SC 58/07</w:t>
      </w:r>
    </w:p>
    <w:p w:rsidR="00E015B5" w:rsidRDefault="00E015B5" w:rsidP="00E015B5">
      <w:pPr>
        <w:pStyle w:val="ListParagraph"/>
        <w:numPr>
          <w:ilvl w:val="0"/>
          <w:numId w:val="2"/>
        </w:numPr>
        <w:spacing w:line="360" w:lineRule="auto"/>
        <w:jc w:val="both"/>
        <w:rPr>
          <w:rFonts w:ascii="Times New Roman" w:hAnsi="Times New Roman"/>
        </w:rPr>
      </w:pPr>
      <w:r w:rsidRPr="00540ABA">
        <w:rPr>
          <w:rFonts w:ascii="Times New Roman" w:hAnsi="Times New Roman"/>
          <w:b/>
        </w:rPr>
        <w:t xml:space="preserve">Champion Constructors </w:t>
      </w:r>
      <w:r w:rsidRPr="00540ABA">
        <w:rPr>
          <w:rFonts w:ascii="Times New Roman" w:hAnsi="Times New Roman"/>
        </w:rPr>
        <w:t xml:space="preserve">vs. </w:t>
      </w:r>
      <w:r w:rsidRPr="00540ABA">
        <w:rPr>
          <w:rFonts w:ascii="Times New Roman" w:hAnsi="Times New Roman"/>
          <w:b/>
        </w:rPr>
        <w:t>Modrack Mkandla and Another</w:t>
      </w:r>
      <w:r w:rsidRPr="00540ABA">
        <w:rPr>
          <w:rFonts w:ascii="Times New Roman" w:hAnsi="Times New Roman"/>
        </w:rPr>
        <w:t xml:space="preserve"> SC 18/07</w:t>
      </w:r>
    </w:p>
    <w:p w:rsidR="00E015B5" w:rsidRDefault="00E015B5" w:rsidP="00E015B5">
      <w:pPr>
        <w:pStyle w:val="ListParagraph"/>
        <w:spacing w:line="360" w:lineRule="auto"/>
        <w:ind w:left="840"/>
        <w:jc w:val="both"/>
        <w:rPr>
          <w:rFonts w:ascii="Times New Roman" w:hAnsi="Times New Roman"/>
        </w:rPr>
      </w:pPr>
    </w:p>
    <w:p w:rsidR="00E015B5" w:rsidRDefault="00E015B5" w:rsidP="00E015B5">
      <w:pPr>
        <w:spacing w:line="360" w:lineRule="auto"/>
        <w:ind w:firstLine="480"/>
        <w:jc w:val="both"/>
        <w:rPr>
          <w:rFonts w:ascii="Times New Roman" w:hAnsi="Times New Roman"/>
        </w:rPr>
      </w:pPr>
      <w:r>
        <w:rPr>
          <w:rFonts w:ascii="Times New Roman" w:hAnsi="Times New Roman"/>
        </w:rPr>
        <w:t>The application was made more than a month after the order sought to be rescinded was granted. The reason given for the delay is the ineptitude of the Applicant’s erstwhile legal practitioners. The lawyer who was dealing with the matter accepted the blame under oath. The question therefore is whether the acceptance of blame by the legal practitioner is good and sufficient cause warranting the granting of the relief sought. Applicant has referred the Court to the cases of;</w:t>
      </w:r>
    </w:p>
    <w:p w:rsidR="00E015B5" w:rsidRDefault="00E015B5" w:rsidP="00E015B5">
      <w:pPr>
        <w:spacing w:line="360" w:lineRule="auto"/>
        <w:ind w:firstLine="480"/>
        <w:jc w:val="both"/>
        <w:rPr>
          <w:rFonts w:ascii="Times New Roman" w:hAnsi="Times New Roman"/>
        </w:rPr>
      </w:pPr>
    </w:p>
    <w:p w:rsidR="00E015B5" w:rsidRDefault="00E015B5" w:rsidP="00E015B5">
      <w:pPr>
        <w:spacing w:line="360" w:lineRule="auto"/>
        <w:ind w:firstLine="480"/>
        <w:jc w:val="both"/>
        <w:rPr>
          <w:rFonts w:ascii="Times New Roman" w:hAnsi="Times New Roman"/>
        </w:rPr>
      </w:pPr>
      <w:r w:rsidRPr="002509CC">
        <w:rPr>
          <w:rFonts w:ascii="Times New Roman" w:hAnsi="Times New Roman"/>
          <w:b/>
        </w:rPr>
        <w:t xml:space="preserve">Cobra and Wild Cat (Pvt) Ltd </w:t>
      </w:r>
      <w:r w:rsidRPr="002509CC">
        <w:rPr>
          <w:rFonts w:ascii="Times New Roman" w:hAnsi="Times New Roman"/>
        </w:rPr>
        <w:t>vs.</w:t>
      </w:r>
      <w:r w:rsidRPr="002509CC">
        <w:rPr>
          <w:rFonts w:ascii="Times New Roman" w:hAnsi="Times New Roman"/>
          <w:b/>
        </w:rPr>
        <w:t xml:space="preserve"> Tundu Distributors (Pvt) Ltd</w:t>
      </w:r>
      <w:r>
        <w:rPr>
          <w:rFonts w:ascii="Times New Roman" w:hAnsi="Times New Roman"/>
        </w:rPr>
        <w:t xml:space="preserve"> 1990 (1) ZLR 133</w:t>
      </w:r>
    </w:p>
    <w:p w:rsidR="00E015B5" w:rsidRDefault="00E015B5" w:rsidP="00E015B5">
      <w:pPr>
        <w:spacing w:line="360" w:lineRule="auto"/>
        <w:ind w:firstLine="480"/>
        <w:jc w:val="both"/>
        <w:rPr>
          <w:rFonts w:ascii="Times New Roman" w:hAnsi="Times New Roman"/>
        </w:rPr>
      </w:pPr>
      <w:r w:rsidRPr="002509CC">
        <w:rPr>
          <w:rFonts w:ascii="Times New Roman" w:hAnsi="Times New Roman"/>
          <w:b/>
        </w:rPr>
        <w:t xml:space="preserve">Mubvimbi </w:t>
      </w:r>
      <w:r w:rsidRPr="002509CC">
        <w:rPr>
          <w:rFonts w:ascii="Times New Roman" w:hAnsi="Times New Roman"/>
        </w:rPr>
        <w:t>vs.</w:t>
      </w:r>
      <w:r w:rsidRPr="002509CC">
        <w:rPr>
          <w:rFonts w:ascii="Times New Roman" w:hAnsi="Times New Roman"/>
          <w:b/>
        </w:rPr>
        <w:t xml:space="preserve"> Maringa and Anor</w:t>
      </w:r>
      <w:r>
        <w:rPr>
          <w:rFonts w:ascii="Times New Roman" w:hAnsi="Times New Roman"/>
        </w:rPr>
        <w:t xml:space="preserve">. 1993 (2) ZLR 24 </w:t>
      </w:r>
    </w:p>
    <w:p w:rsidR="00E015B5" w:rsidRDefault="00E015B5" w:rsidP="00E015B5">
      <w:pPr>
        <w:spacing w:line="360" w:lineRule="auto"/>
        <w:ind w:firstLine="480"/>
        <w:jc w:val="both"/>
        <w:rPr>
          <w:rFonts w:ascii="Times New Roman" w:hAnsi="Times New Roman"/>
        </w:rPr>
      </w:pPr>
    </w:p>
    <w:p w:rsidR="00E015B5" w:rsidRDefault="00E015B5" w:rsidP="00E015B5">
      <w:pPr>
        <w:spacing w:line="360" w:lineRule="auto"/>
        <w:ind w:firstLine="480"/>
        <w:jc w:val="both"/>
        <w:rPr>
          <w:rFonts w:ascii="Times New Roman" w:hAnsi="Times New Roman"/>
        </w:rPr>
      </w:pPr>
      <w:r>
        <w:rPr>
          <w:rFonts w:ascii="Times New Roman" w:hAnsi="Times New Roman"/>
        </w:rPr>
        <w:t xml:space="preserve">which held that an affidavit from the legal practitioner who is to blame should be attached. This the Applicant has done. However Respondent has made reference to cases that held that such an explanation cannot be taken as “good cause”, the case of </w:t>
      </w:r>
      <w:r w:rsidRPr="003706F1">
        <w:rPr>
          <w:rFonts w:ascii="Times New Roman" w:hAnsi="Times New Roman"/>
          <w:b/>
        </w:rPr>
        <w:t>Rural District Council</w:t>
      </w:r>
      <w:r>
        <w:rPr>
          <w:rFonts w:ascii="Times New Roman" w:hAnsi="Times New Roman"/>
        </w:rPr>
        <w:t xml:space="preserve"> vs. </w:t>
      </w:r>
      <w:r w:rsidRPr="003706F1">
        <w:rPr>
          <w:rFonts w:ascii="Times New Roman" w:hAnsi="Times New Roman"/>
          <w:b/>
        </w:rPr>
        <w:t>Russell Construction Co</w:t>
      </w:r>
      <w:r>
        <w:rPr>
          <w:rFonts w:ascii="Times New Roman" w:hAnsi="Times New Roman"/>
        </w:rPr>
        <w:t xml:space="preserve">. 1998 (2) ZLR 190. </w:t>
      </w:r>
      <w:r w:rsidRPr="003706F1">
        <w:rPr>
          <w:rFonts w:ascii="Times New Roman" w:hAnsi="Times New Roman"/>
          <w:b/>
        </w:rPr>
        <w:t xml:space="preserve">State </w:t>
      </w:r>
      <w:r w:rsidRPr="003706F1">
        <w:rPr>
          <w:rFonts w:ascii="Times New Roman" w:hAnsi="Times New Roman"/>
        </w:rPr>
        <w:t>vs.</w:t>
      </w:r>
      <w:r w:rsidRPr="003706F1">
        <w:rPr>
          <w:rFonts w:ascii="Times New Roman" w:hAnsi="Times New Roman"/>
          <w:b/>
        </w:rPr>
        <w:t xml:space="preserve"> Mc Nab</w:t>
      </w:r>
      <w:r>
        <w:rPr>
          <w:rFonts w:ascii="Times New Roman" w:hAnsi="Times New Roman"/>
        </w:rPr>
        <w:t xml:space="preserve"> 1986 (2) ZLR 280.</w:t>
      </w:r>
    </w:p>
    <w:p w:rsidR="00E015B5" w:rsidRDefault="00E015B5" w:rsidP="00E015B5">
      <w:pPr>
        <w:spacing w:line="360" w:lineRule="auto"/>
        <w:ind w:firstLine="480"/>
        <w:jc w:val="both"/>
        <w:rPr>
          <w:rFonts w:ascii="Times New Roman" w:hAnsi="Times New Roman"/>
        </w:rPr>
      </w:pPr>
      <w:r>
        <w:rPr>
          <w:rFonts w:ascii="Times New Roman" w:hAnsi="Times New Roman"/>
        </w:rPr>
        <w:t xml:space="preserve">The issue to be examined is whether or not Applicant was in willful default. It has not been disputed that the Notice of Response and the reminder that heads of argument were overdue were not brought to the attention of the Applicant. The said documents were served on the erstwhile legal practitioners. Applicant has indicated that he had been assured by </w:t>
      </w:r>
      <w:r w:rsidRPr="003706F1">
        <w:rPr>
          <w:rFonts w:ascii="Times New Roman" w:hAnsi="Times New Roman"/>
          <w:i/>
        </w:rPr>
        <w:t>Mr Masasire</w:t>
      </w:r>
      <w:r>
        <w:rPr>
          <w:rFonts w:ascii="Times New Roman" w:hAnsi="Times New Roman"/>
        </w:rPr>
        <w:t xml:space="preserve"> that the case was being given due attention. When </w:t>
      </w:r>
      <w:r w:rsidRPr="003706F1">
        <w:rPr>
          <w:rFonts w:ascii="Times New Roman" w:hAnsi="Times New Roman"/>
          <w:i/>
        </w:rPr>
        <w:t>Mr Masasire</w:t>
      </w:r>
      <w:r>
        <w:rPr>
          <w:rFonts w:ascii="Times New Roman" w:hAnsi="Times New Roman"/>
        </w:rPr>
        <w:t xml:space="preserve"> left the employ of Messrs Mutsahuni &amp; Chikore legal practitioner Applicant was not advised. I find that Applicant in this matter did not acquiesce with the default as he was not aware of the same.</w:t>
      </w:r>
    </w:p>
    <w:p w:rsidR="00E015B5" w:rsidRDefault="00E015B5" w:rsidP="00E015B5">
      <w:pPr>
        <w:spacing w:line="360" w:lineRule="auto"/>
        <w:ind w:firstLine="480"/>
        <w:jc w:val="both"/>
        <w:rPr>
          <w:rFonts w:ascii="Times New Roman" w:hAnsi="Times New Roman"/>
        </w:rPr>
      </w:pPr>
    </w:p>
    <w:p w:rsidR="00E015B5" w:rsidRDefault="00E015B5" w:rsidP="00E015B5">
      <w:pPr>
        <w:spacing w:line="360" w:lineRule="auto"/>
        <w:ind w:firstLine="480"/>
        <w:jc w:val="both"/>
        <w:rPr>
          <w:rFonts w:ascii="Times New Roman" w:hAnsi="Times New Roman"/>
        </w:rPr>
      </w:pPr>
    </w:p>
    <w:p w:rsidR="00E015B5" w:rsidRDefault="00E015B5" w:rsidP="00E015B5">
      <w:pPr>
        <w:spacing w:line="360" w:lineRule="auto"/>
        <w:ind w:firstLine="480"/>
        <w:jc w:val="both"/>
        <w:rPr>
          <w:rFonts w:ascii="Times New Roman" w:hAnsi="Times New Roman"/>
        </w:rPr>
      </w:pPr>
    </w:p>
    <w:p w:rsidR="00E015B5" w:rsidRDefault="00E015B5" w:rsidP="00E015B5">
      <w:pPr>
        <w:spacing w:line="360" w:lineRule="auto"/>
        <w:ind w:firstLine="480"/>
        <w:jc w:val="both"/>
        <w:rPr>
          <w:rFonts w:ascii="Times New Roman" w:hAnsi="Times New Roman"/>
        </w:rPr>
      </w:pPr>
      <w:r>
        <w:rPr>
          <w:rFonts w:ascii="Times New Roman" w:hAnsi="Times New Roman"/>
        </w:rPr>
        <w:lastRenderedPageBreak/>
        <w:t xml:space="preserve">I agree with Applicant’s submission that; </w:t>
      </w:r>
    </w:p>
    <w:p w:rsidR="00E015B5" w:rsidRDefault="00E015B5" w:rsidP="00E015B5">
      <w:pPr>
        <w:ind w:left="480"/>
        <w:jc w:val="both"/>
        <w:rPr>
          <w:rFonts w:ascii="Times New Roman" w:hAnsi="Times New Roman"/>
        </w:rPr>
      </w:pPr>
      <w:r w:rsidRPr="00F64EDC">
        <w:rPr>
          <w:rFonts w:ascii="Times New Roman" w:hAnsi="Times New Roman"/>
          <w:sz w:val="22"/>
          <w:szCs w:val="22"/>
        </w:rPr>
        <w:t>“those decided cases which have held that there is a limit beyond which a litigant cannot escape the result of his attorney’s lack of diligence were decided in the context of clients who, with knowledge that action had to be taken, sat by passively without so much as direct</w:t>
      </w:r>
      <w:r>
        <w:rPr>
          <w:rFonts w:ascii="Times New Roman" w:hAnsi="Times New Roman"/>
          <w:sz w:val="22"/>
          <w:szCs w:val="22"/>
        </w:rPr>
        <w:t>ing</w:t>
      </w:r>
      <w:r w:rsidRPr="00F64EDC">
        <w:rPr>
          <w:rFonts w:ascii="Times New Roman" w:hAnsi="Times New Roman"/>
          <w:sz w:val="22"/>
          <w:szCs w:val="22"/>
        </w:rPr>
        <w:t xml:space="preserve"> any reminder or enquiries to </w:t>
      </w:r>
      <w:r>
        <w:rPr>
          <w:rFonts w:ascii="Times New Roman" w:hAnsi="Times New Roman"/>
          <w:sz w:val="22"/>
          <w:szCs w:val="22"/>
        </w:rPr>
        <w:t>th</w:t>
      </w:r>
      <w:r w:rsidRPr="00F64EDC">
        <w:rPr>
          <w:rFonts w:ascii="Times New Roman" w:hAnsi="Times New Roman"/>
          <w:sz w:val="22"/>
          <w:szCs w:val="22"/>
        </w:rPr>
        <w:t xml:space="preserve">e attorney in whose hands such matters were left (see, for example </w:t>
      </w:r>
      <w:r w:rsidRPr="00F64EDC">
        <w:rPr>
          <w:rFonts w:ascii="Times New Roman" w:hAnsi="Times New Roman"/>
          <w:b/>
          <w:sz w:val="22"/>
          <w:szCs w:val="22"/>
        </w:rPr>
        <w:t xml:space="preserve">Salojee and Another NNO </w:t>
      </w:r>
      <w:r w:rsidRPr="00F64EDC">
        <w:rPr>
          <w:rFonts w:ascii="Times New Roman" w:hAnsi="Times New Roman"/>
          <w:sz w:val="22"/>
          <w:szCs w:val="22"/>
        </w:rPr>
        <w:t>vs.</w:t>
      </w:r>
      <w:r w:rsidRPr="00F64EDC">
        <w:rPr>
          <w:rFonts w:ascii="Times New Roman" w:hAnsi="Times New Roman"/>
          <w:b/>
          <w:sz w:val="22"/>
          <w:szCs w:val="22"/>
        </w:rPr>
        <w:t xml:space="preserve"> B. Minister</w:t>
      </w:r>
      <w:r w:rsidRPr="00F64EDC">
        <w:rPr>
          <w:rFonts w:ascii="Times New Roman" w:hAnsi="Times New Roman"/>
          <w:sz w:val="22"/>
          <w:szCs w:val="22"/>
        </w:rPr>
        <w:t xml:space="preserve"> of </w:t>
      </w:r>
      <w:r w:rsidRPr="00F64EDC">
        <w:rPr>
          <w:rFonts w:ascii="Times New Roman" w:hAnsi="Times New Roman"/>
          <w:b/>
          <w:sz w:val="22"/>
          <w:szCs w:val="22"/>
        </w:rPr>
        <w:t>Community Development</w:t>
      </w:r>
      <w:r w:rsidRPr="00F64EDC">
        <w:rPr>
          <w:rFonts w:ascii="Times New Roman" w:hAnsi="Times New Roman"/>
          <w:sz w:val="22"/>
          <w:szCs w:val="22"/>
        </w:rPr>
        <w:t xml:space="preserve"> 1965 (2) SA 135 (A) @ page 141 C – H ; </w:t>
      </w:r>
      <w:r w:rsidRPr="00F64EDC">
        <w:rPr>
          <w:rFonts w:ascii="Times New Roman" w:hAnsi="Times New Roman"/>
          <w:b/>
          <w:sz w:val="22"/>
          <w:szCs w:val="22"/>
        </w:rPr>
        <w:t xml:space="preserve">Morliswani </w:t>
      </w:r>
      <w:r w:rsidRPr="00F64EDC">
        <w:rPr>
          <w:rFonts w:ascii="Times New Roman" w:hAnsi="Times New Roman"/>
          <w:b/>
          <w:i/>
          <w:sz w:val="22"/>
          <w:szCs w:val="22"/>
        </w:rPr>
        <w:t>vs.</w:t>
      </w:r>
      <w:r w:rsidRPr="00F64EDC">
        <w:rPr>
          <w:rFonts w:ascii="Times New Roman" w:hAnsi="Times New Roman"/>
          <w:b/>
          <w:sz w:val="22"/>
          <w:szCs w:val="22"/>
        </w:rPr>
        <w:t xml:space="preserve"> Mamili</w:t>
      </w:r>
      <w:r w:rsidRPr="00F64EDC">
        <w:rPr>
          <w:rFonts w:ascii="Times New Roman" w:hAnsi="Times New Roman"/>
          <w:sz w:val="22"/>
          <w:szCs w:val="22"/>
        </w:rPr>
        <w:t xml:space="preserve"> 1989 (4) SA 1 (A) @ 10 B – D</w:t>
      </w:r>
      <w:r>
        <w:rPr>
          <w:rFonts w:ascii="Times New Roman" w:hAnsi="Times New Roman"/>
        </w:rPr>
        <w:t>” (</w:t>
      </w:r>
      <w:r w:rsidRPr="00F64EDC">
        <w:rPr>
          <w:rFonts w:ascii="Times New Roman" w:hAnsi="Times New Roman"/>
          <w:i/>
        </w:rPr>
        <w:t>paragraph 29 of Appellant’s heads of argument</w:t>
      </w:r>
      <w:r>
        <w:rPr>
          <w:rFonts w:ascii="Times New Roman" w:hAnsi="Times New Roman"/>
        </w:rPr>
        <w:t>).</w:t>
      </w:r>
    </w:p>
    <w:p w:rsidR="00E015B5" w:rsidRDefault="00E015B5" w:rsidP="00E015B5">
      <w:pPr>
        <w:ind w:left="480"/>
        <w:jc w:val="both"/>
        <w:rPr>
          <w:rFonts w:ascii="Times New Roman" w:hAnsi="Times New Roman"/>
        </w:rPr>
      </w:pPr>
    </w:p>
    <w:p w:rsidR="00E015B5" w:rsidRDefault="00E015B5" w:rsidP="00E015B5">
      <w:pPr>
        <w:spacing w:line="360" w:lineRule="auto"/>
        <w:ind w:firstLine="480"/>
        <w:jc w:val="both"/>
        <w:rPr>
          <w:rFonts w:ascii="Times New Roman" w:hAnsi="Times New Roman"/>
        </w:rPr>
      </w:pPr>
      <w:r>
        <w:rPr>
          <w:rFonts w:ascii="Times New Roman" w:hAnsi="Times New Roman"/>
        </w:rPr>
        <w:t xml:space="preserve">I am inclined to follow the position in the case of </w:t>
      </w:r>
      <w:r w:rsidRPr="003706F1">
        <w:rPr>
          <w:rFonts w:ascii="Times New Roman" w:hAnsi="Times New Roman"/>
          <w:b/>
        </w:rPr>
        <w:t xml:space="preserve">Talbert </w:t>
      </w:r>
      <w:r w:rsidRPr="003706F1">
        <w:rPr>
          <w:rFonts w:ascii="Times New Roman" w:hAnsi="Times New Roman"/>
        </w:rPr>
        <w:t>vs.</w:t>
      </w:r>
      <w:r w:rsidRPr="003706F1">
        <w:rPr>
          <w:rFonts w:ascii="Times New Roman" w:hAnsi="Times New Roman"/>
          <w:b/>
        </w:rPr>
        <w:t xml:space="preserve"> Yeoman Products</w:t>
      </w:r>
      <w:r>
        <w:rPr>
          <w:rFonts w:ascii="Times New Roman" w:hAnsi="Times New Roman"/>
          <w:b/>
        </w:rPr>
        <w:t xml:space="preserve"> (Pvt) </w:t>
      </w:r>
      <w:r w:rsidRPr="00EF761D">
        <w:rPr>
          <w:rFonts w:ascii="Times New Roman" w:hAnsi="Times New Roman"/>
          <w:b/>
        </w:rPr>
        <w:t>Ltd</w:t>
      </w:r>
      <w:r w:rsidRPr="00EF761D">
        <w:rPr>
          <w:rFonts w:ascii="Times New Roman" w:hAnsi="Times New Roman"/>
        </w:rPr>
        <w:t xml:space="preserve"> S-111-99 in which MUCHECHETERE J.A. (</w:t>
      </w:r>
      <w:r w:rsidRPr="00F64EDC">
        <w:rPr>
          <w:rFonts w:ascii="Times New Roman" w:hAnsi="Times New Roman"/>
          <w:i/>
        </w:rPr>
        <w:t>as he then was</w:t>
      </w:r>
      <w:r w:rsidRPr="00EF761D">
        <w:rPr>
          <w:rFonts w:ascii="Times New Roman" w:hAnsi="Times New Roman"/>
        </w:rPr>
        <w:t>) said;</w:t>
      </w:r>
    </w:p>
    <w:p w:rsidR="00E015B5" w:rsidRDefault="00E015B5" w:rsidP="00E015B5">
      <w:pPr>
        <w:spacing w:line="360" w:lineRule="auto"/>
        <w:jc w:val="both"/>
        <w:rPr>
          <w:rFonts w:ascii="Times New Roman" w:hAnsi="Times New Roman"/>
        </w:rPr>
      </w:pPr>
    </w:p>
    <w:p w:rsidR="00E015B5" w:rsidRDefault="00E015B5" w:rsidP="00E015B5">
      <w:pPr>
        <w:ind w:left="480"/>
        <w:jc w:val="both"/>
        <w:rPr>
          <w:rFonts w:ascii="Times New Roman" w:hAnsi="Times New Roman"/>
        </w:rPr>
      </w:pPr>
      <w:r w:rsidRPr="00EF761D">
        <w:rPr>
          <w:rFonts w:ascii="Times New Roman" w:hAnsi="Times New Roman"/>
          <w:sz w:val="22"/>
          <w:szCs w:val="22"/>
        </w:rPr>
        <w:t xml:space="preserve">“It is clear from the above that the fault in this matter was that of the Applicant’s Counsel and not of the Applicant himself. In these circumstances the Courts usually take the view that a client ought not to be punished for the “sins” of his legal representative </w:t>
      </w:r>
      <w:r w:rsidRPr="00EF761D">
        <w:rPr>
          <w:rFonts w:ascii="Times New Roman" w:hAnsi="Times New Roman"/>
          <w:sz w:val="22"/>
          <w:szCs w:val="22"/>
          <w:u w:val="single"/>
        </w:rPr>
        <w:t>unless he connived</w:t>
      </w:r>
      <w:r w:rsidRPr="00EF761D">
        <w:rPr>
          <w:rFonts w:ascii="Times New Roman" w:hAnsi="Times New Roman"/>
          <w:sz w:val="22"/>
          <w:szCs w:val="22"/>
        </w:rPr>
        <w:t xml:space="preserve"> with the legal representative in the commission of the sins or </w:t>
      </w:r>
      <w:r w:rsidRPr="00EF761D">
        <w:rPr>
          <w:rFonts w:ascii="Times New Roman" w:hAnsi="Times New Roman"/>
          <w:sz w:val="22"/>
          <w:szCs w:val="22"/>
          <w:u w:val="single"/>
        </w:rPr>
        <w:t>sat back and did nothing when he became awar</w:t>
      </w:r>
      <w:r>
        <w:rPr>
          <w:rFonts w:ascii="Times New Roman" w:hAnsi="Times New Roman"/>
          <w:sz w:val="22"/>
          <w:szCs w:val="22"/>
          <w:u w:val="single"/>
        </w:rPr>
        <w:t>e</w:t>
      </w:r>
      <w:r w:rsidRPr="00EF761D">
        <w:rPr>
          <w:rFonts w:ascii="Times New Roman" w:hAnsi="Times New Roman"/>
          <w:sz w:val="22"/>
          <w:szCs w:val="22"/>
          <w:u w:val="single"/>
        </w:rPr>
        <w:t xml:space="preserve"> of the impending default</w:t>
      </w:r>
      <w:r w:rsidRPr="00EF761D">
        <w:rPr>
          <w:rFonts w:ascii="Times New Roman" w:hAnsi="Times New Roman"/>
          <w:sz w:val="22"/>
          <w:szCs w:val="22"/>
        </w:rPr>
        <w:t>. The Applicant cannot be accused of that in this case and therefore the default can be excused</w:t>
      </w:r>
      <w:r>
        <w:rPr>
          <w:rFonts w:ascii="Times New Roman" w:hAnsi="Times New Roman"/>
        </w:rPr>
        <w:t>” (underlining for emphasis)</w:t>
      </w:r>
    </w:p>
    <w:p w:rsidR="00E015B5" w:rsidRDefault="00E015B5" w:rsidP="00E015B5">
      <w:pPr>
        <w:jc w:val="both"/>
        <w:rPr>
          <w:rFonts w:ascii="Times New Roman" w:hAnsi="Times New Roman"/>
        </w:rPr>
      </w:pPr>
    </w:p>
    <w:p w:rsidR="00E015B5" w:rsidRDefault="00E015B5" w:rsidP="00E015B5">
      <w:pPr>
        <w:spacing w:line="360" w:lineRule="auto"/>
        <w:ind w:firstLine="480"/>
        <w:jc w:val="both"/>
        <w:rPr>
          <w:rFonts w:ascii="Times New Roman" w:hAnsi="Times New Roman"/>
        </w:rPr>
      </w:pPr>
      <w:r>
        <w:rPr>
          <w:rFonts w:ascii="Times New Roman" w:hAnsi="Times New Roman"/>
        </w:rPr>
        <w:t>On the prospects of success on appeal, I am persuaded that there is a likelihood that the appellate Court may interfere with the arbitrator’s findings. The grounds of appeal raise questions of law on issues of sufficiency of evidence, reasons for a decision and approach to mitigation and penalty. For the above reasons the application succeeds.</w:t>
      </w:r>
    </w:p>
    <w:p w:rsidR="00E015B5" w:rsidRDefault="00E015B5" w:rsidP="00E015B5">
      <w:pPr>
        <w:spacing w:line="360" w:lineRule="auto"/>
        <w:ind w:firstLine="480"/>
        <w:jc w:val="both"/>
        <w:rPr>
          <w:rFonts w:ascii="Times New Roman" w:hAnsi="Times New Roman"/>
        </w:rPr>
      </w:pPr>
      <w:r>
        <w:rPr>
          <w:rFonts w:ascii="Times New Roman" w:hAnsi="Times New Roman"/>
        </w:rPr>
        <w:t>Accordingly it is ordered that;</w:t>
      </w:r>
    </w:p>
    <w:p w:rsidR="00E015B5" w:rsidRDefault="00E015B5" w:rsidP="00E015B5">
      <w:pPr>
        <w:pStyle w:val="ListParagraph"/>
        <w:numPr>
          <w:ilvl w:val="0"/>
          <w:numId w:val="3"/>
        </w:numPr>
        <w:spacing w:line="360" w:lineRule="auto"/>
        <w:jc w:val="both"/>
        <w:rPr>
          <w:rFonts w:ascii="Times New Roman" w:hAnsi="Times New Roman"/>
        </w:rPr>
      </w:pPr>
      <w:r>
        <w:rPr>
          <w:rFonts w:ascii="Times New Roman" w:hAnsi="Times New Roman"/>
        </w:rPr>
        <w:t>The default judgment issued on 17</w:t>
      </w:r>
      <w:r w:rsidRPr="00EF761D">
        <w:rPr>
          <w:rFonts w:ascii="Times New Roman" w:hAnsi="Times New Roman"/>
          <w:vertAlign w:val="superscript"/>
        </w:rPr>
        <w:t>th</w:t>
      </w:r>
      <w:r>
        <w:rPr>
          <w:rFonts w:ascii="Times New Roman" w:hAnsi="Times New Roman"/>
        </w:rPr>
        <w:t xml:space="preserve"> March 2014 be and is hereby rescinded. </w:t>
      </w:r>
    </w:p>
    <w:p w:rsidR="00E015B5" w:rsidRDefault="00E015B5" w:rsidP="00E015B5">
      <w:pPr>
        <w:pStyle w:val="ListParagraph"/>
        <w:numPr>
          <w:ilvl w:val="0"/>
          <w:numId w:val="3"/>
        </w:numPr>
        <w:spacing w:line="360" w:lineRule="auto"/>
        <w:jc w:val="both"/>
        <w:rPr>
          <w:rFonts w:ascii="Times New Roman" w:hAnsi="Times New Roman"/>
        </w:rPr>
      </w:pPr>
      <w:r>
        <w:rPr>
          <w:rFonts w:ascii="Times New Roman" w:hAnsi="Times New Roman"/>
        </w:rPr>
        <w:t>The late filing of heads of argument by the Applicant be and is hereby condoned.</w:t>
      </w:r>
    </w:p>
    <w:p w:rsidR="00E015B5" w:rsidRDefault="00E015B5" w:rsidP="00E015B5">
      <w:pPr>
        <w:pStyle w:val="ListParagraph"/>
        <w:numPr>
          <w:ilvl w:val="0"/>
          <w:numId w:val="3"/>
        </w:numPr>
        <w:spacing w:line="360" w:lineRule="auto"/>
        <w:jc w:val="both"/>
        <w:rPr>
          <w:rFonts w:ascii="Times New Roman" w:hAnsi="Times New Roman"/>
        </w:rPr>
      </w:pPr>
      <w:r>
        <w:rPr>
          <w:rFonts w:ascii="Times New Roman" w:hAnsi="Times New Roman"/>
        </w:rPr>
        <w:t>The Applicant be and is hereby ordered to filed heads of argument within five working days of receipt of this order.</w:t>
      </w:r>
    </w:p>
    <w:p w:rsidR="00E015B5" w:rsidRDefault="00E015B5" w:rsidP="00E015B5">
      <w:pPr>
        <w:pStyle w:val="ListParagraph"/>
        <w:numPr>
          <w:ilvl w:val="0"/>
          <w:numId w:val="3"/>
        </w:numPr>
        <w:spacing w:line="360" w:lineRule="auto"/>
        <w:jc w:val="both"/>
        <w:rPr>
          <w:rFonts w:ascii="Times New Roman" w:hAnsi="Times New Roman"/>
        </w:rPr>
      </w:pPr>
      <w:r>
        <w:rPr>
          <w:rFonts w:ascii="Times New Roman" w:hAnsi="Times New Roman"/>
        </w:rPr>
        <w:t>There is no order as to costs.</w:t>
      </w:r>
    </w:p>
    <w:p w:rsidR="00E015B5" w:rsidRDefault="00E015B5" w:rsidP="00E015B5">
      <w:pPr>
        <w:spacing w:line="360" w:lineRule="auto"/>
        <w:jc w:val="both"/>
        <w:rPr>
          <w:rFonts w:ascii="Times New Roman" w:hAnsi="Times New Roman"/>
        </w:rPr>
      </w:pPr>
    </w:p>
    <w:p w:rsidR="00E015B5" w:rsidRDefault="00E015B5" w:rsidP="00E015B5">
      <w:pPr>
        <w:spacing w:line="360" w:lineRule="auto"/>
        <w:jc w:val="both"/>
        <w:rPr>
          <w:rFonts w:ascii="Times New Roman" w:hAnsi="Times New Roman"/>
        </w:rPr>
      </w:pPr>
    </w:p>
    <w:p w:rsidR="00E015B5" w:rsidRDefault="00E015B5" w:rsidP="00E015B5">
      <w:pPr>
        <w:spacing w:line="360" w:lineRule="auto"/>
        <w:jc w:val="both"/>
        <w:rPr>
          <w:rFonts w:ascii="Times New Roman" w:hAnsi="Times New Roman"/>
        </w:rPr>
      </w:pPr>
    </w:p>
    <w:p w:rsidR="00E015B5" w:rsidRDefault="00E015B5" w:rsidP="00E015B5">
      <w:pPr>
        <w:spacing w:line="360" w:lineRule="auto"/>
        <w:jc w:val="both"/>
        <w:rPr>
          <w:rFonts w:ascii="Times New Roman" w:hAnsi="Times New Roman"/>
        </w:rPr>
      </w:pPr>
      <w:r w:rsidRPr="00EF761D">
        <w:rPr>
          <w:rFonts w:ascii="Times New Roman" w:hAnsi="Times New Roman"/>
          <w:b/>
        </w:rPr>
        <w:t>Matsanura and Associates</w:t>
      </w:r>
      <w:r>
        <w:rPr>
          <w:rFonts w:ascii="Times New Roman" w:hAnsi="Times New Roman"/>
        </w:rPr>
        <w:t xml:space="preserve"> – Applicant’s legal practitioners</w:t>
      </w:r>
    </w:p>
    <w:p w:rsidR="00E015B5" w:rsidRPr="00EF761D" w:rsidRDefault="00E015B5" w:rsidP="00E015B5">
      <w:pPr>
        <w:spacing w:line="360" w:lineRule="auto"/>
        <w:jc w:val="both"/>
        <w:rPr>
          <w:rFonts w:ascii="Times New Roman" w:hAnsi="Times New Roman"/>
        </w:rPr>
      </w:pPr>
      <w:r w:rsidRPr="00EF761D">
        <w:rPr>
          <w:rFonts w:ascii="Times New Roman" w:hAnsi="Times New Roman"/>
          <w:b/>
        </w:rPr>
        <w:t>Tavenhave and Machingauta</w:t>
      </w:r>
      <w:r>
        <w:rPr>
          <w:rFonts w:ascii="Times New Roman" w:hAnsi="Times New Roman"/>
        </w:rPr>
        <w:t xml:space="preserve"> – Respondent’s legal practitioners</w:t>
      </w:r>
    </w:p>
    <w:p w:rsidR="007911C0" w:rsidRDefault="007911C0">
      <w:bookmarkStart w:id="0" w:name="_GoBack"/>
      <w:bookmarkEnd w:id="0"/>
    </w:p>
    <w:sectPr w:rsidR="007911C0" w:rsidSect="00540ABA">
      <w:headerReference w:type="default" r:id="rId5"/>
      <w:footerReference w:type="default" r:id="rId6"/>
      <w:footerReference w:type="first" r:id="rId7"/>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973960"/>
      <w:docPartObj>
        <w:docPartGallery w:val="Page Numbers (Bottom of Page)"/>
        <w:docPartUnique/>
      </w:docPartObj>
    </w:sdtPr>
    <w:sdtEndPr>
      <w:rPr>
        <w:noProof/>
      </w:rPr>
    </w:sdtEndPr>
    <w:sdtContent>
      <w:p w:rsidR="00F64EDC" w:rsidRDefault="00E015B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64EDC" w:rsidRDefault="00E015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26723"/>
      <w:docPartObj>
        <w:docPartGallery w:val="Page Numbers (Bottom of Page)"/>
        <w:docPartUnique/>
      </w:docPartObj>
    </w:sdtPr>
    <w:sdtEndPr>
      <w:rPr>
        <w:noProof/>
      </w:rPr>
    </w:sdtEndPr>
    <w:sdtContent>
      <w:p w:rsidR="00540ABA" w:rsidRDefault="00E015B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40ABA" w:rsidRDefault="00E015B5">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BA" w:rsidRDefault="00E015B5">
    <w:pPr>
      <w:pStyle w:val="Header"/>
    </w:pPr>
  </w:p>
  <w:p w:rsidR="00540ABA" w:rsidRDefault="00E015B5">
    <w:pPr>
      <w:pStyle w:val="Header"/>
    </w:pPr>
    <w:r>
      <w:rPr>
        <w:b/>
      </w:rPr>
      <w:tab/>
    </w:r>
    <w:r>
      <w:rPr>
        <w:b/>
      </w:rPr>
      <w:tab/>
    </w:r>
    <w:r w:rsidRPr="00540ABA">
      <w:rPr>
        <w:b/>
      </w:rPr>
      <w:t>JUDGMENT NO. LC/H/</w:t>
    </w:r>
    <w:r>
      <w:rPr>
        <w:b/>
      </w:rPr>
      <w:t>377/</w:t>
    </w:r>
    <w:r w:rsidRPr="00540ABA">
      <w:rPr>
        <w:b/>
      </w:rPr>
      <w:t>2014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548"/>
    <w:multiLevelType w:val="hybridMultilevel"/>
    <w:tmpl w:val="770A1610"/>
    <w:lvl w:ilvl="0" w:tplc="A524C858">
      <w:start w:val="1"/>
      <w:numFmt w:val="bullet"/>
      <w:lvlText w:val="-"/>
      <w:lvlJc w:val="left"/>
      <w:pPr>
        <w:ind w:left="840" w:hanging="360"/>
      </w:pPr>
      <w:rPr>
        <w:rFonts w:ascii="Times New Roman" w:eastAsia="Times New Roman" w:hAnsi="Times New Roman" w:cs="Times New Roman" w:hint="default"/>
        <w:b/>
      </w:rPr>
    </w:lvl>
    <w:lvl w:ilvl="1" w:tplc="30090003" w:tentative="1">
      <w:start w:val="1"/>
      <w:numFmt w:val="bullet"/>
      <w:lvlText w:val="o"/>
      <w:lvlJc w:val="left"/>
      <w:pPr>
        <w:ind w:left="1560" w:hanging="360"/>
      </w:pPr>
      <w:rPr>
        <w:rFonts w:ascii="Courier New" w:hAnsi="Courier New" w:cs="Courier New" w:hint="default"/>
      </w:rPr>
    </w:lvl>
    <w:lvl w:ilvl="2" w:tplc="30090005" w:tentative="1">
      <w:start w:val="1"/>
      <w:numFmt w:val="bullet"/>
      <w:lvlText w:val=""/>
      <w:lvlJc w:val="left"/>
      <w:pPr>
        <w:ind w:left="2280" w:hanging="360"/>
      </w:pPr>
      <w:rPr>
        <w:rFonts w:ascii="Wingdings" w:hAnsi="Wingdings" w:hint="default"/>
      </w:rPr>
    </w:lvl>
    <w:lvl w:ilvl="3" w:tplc="30090001" w:tentative="1">
      <w:start w:val="1"/>
      <w:numFmt w:val="bullet"/>
      <w:lvlText w:val=""/>
      <w:lvlJc w:val="left"/>
      <w:pPr>
        <w:ind w:left="3000" w:hanging="360"/>
      </w:pPr>
      <w:rPr>
        <w:rFonts w:ascii="Symbol" w:hAnsi="Symbol" w:hint="default"/>
      </w:rPr>
    </w:lvl>
    <w:lvl w:ilvl="4" w:tplc="30090003" w:tentative="1">
      <w:start w:val="1"/>
      <w:numFmt w:val="bullet"/>
      <w:lvlText w:val="o"/>
      <w:lvlJc w:val="left"/>
      <w:pPr>
        <w:ind w:left="3720" w:hanging="360"/>
      </w:pPr>
      <w:rPr>
        <w:rFonts w:ascii="Courier New" w:hAnsi="Courier New" w:cs="Courier New" w:hint="default"/>
      </w:rPr>
    </w:lvl>
    <w:lvl w:ilvl="5" w:tplc="30090005" w:tentative="1">
      <w:start w:val="1"/>
      <w:numFmt w:val="bullet"/>
      <w:lvlText w:val=""/>
      <w:lvlJc w:val="left"/>
      <w:pPr>
        <w:ind w:left="4440" w:hanging="360"/>
      </w:pPr>
      <w:rPr>
        <w:rFonts w:ascii="Wingdings" w:hAnsi="Wingdings" w:hint="default"/>
      </w:rPr>
    </w:lvl>
    <w:lvl w:ilvl="6" w:tplc="30090001" w:tentative="1">
      <w:start w:val="1"/>
      <w:numFmt w:val="bullet"/>
      <w:lvlText w:val=""/>
      <w:lvlJc w:val="left"/>
      <w:pPr>
        <w:ind w:left="5160" w:hanging="360"/>
      </w:pPr>
      <w:rPr>
        <w:rFonts w:ascii="Symbol" w:hAnsi="Symbol" w:hint="default"/>
      </w:rPr>
    </w:lvl>
    <w:lvl w:ilvl="7" w:tplc="30090003" w:tentative="1">
      <w:start w:val="1"/>
      <w:numFmt w:val="bullet"/>
      <w:lvlText w:val="o"/>
      <w:lvlJc w:val="left"/>
      <w:pPr>
        <w:ind w:left="5880" w:hanging="360"/>
      </w:pPr>
      <w:rPr>
        <w:rFonts w:ascii="Courier New" w:hAnsi="Courier New" w:cs="Courier New" w:hint="default"/>
      </w:rPr>
    </w:lvl>
    <w:lvl w:ilvl="8" w:tplc="30090005" w:tentative="1">
      <w:start w:val="1"/>
      <w:numFmt w:val="bullet"/>
      <w:lvlText w:val=""/>
      <w:lvlJc w:val="left"/>
      <w:pPr>
        <w:ind w:left="6600" w:hanging="360"/>
      </w:pPr>
      <w:rPr>
        <w:rFonts w:ascii="Wingdings" w:hAnsi="Wingdings" w:hint="default"/>
      </w:rPr>
    </w:lvl>
  </w:abstractNum>
  <w:abstractNum w:abstractNumId="1" w15:restartNumberingAfterBreak="0">
    <w:nsid w:val="12404C14"/>
    <w:multiLevelType w:val="hybridMultilevel"/>
    <w:tmpl w:val="8594EB02"/>
    <w:lvl w:ilvl="0" w:tplc="7736B918">
      <w:start w:val="1"/>
      <w:numFmt w:val="decimal"/>
      <w:lvlText w:val="(%1)"/>
      <w:lvlJc w:val="left"/>
      <w:pPr>
        <w:ind w:left="840" w:hanging="360"/>
      </w:pPr>
      <w:rPr>
        <w:rFonts w:hint="default"/>
      </w:r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abstractNum w:abstractNumId="2" w15:restartNumberingAfterBreak="0">
    <w:nsid w:val="411D3E76"/>
    <w:multiLevelType w:val="hybridMultilevel"/>
    <w:tmpl w:val="7B26EC08"/>
    <w:lvl w:ilvl="0" w:tplc="27065D36">
      <w:start w:val="1"/>
      <w:numFmt w:val="lowerLetter"/>
      <w:lvlText w:val="(%1)"/>
      <w:lvlJc w:val="left"/>
      <w:pPr>
        <w:ind w:left="720" w:hanging="360"/>
      </w:pPr>
      <w:rPr>
        <w:rFonts w:ascii="Times New Roman" w:hAnsi="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B5"/>
    <w:rsid w:val="007911C0"/>
    <w:rsid w:val="00E0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3265B-E39D-402E-A2B8-F2CFD5E2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5B5"/>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5B5"/>
    <w:pPr>
      <w:ind w:left="720"/>
      <w:contextualSpacing/>
    </w:pPr>
  </w:style>
  <w:style w:type="paragraph" w:styleId="Header">
    <w:name w:val="header"/>
    <w:basedOn w:val="Normal"/>
    <w:link w:val="HeaderChar"/>
    <w:uiPriority w:val="99"/>
    <w:unhideWhenUsed/>
    <w:rsid w:val="00E015B5"/>
    <w:pPr>
      <w:tabs>
        <w:tab w:val="center" w:pos="4513"/>
        <w:tab w:val="right" w:pos="9026"/>
      </w:tabs>
    </w:pPr>
  </w:style>
  <w:style w:type="character" w:customStyle="1" w:styleId="HeaderChar">
    <w:name w:val="Header Char"/>
    <w:basedOn w:val="DefaultParagraphFont"/>
    <w:link w:val="Header"/>
    <w:uiPriority w:val="99"/>
    <w:rsid w:val="00E015B5"/>
    <w:rPr>
      <w:rFonts w:ascii="Tahoma" w:eastAsia="Times New Roman" w:hAnsi="Tahoma" w:cs="Times New Roman"/>
      <w:sz w:val="24"/>
      <w:szCs w:val="24"/>
    </w:rPr>
  </w:style>
  <w:style w:type="paragraph" w:styleId="Footer">
    <w:name w:val="footer"/>
    <w:basedOn w:val="Normal"/>
    <w:link w:val="FooterChar"/>
    <w:uiPriority w:val="99"/>
    <w:unhideWhenUsed/>
    <w:rsid w:val="00E015B5"/>
    <w:pPr>
      <w:tabs>
        <w:tab w:val="center" w:pos="4513"/>
        <w:tab w:val="right" w:pos="9026"/>
      </w:tabs>
    </w:pPr>
  </w:style>
  <w:style w:type="character" w:customStyle="1" w:styleId="FooterChar">
    <w:name w:val="Footer Char"/>
    <w:basedOn w:val="DefaultParagraphFont"/>
    <w:link w:val="Footer"/>
    <w:uiPriority w:val="99"/>
    <w:rsid w:val="00E015B5"/>
    <w:rPr>
      <w:rFonts w:ascii="Tahoma" w:eastAsia="Times New Roman" w:hAnsi="Tahom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cp:revision>
  <dcterms:created xsi:type="dcterms:W3CDTF">2017-04-28T14:10:00Z</dcterms:created>
  <dcterms:modified xsi:type="dcterms:W3CDTF">2017-04-28T14:11:00Z</dcterms:modified>
</cp:coreProperties>
</file>