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FE3" w:rsidRPr="00CA0662" w:rsidRDefault="000C3FE3" w:rsidP="00B21090">
      <w:pPr>
        <w:spacing w:after="0" w:line="240" w:lineRule="auto"/>
        <w:rPr>
          <w:rFonts w:ascii="Times New Roman" w:hAnsi="Times New Roman" w:cs="Times New Roman"/>
          <w:sz w:val="24"/>
          <w:szCs w:val="24"/>
        </w:rPr>
      </w:pPr>
      <w:bookmarkStart w:id="0" w:name="_GoBack"/>
      <w:bookmarkEnd w:id="0"/>
      <w:r w:rsidRPr="00CA0662">
        <w:rPr>
          <w:rFonts w:ascii="Times New Roman" w:hAnsi="Times New Roman" w:cs="Times New Roman"/>
          <w:sz w:val="24"/>
          <w:szCs w:val="24"/>
        </w:rPr>
        <w:t>TALLSPRING INVESTMENTS (PVT) LTD</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v</w:t>
      </w:r>
      <w:r w:rsidR="00B21090">
        <w:rPr>
          <w:rFonts w:ascii="Times New Roman" w:hAnsi="Times New Roman" w:cs="Times New Roman"/>
          <w:sz w:val="24"/>
          <w:szCs w:val="24"/>
        </w:rPr>
        <w:t>ersus</w:t>
      </w:r>
    </w:p>
    <w:p w:rsidR="000C3FE3" w:rsidRPr="00CA0662" w:rsidRDefault="000C3FE3"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WILFRED MUTEWEYE</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a</w:t>
      </w:r>
      <w:r w:rsidR="000C3FE3" w:rsidRPr="00CA0662">
        <w:rPr>
          <w:rFonts w:ascii="Times New Roman" w:hAnsi="Times New Roman" w:cs="Times New Roman"/>
          <w:sz w:val="24"/>
          <w:szCs w:val="24"/>
        </w:rPr>
        <w:t>nd</w:t>
      </w:r>
    </w:p>
    <w:p w:rsidR="000C3FE3" w:rsidRPr="00CA0662" w:rsidRDefault="000C3FE3"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SUSAN MUTEWEYE</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a</w:t>
      </w:r>
      <w:r w:rsidR="000C3FE3" w:rsidRPr="00CA0662">
        <w:rPr>
          <w:rFonts w:ascii="Times New Roman" w:hAnsi="Times New Roman" w:cs="Times New Roman"/>
          <w:sz w:val="24"/>
          <w:szCs w:val="24"/>
        </w:rPr>
        <w:t>nd</w:t>
      </w:r>
    </w:p>
    <w:p w:rsidR="000C3FE3" w:rsidRPr="00CA0662" w:rsidRDefault="000C3FE3"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STILLFORD INVESTMENTS (PVT) LTD</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a</w:t>
      </w:r>
      <w:r w:rsidR="000C3FE3" w:rsidRPr="00CA0662">
        <w:rPr>
          <w:rFonts w:ascii="Times New Roman" w:hAnsi="Times New Roman" w:cs="Times New Roman"/>
          <w:sz w:val="24"/>
          <w:szCs w:val="24"/>
        </w:rPr>
        <w:t>nd</w:t>
      </w:r>
    </w:p>
    <w:p w:rsidR="000C3FE3" w:rsidRPr="00CA0662" w:rsidRDefault="000C3FE3"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MACBASE INVESTMENTS (PVT) LTD</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a</w:t>
      </w:r>
      <w:r w:rsidR="000C3FE3" w:rsidRPr="00CA0662">
        <w:rPr>
          <w:rFonts w:ascii="Times New Roman" w:hAnsi="Times New Roman" w:cs="Times New Roman"/>
          <w:sz w:val="24"/>
          <w:szCs w:val="24"/>
        </w:rPr>
        <w:t>nd</w:t>
      </w:r>
    </w:p>
    <w:p w:rsidR="000C3FE3" w:rsidRPr="00CA0662" w:rsidRDefault="000C3FE3"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SHERIFF OF ZIMBABWE N.O.</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a</w:t>
      </w:r>
      <w:r w:rsidR="000C3FE3" w:rsidRPr="00CA0662">
        <w:rPr>
          <w:rFonts w:ascii="Times New Roman" w:hAnsi="Times New Roman" w:cs="Times New Roman"/>
          <w:sz w:val="24"/>
          <w:szCs w:val="24"/>
        </w:rPr>
        <w:t>nd</w:t>
      </w:r>
    </w:p>
    <w:p w:rsidR="000C3FE3" w:rsidRPr="00CA0662" w:rsidRDefault="00B21090" w:rsidP="00B210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LINAH NDOLI </w:t>
      </w:r>
      <w:r w:rsidR="000C3FE3" w:rsidRPr="00CA0662">
        <w:rPr>
          <w:rFonts w:ascii="Times New Roman" w:hAnsi="Times New Roman" w:cs="Times New Roman"/>
          <w:sz w:val="24"/>
          <w:szCs w:val="24"/>
        </w:rPr>
        <w:t>AGERE</w:t>
      </w:r>
    </w:p>
    <w:p w:rsidR="000C3FE3" w:rsidRPr="00CA0662" w:rsidRDefault="00690E95"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a</w:t>
      </w:r>
      <w:r w:rsidR="000C3FE3" w:rsidRPr="00CA0662">
        <w:rPr>
          <w:rFonts w:ascii="Times New Roman" w:hAnsi="Times New Roman" w:cs="Times New Roman"/>
          <w:sz w:val="24"/>
          <w:szCs w:val="24"/>
        </w:rPr>
        <w:t>nd</w:t>
      </w:r>
    </w:p>
    <w:p w:rsidR="000C3FE3" w:rsidRPr="00CA0662" w:rsidRDefault="000C3FE3" w:rsidP="00B21090">
      <w:pPr>
        <w:spacing w:after="0" w:line="240" w:lineRule="auto"/>
        <w:rPr>
          <w:rFonts w:ascii="Times New Roman" w:hAnsi="Times New Roman" w:cs="Times New Roman"/>
          <w:sz w:val="24"/>
          <w:szCs w:val="24"/>
        </w:rPr>
      </w:pPr>
      <w:r w:rsidRPr="00CA0662">
        <w:rPr>
          <w:rFonts w:ascii="Times New Roman" w:hAnsi="Times New Roman" w:cs="Times New Roman"/>
          <w:sz w:val="24"/>
          <w:szCs w:val="24"/>
        </w:rPr>
        <w:t>THE REGISTRAR OF DEEDS N.O.</w:t>
      </w:r>
    </w:p>
    <w:p w:rsidR="000C3FE3" w:rsidRPr="00CA0662" w:rsidRDefault="000C3FE3" w:rsidP="00CA0662">
      <w:pPr>
        <w:spacing w:after="0" w:line="276" w:lineRule="auto"/>
        <w:rPr>
          <w:rFonts w:ascii="Times New Roman" w:hAnsi="Times New Roman" w:cs="Times New Roman"/>
          <w:sz w:val="24"/>
          <w:szCs w:val="24"/>
        </w:rPr>
      </w:pPr>
    </w:p>
    <w:p w:rsidR="00B21090" w:rsidRDefault="00B21090" w:rsidP="00CA0662">
      <w:pPr>
        <w:spacing w:after="0" w:line="276" w:lineRule="auto"/>
        <w:rPr>
          <w:rFonts w:ascii="Times New Roman" w:hAnsi="Times New Roman" w:cs="Times New Roman"/>
          <w:sz w:val="24"/>
          <w:szCs w:val="24"/>
        </w:rPr>
      </w:pPr>
    </w:p>
    <w:p w:rsidR="000C3FE3" w:rsidRPr="00CA0662" w:rsidRDefault="000C3FE3" w:rsidP="00CA0662">
      <w:pPr>
        <w:spacing w:after="0" w:line="276" w:lineRule="auto"/>
        <w:rPr>
          <w:rFonts w:ascii="Times New Roman" w:hAnsi="Times New Roman" w:cs="Times New Roman"/>
          <w:sz w:val="24"/>
          <w:szCs w:val="24"/>
        </w:rPr>
      </w:pPr>
      <w:r w:rsidRPr="00CA0662">
        <w:rPr>
          <w:rFonts w:ascii="Times New Roman" w:hAnsi="Times New Roman" w:cs="Times New Roman"/>
          <w:sz w:val="24"/>
          <w:szCs w:val="24"/>
        </w:rPr>
        <w:t>HIGH COURT OF ZIMBABWE</w:t>
      </w:r>
    </w:p>
    <w:p w:rsidR="000C3FE3" w:rsidRPr="00CA0662" w:rsidRDefault="000C3FE3" w:rsidP="00CA0662">
      <w:pPr>
        <w:spacing w:after="0" w:line="276" w:lineRule="auto"/>
        <w:rPr>
          <w:rFonts w:ascii="Times New Roman" w:hAnsi="Times New Roman" w:cs="Times New Roman"/>
          <w:sz w:val="24"/>
          <w:szCs w:val="24"/>
        </w:rPr>
      </w:pPr>
      <w:r w:rsidRPr="00CA0662">
        <w:rPr>
          <w:rFonts w:ascii="Times New Roman" w:hAnsi="Times New Roman" w:cs="Times New Roman"/>
          <w:sz w:val="24"/>
          <w:szCs w:val="24"/>
        </w:rPr>
        <w:t>MANZUNZU J</w:t>
      </w:r>
    </w:p>
    <w:p w:rsidR="000C3FE3" w:rsidRPr="00CA0662" w:rsidRDefault="00A91B67" w:rsidP="00CA0662">
      <w:pPr>
        <w:spacing w:after="0" w:line="276" w:lineRule="auto"/>
        <w:rPr>
          <w:rFonts w:ascii="Times New Roman" w:hAnsi="Times New Roman" w:cs="Times New Roman"/>
          <w:sz w:val="24"/>
          <w:szCs w:val="24"/>
        </w:rPr>
      </w:pPr>
      <w:r w:rsidRPr="00CA0662">
        <w:rPr>
          <w:rFonts w:ascii="Times New Roman" w:hAnsi="Times New Roman" w:cs="Times New Roman"/>
          <w:sz w:val="24"/>
          <w:szCs w:val="24"/>
        </w:rPr>
        <w:t xml:space="preserve">HARARE, 16 </w:t>
      </w:r>
      <w:r w:rsidR="000C3FE3" w:rsidRPr="00CA0662">
        <w:rPr>
          <w:rFonts w:ascii="Times New Roman" w:hAnsi="Times New Roman" w:cs="Times New Roman"/>
          <w:sz w:val="24"/>
          <w:szCs w:val="24"/>
        </w:rPr>
        <w:t xml:space="preserve">June </w:t>
      </w:r>
      <w:r w:rsidRPr="00CA0662">
        <w:rPr>
          <w:rFonts w:ascii="Times New Roman" w:hAnsi="Times New Roman" w:cs="Times New Roman"/>
          <w:sz w:val="24"/>
          <w:szCs w:val="24"/>
        </w:rPr>
        <w:t xml:space="preserve">&amp; 21 July </w:t>
      </w:r>
      <w:r w:rsidR="000C3FE3" w:rsidRPr="00CA0662">
        <w:rPr>
          <w:rFonts w:ascii="Times New Roman" w:hAnsi="Times New Roman" w:cs="Times New Roman"/>
          <w:sz w:val="24"/>
          <w:szCs w:val="24"/>
        </w:rPr>
        <w:t>2021</w:t>
      </w:r>
    </w:p>
    <w:p w:rsidR="000C3FE3" w:rsidRPr="00CA0662" w:rsidRDefault="000C3FE3" w:rsidP="00CA0662">
      <w:pPr>
        <w:spacing w:line="276" w:lineRule="auto"/>
        <w:rPr>
          <w:rFonts w:ascii="Times New Roman" w:hAnsi="Times New Roman" w:cs="Times New Roman"/>
          <w:b/>
          <w:sz w:val="24"/>
          <w:szCs w:val="24"/>
        </w:rPr>
      </w:pPr>
    </w:p>
    <w:p w:rsidR="000C3FE3" w:rsidRPr="00CA0662" w:rsidRDefault="000C3FE3" w:rsidP="00CA0662">
      <w:pPr>
        <w:spacing w:line="276" w:lineRule="auto"/>
        <w:rPr>
          <w:rFonts w:ascii="Times New Roman" w:hAnsi="Times New Roman" w:cs="Times New Roman"/>
          <w:b/>
          <w:sz w:val="24"/>
          <w:szCs w:val="24"/>
        </w:rPr>
      </w:pPr>
      <w:r w:rsidRPr="00CA0662">
        <w:rPr>
          <w:rFonts w:ascii="Times New Roman" w:hAnsi="Times New Roman" w:cs="Times New Roman"/>
          <w:b/>
          <w:sz w:val="24"/>
          <w:szCs w:val="24"/>
        </w:rPr>
        <w:t>C</w:t>
      </w:r>
      <w:r w:rsidR="00B21090" w:rsidRPr="00CA0662">
        <w:rPr>
          <w:rFonts w:ascii="Times New Roman" w:hAnsi="Times New Roman" w:cs="Times New Roman"/>
          <w:b/>
          <w:sz w:val="24"/>
          <w:szCs w:val="24"/>
        </w:rPr>
        <w:t>ourt application</w:t>
      </w:r>
    </w:p>
    <w:p w:rsidR="00B21090" w:rsidRDefault="00B21090" w:rsidP="00B21090">
      <w:pPr>
        <w:spacing w:after="0" w:line="240" w:lineRule="auto"/>
        <w:rPr>
          <w:rFonts w:ascii="Times New Roman" w:hAnsi="Times New Roman" w:cs="Times New Roman"/>
          <w:i/>
          <w:sz w:val="24"/>
          <w:szCs w:val="24"/>
        </w:rPr>
      </w:pPr>
    </w:p>
    <w:p w:rsidR="000C3FE3" w:rsidRPr="00CA0662" w:rsidRDefault="000C3FE3" w:rsidP="00B21090">
      <w:pPr>
        <w:spacing w:after="0" w:line="240" w:lineRule="auto"/>
        <w:rPr>
          <w:rFonts w:ascii="Times New Roman" w:hAnsi="Times New Roman" w:cs="Times New Roman"/>
          <w:sz w:val="24"/>
          <w:szCs w:val="24"/>
        </w:rPr>
      </w:pPr>
      <w:r w:rsidRPr="00B21090">
        <w:rPr>
          <w:rFonts w:ascii="Times New Roman" w:hAnsi="Times New Roman" w:cs="Times New Roman"/>
          <w:i/>
          <w:sz w:val="24"/>
          <w:szCs w:val="24"/>
        </w:rPr>
        <w:t>G Madzoka</w:t>
      </w:r>
      <w:r w:rsidRPr="00CA0662">
        <w:rPr>
          <w:rFonts w:ascii="Times New Roman" w:hAnsi="Times New Roman" w:cs="Times New Roman"/>
          <w:sz w:val="24"/>
          <w:szCs w:val="24"/>
        </w:rPr>
        <w:t>, for applicant</w:t>
      </w:r>
    </w:p>
    <w:p w:rsidR="000C3FE3" w:rsidRPr="00CA0662" w:rsidRDefault="000C3FE3" w:rsidP="00B21090">
      <w:pPr>
        <w:spacing w:after="0" w:line="240" w:lineRule="auto"/>
        <w:rPr>
          <w:rFonts w:ascii="Times New Roman" w:hAnsi="Times New Roman" w:cs="Times New Roman"/>
          <w:sz w:val="24"/>
          <w:szCs w:val="24"/>
        </w:rPr>
      </w:pPr>
      <w:r w:rsidRPr="00B21090">
        <w:rPr>
          <w:rFonts w:ascii="Times New Roman" w:hAnsi="Times New Roman" w:cs="Times New Roman"/>
          <w:i/>
          <w:sz w:val="24"/>
          <w:szCs w:val="24"/>
        </w:rPr>
        <w:t>C Damiso</w:t>
      </w:r>
      <w:r w:rsidR="00B21090">
        <w:rPr>
          <w:rFonts w:ascii="Times New Roman" w:hAnsi="Times New Roman" w:cs="Times New Roman"/>
          <w:sz w:val="24"/>
          <w:szCs w:val="24"/>
        </w:rPr>
        <w:t xml:space="preserve"> w</w:t>
      </w:r>
      <w:r w:rsidRPr="00CA0662">
        <w:rPr>
          <w:rFonts w:ascii="Times New Roman" w:hAnsi="Times New Roman" w:cs="Times New Roman"/>
          <w:sz w:val="24"/>
          <w:szCs w:val="24"/>
        </w:rPr>
        <w:t xml:space="preserve">ith </w:t>
      </w:r>
      <w:r w:rsidRPr="00B21090">
        <w:rPr>
          <w:rFonts w:ascii="Times New Roman" w:hAnsi="Times New Roman" w:cs="Times New Roman"/>
          <w:i/>
          <w:sz w:val="24"/>
          <w:szCs w:val="24"/>
        </w:rPr>
        <w:t>R Mabwe</w:t>
      </w:r>
      <w:r w:rsidRPr="00CA0662">
        <w:rPr>
          <w:rFonts w:ascii="Times New Roman" w:hAnsi="Times New Roman" w:cs="Times New Roman"/>
          <w:sz w:val="24"/>
          <w:szCs w:val="24"/>
        </w:rPr>
        <w:t>, for the 1</w:t>
      </w:r>
      <w:r w:rsidRPr="00CA0662">
        <w:rPr>
          <w:rFonts w:ascii="Times New Roman" w:hAnsi="Times New Roman" w:cs="Times New Roman"/>
          <w:sz w:val="24"/>
          <w:szCs w:val="24"/>
          <w:vertAlign w:val="superscript"/>
        </w:rPr>
        <w:t>st</w:t>
      </w:r>
      <w:r w:rsidRPr="00CA0662">
        <w:rPr>
          <w:rFonts w:ascii="Times New Roman" w:hAnsi="Times New Roman" w:cs="Times New Roman"/>
          <w:sz w:val="24"/>
          <w:szCs w:val="24"/>
        </w:rPr>
        <w:t xml:space="preserve"> &amp; 2</w:t>
      </w:r>
      <w:r w:rsidRPr="00CA0662">
        <w:rPr>
          <w:rFonts w:ascii="Times New Roman" w:hAnsi="Times New Roman" w:cs="Times New Roman"/>
          <w:sz w:val="24"/>
          <w:szCs w:val="24"/>
          <w:vertAlign w:val="superscript"/>
        </w:rPr>
        <w:t>nd</w:t>
      </w:r>
      <w:r w:rsidRPr="00CA0662">
        <w:rPr>
          <w:rFonts w:ascii="Times New Roman" w:hAnsi="Times New Roman" w:cs="Times New Roman"/>
          <w:sz w:val="24"/>
          <w:szCs w:val="24"/>
        </w:rPr>
        <w:t xml:space="preserve"> </w:t>
      </w:r>
      <w:r w:rsidRPr="00CA0662">
        <w:rPr>
          <w:rFonts w:ascii="Times New Roman" w:hAnsi="Times New Roman" w:cs="Times New Roman"/>
          <w:sz w:val="24"/>
          <w:szCs w:val="24"/>
          <w:vertAlign w:val="superscript"/>
        </w:rPr>
        <w:t xml:space="preserve"> </w:t>
      </w:r>
      <w:r w:rsidRPr="00CA0662">
        <w:rPr>
          <w:rFonts w:ascii="Times New Roman" w:hAnsi="Times New Roman" w:cs="Times New Roman"/>
          <w:sz w:val="24"/>
          <w:szCs w:val="24"/>
        </w:rPr>
        <w:t xml:space="preserve"> respondents</w:t>
      </w:r>
    </w:p>
    <w:p w:rsidR="000C3FE3" w:rsidRPr="00CA0662" w:rsidRDefault="000C3FE3" w:rsidP="00B21090">
      <w:pPr>
        <w:spacing w:after="0" w:line="240" w:lineRule="auto"/>
        <w:rPr>
          <w:rFonts w:ascii="Times New Roman" w:hAnsi="Times New Roman" w:cs="Times New Roman"/>
          <w:sz w:val="24"/>
          <w:szCs w:val="24"/>
        </w:rPr>
      </w:pPr>
    </w:p>
    <w:p w:rsidR="00B21090" w:rsidRDefault="00B21090" w:rsidP="00B21090">
      <w:pPr>
        <w:spacing w:after="0" w:line="276" w:lineRule="auto"/>
        <w:ind w:firstLine="720"/>
        <w:rPr>
          <w:rFonts w:ascii="Times New Roman" w:hAnsi="Times New Roman" w:cs="Times New Roman"/>
          <w:sz w:val="24"/>
          <w:szCs w:val="24"/>
        </w:rPr>
      </w:pPr>
    </w:p>
    <w:p w:rsidR="00427606" w:rsidRPr="00CA0662" w:rsidRDefault="000C3FE3" w:rsidP="00B21090">
      <w:pPr>
        <w:spacing w:after="0" w:line="360" w:lineRule="auto"/>
        <w:ind w:firstLine="720"/>
        <w:jc w:val="both"/>
        <w:rPr>
          <w:rFonts w:ascii="Times New Roman" w:hAnsi="Times New Roman" w:cs="Times New Roman"/>
          <w:sz w:val="24"/>
          <w:szCs w:val="24"/>
        </w:rPr>
      </w:pPr>
      <w:r w:rsidRPr="00CA0662">
        <w:rPr>
          <w:rFonts w:ascii="Times New Roman" w:hAnsi="Times New Roman" w:cs="Times New Roman"/>
          <w:sz w:val="24"/>
          <w:szCs w:val="24"/>
        </w:rPr>
        <w:t>MANZUNZU J</w:t>
      </w:r>
      <w:r w:rsidR="00B21090">
        <w:rPr>
          <w:rFonts w:ascii="Times New Roman" w:hAnsi="Times New Roman" w:cs="Times New Roman"/>
          <w:sz w:val="24"/>
          <w:szCs w:val="24"/>
        </w:rPr>
        <w:t>:</w:t>
      </w:r>
      <w:r w:rsidRPr="00CA0662">
        <w:rPr>
          <w:rFonts w:ascii="Times New Roman" w:hAnsi="Times New Roman" w:cs="Times New Roman"/>
          <w:sz w:val="24"/>
          <w:szCs w:val="24"/>
        </w:rPr>
        <w:t xml:space="preserve">  This is an application for the dismissal of a court application for want of prosecution in terms of Rule 236 (3) (b) of the High Court Rules 1971. It is not in dispute that the 1</w:t>
      </w:r>
      <w:r w:rsidRPr="00CA0662">
        <w:rPr>
          <w:rFonts w:ascii="Times New Roman" w:hAnsi="Times New Roman" w:cs="Times New Roman"/>
          <w:sz w:val="24"/>
          <w:szCs w:val="24"/>
          <w:vertAlign w:val="superscript"/>
        </w:rPr>
        <w:t>st</w:t>
      </w:r>
      <w:r w:rsidRPr="00CA0662">
        <w:rPr>
          <w:rFonts w:ascii="Times New Roman" w:hAnsi="Times New Roman" w:cs="Times New Roman"/>
          <w:sz w:val="24"/>
          <w:szCs w:val="24"/>
        </w:rPr>
        <w:t xml:space="preserve"> and 2</w:t>
      </w:r>
      <w:r w:rsidRPr="00CA0662">
        <w:rPr>
          <w:rFonts w:ascii="Times New Roman" w:hAnsi="Times New Roman" w:cs="Times New Roman"/>
          <w:sz w:val="24"/>
          <w:szCs w:val="24"/>
          <w:vertAlign w:val="superscript"/>
        </w:rPr>
        <w:t>nd</w:t>
      </w:r>
      <w:r w:rsidRPr="00CA0662">
        <w:rPr>
          <w:rFonts w:ascii="Times New Roman" w:hAnsi="Times New Roman" w:cs="Times New Roman"/>
          <w:sz w:val="24"/>
          <w:szCs w:val="24"/>
        </w:rPr>
        <w:t xml:space="preserve"> respondents (hereinafter referred to as the respondents) filed a court application under case number HC 3079/20 on 19 June 2020 against the applicant and others seeking a cancellation of certain title deeds. The applicant filed a notice of opposition on 1 July 2020 and served the respondents with the same on 2 July 2020. </w:t>
      </w:r>
    </w:p>
    <w:p w:rsidR="00A90F26" w:rsidRPr="00CA0662" w:rsidRDefault="000C3FE3" w:rsidP="00B21090">
      <w:pPr>
        <w:spacing w:after="0" w:line="360" w:lineRule="auto"/>
        <w:ind w:firstLine="720"/>
        <w:jc w:val="both"/>
        <w:rPr>
          <w:rFonts w:ascii="Times New Roman" w:hAnsi="Times New Roman" w:cs="Times New Roman"/>
          <w:sz w:val="24"/>
          <w:szCs w:val="24"/>
        </w:rPr>
      </w:pPr>
      <w:r w:rsidRPr="00CA0662">
        <w:rPr>
          <w:rFonts w:ascii="Times New Roman" w:hAnsi="Times New Roman" w:cs="Times New Roman"/>
          <w:sz w:val="24"/>
          <w:szCs w:val="24"/>
        </w:rPr>
        <w:t>Applicant allege</w:t>
      </w:r>
      <w:r w:rsidR="003A6D4F" w:rsidRPr="00CA0662">
        <w:rPr>
          <w:rFonts w:ascii="Times New Roman" w:hAnsi="Times New Roman" w:cs="Times New Roman"/>
          <w:sz w:val="24"/>
          <w:szCs w:val="24"/>
        </w:rPr>
        <w:t xml:space="preserve">s the respondents did not file </w:t>
      </w:r>
      <w:r w:rsidRPr="00CA0662">
        <w:rPr>
          <w:rFonts w:ascii="Times New Roman" w:hAnsi="Times New Roman" w:cs="Times New Roman"/>
          <w:sz w:val="24"/>
          <w:szCs w:val="24"/>
        </w:rPr>
        <w:t>any answering affidavit, although it turned out that they did fil</w:t>
      </w:r>
      <w:r w:rsidR="00427606" w:rsidRPr="00CA0662">
        <w:rPr>
          <w:rFonts w:ascii="Times New Roman" w:hAnsi="Times New Roman" w:cs="Times New Roman"/>
          <w:sz w:val="24"/>
          <w:szCs w:val="24"/>
        </w:rPr>
        <w:t xml:space="preserve">e an answering affidavit </w:t>
      </w:r>
      <w:r w:rsidR="00B21090" w:rsidRPr="00CA0662">
        <w:rPr>
          <w:rFonts w:ascii="Times New Roman" w:hAnsi="Times New Roman" w:cs="Times New Roman"/>
          <w:sz w:val="24"/>
          <w:szCs w:val="24"/>
        </w:rPr>
        <w:t>and served</w:t>
      </w:r>
      <w:r w:rsidRPr="00CA0662">
        <w:rPr>
          <w:rFonts w:ascii="Times New Roman" w:hAnsi="Times New Roman" w:cs="Times New Roman"/>
          <w:sz w:val="24"/>
          <w:szCs w:val="24"/>
        </w:rPr>
        <w:t xml:space="preserve"> the other parties</w:t>
      </w:r>
      <w:r w:rsidR="00427606" w:rsidRPr="00CA0662">
        <w:rPr>
          <w:rFonts w:ascii="Times New Roman" w:hAnsi="Times New Roman" w:cs="Times New Roman"/>
          <w:sz w:val="24"/>
          <w:szCs w:val="24"/>
        </w:rPr>
        <w:t xml:space="preserve"> on 8 July 2020</w:t>
      </w:r>
      <w:r w:rsidRPr="00CA0662">
        <w:rPr>
          <w:rFonts w:ascii="Times New Roman" w:hAnsi="Times New Roman" w:cs="Times New Roman"/>
          <w:sz w:val="24"/>
          <w:szCs w:val="24"/>
        </w:rPr>
        <w:t>, but did not serve the applicant with the same.</w:t>
      </w:r>
      <w:r w:rsidR="00427606" w:rsidRPr="00CA0662">
        <w:rPr>
          <w:rFonts w:ascii="Times New Roman" w:hAnsi="Times New Roman" w:cs="Times New Roman"/>
          <w:sz w:val="24"/>
          <w:szCs w:val="24"/>
        </w:rPr>
        <w:t xml:space="preserve"> It is further alleged the respondents neither filed heads nor set the matter down within one month of receiving applicant’s notice of opposition. </w:t>
      </w:r>
    </w:p>
    <w:p w:rsidR="00A90F26" w:rsidRPr="00CA0662" w:rsidRDefault="00A90F26" w:rsidP="00B21090">
      <w:pPr>
        <w:spacing w:line="360" w:lineRule="auto"/>
        <w:ind w:firstLine="720"/>
        <w:jc w:val="both"/>
        <w:rPr>
          <w:rFonts w:ascii="Times New Roman" w:hAnsi="Times New Roman" w:cs="Times New Roman"/>
          <w:sz w:val="24"/>
          <w:szCs w:val="24"/>
        </w:rPr>
      </w:pPr>
      <w:r w:rsidRPr="00CA0662">
        <w:rPr>
          <w:rFonts w:ascii="Times New Roman" w:hAnsi="Times New Roman" w:cs="Times New Roman"/>
          <w:sz w:val="24"/>
          <w:szCs w:val="24"/>
        </w:rPr>
        <w:t>Rule 236 (3) (b) under which this application is brought reads as follows;</w:t>
      </w:r>
    </w:p>
    <w:p w:rsidR="00A91B67" w:rsidRPr="00B21090" w:rsidRDefault="00A90F26" w:rsidP="00B21090">
      <w:pPr>
        <w:spacing w:line="240" w:lineRule="auto"/>
        <w:ind w:left="720"/>
        <w:jc w:val="both"/>
        <w:rPr>
          <w:rFonts w:ascii="Times New Roman" w:hAnsi="Times New Roman" w:cs="Times New Roman"/>
        </w:rPr>
      </w:pPr>
      <w:r w:rsidRPr="00B21090">
        <w:rPr>
          <w:rFonts w:ascii="Times New Roman" w:hAnsi="Times New Roman" w:cs="Times New Roman"/>
        </w:rPr>
        <w:t>“(3) Where the respondent has filed a notice of opposition and an opposing affidavit and, within one month</w:t>
      </w:r>
      <w:r w:rsidR="00A91B67" w:rsidRPr="00B21090">
        <w:rPr>
          <w:rFonts w:ascii="Times New Roman" w:hAnsi="Times New Roman" w:cs="Times New Roman"/>
        </w:rPr>
        <w:t xml:space="preserve"> </w:t>
      </w:r>
      <w:r w:rsidRPr="00B21090">
        <w:rPr>
          <w:rFonts w:ascii="Times New Roman" w:hAnsi="Times New Roman" w:cs="Times New Roman"/>
        </w:rPr>
        <w:t>thereafter, the applicant has neither filed an answering affidavit nor set the matter down for hearing, the</w:t>
      </w:r>
      <w:r w:rsidR="003A6D4F" w:rsidRPr="00B21090">
        <w:rPr>
          <w:rFonts w:ascii="Times New Roman" w:hAnsi="Times New Roman" w:cs="Times New Roman"/>
        </w:rPr>
        <w:t xml:space="preserve"> </w:t>
      </w:r>
      <w:r w:rsidRPr="00B21090">
        <w:rPr>
          <w:rFonts w:ascii="Times New Roman" w:hAnsi="Times New Roman" w:cs="Times New Roman"/>
        </w:rPr>
        <w:t>respondent, on notice to the applicant, may either—</w:t>
      </w:r>
    </w:p>
    <w:p w:rsidR="00A90F26" w:rsidRPr="00B21090" w:rsidRDefault="00A90F26" w:rsidP="00B21090">
      <w:pPr>
        <w:spacing w:line="240" w:lineRule="auto"/>
        <w:ind w:firstLine="720"/>
        <w:jc w:val="both"/>
        <w:rPr>
          <w:rFonts w:ascii="Times New Roman" w:hAnsi="Times New Roman" w:cs="Times New Roman"/>
        </w:rPr>
      </w:pPr>
      <w:r w:rsidRPr="00B21090">
        <w:rPr>
          <w:rFonts w:ascii="Times New Roman" w:hAnsi="Times New Roman" w:cs="Times New Roman"/>
        </w:rPr>
        <w:lastRenderedPageBreak/>
        <w:t>(</w:t>
      </w:r>
      <w:r w:rsidRPr="00B21090">
        <w:rPr>
          <w:rFonts w:ascii="Times New Roman" w:hAnsi="Times New Roman" w:cs="Times New Roman"/>
          <w:i/>
          <w:iCs/>
        </w:rPr>
        <w:t>a</w:t>
      </w:r>
      <w:r w:rsidRPr="00B21090">
        <w:rPr>
          <w:rFonts w:ascii="Times New Roman" w:hAnsi="Times New Roman" w:cs="Times New Roman"/>
        </w:rPr>
        <w:t>) set the matter down for hearing in terms of rule 223; or</w:t>
      </w:r>
    </w:p>
    <w:p w:rsidR="00A90F26" w:rsidRPr="00B21090" w:rsidRDefault="00A90F26" w:rsidP="00B21090">
      <w:pPr>
        <w:autoSpaceDE w:val="0"/>
        <w:autoSpaceDN w:val="0"/>
        <w:adjustRightInd w:val="0"/>
        <w:spacing w:after="0" w:line="240" w:lineRule="auto"/>
        <w:ind w:left="720"/>
        <w:jc w:val="both"/>
        <w:rPr>
          <w:rFonts w:ascii="Times New Roman" w:hAnsi="Times New Roman" w:cs="Times New Roman"/>
        </w:rPr>
      </w:pPr>
      <w:r w:rsidRPr="00B21090">
        <w:rPr>
          <w:rFonts w:ascii="Times New Roman" w:hAnsi="Times New Roman" w:cs="Times New Roman"/>
        </w:rPr>
        <w:t>(</w:t>
      </w:r>
      <w:r w:rsidRPr="00B21090">
        <w:rPr>
          <w:rFonts w:ascii="Times New Roman" w:hAnsi="Times New Roman" w:cs="Times New Roman"/>
          <w:i/>
          <w:iCs/>
        </w:rPr>
        <w:t>b</w:t>
      </w:r>
      <w:r w:rsidRPr="00B21090">
        <w:rPr>
          <w:rFonts w:ascii="Times New Roman" w:hAnsi="Times New Roman" w:cs="Times New Roman"/>
        </w:rPr>
        <w:t>) make a chamber application to dismiss the matter for want of prosecution, and the judge may order the</w:t>
      </w:r>
      <w:r w:rsidR="00B21090" w:rsidRPr="00B21090">
        <w:rPr>
          <w:rFonts w:ascii="Times New Roman" w:hAnsi="Times New Roman" w:cs="Times New Roman"/>
        </w:rPr>
        <w:t xml:space="preserve"> </w:t>
      </w:r>
      <w:r w:rsidRPr="00B21090">
        <w:rPr>
          <w:rFonts w:ascii="Times New Roman" w:hAnsi="Times New Roman" w:cs="Times New Roman"/>
        </w:rPr>
        <w:t>matter to be dismissed with costs or make such other order on such terms as he thinks fit.</w:t>
      </w:r>
      <w:r w:rsidR="003632E9" w:rsidRPr="00B21090">
        <w:rPr>
          <w:rFonts w:ascii="Times New Roman" w:hAnsi="Times New Roman" w:cs="Times New Roman"/>
        </w:rPr>
        <w:t>”</w:t>
      </w:r>
    </w:p>
    <w:p w:rsidR="003632E9" w:rsidRPr="00B21090" w:rsidRDefault="003632E9" w:rsidP="00B21090">
      <w:pPr>
        <w:autoSpaceDE w:val="0"/>
        <w:autoSpaceDN w:val="0"/>
        <w:adjustRightInd w:val="0"/>
        <w:spacing w:after="0" w:line="240" w:lineRule="auto"/>
        <w:jc w:val="both"/>
        <w:rPr>
          <w:rFonts w:ascii="Times New Roman" w:hAnsi="Times New Roman" w:cs="Times New Roman"/>
        </w:rPr>
      </w:pPr>
    </w:p>
    <w:p w:rsidR="00746AE3" w:rsidRPr="00CA0662" w:rsidRDefault="003632E9" w:rsidP="00B21090">
      <w:pPr>
        <w:autoSpaceDE w:val="0"/>
        <w:autoSpaceDN w:val="0"/>
        <w:adjustRightInd w:val="0"/>
        <w:spacing w:after="0" w:line="360" w:lineRule="auto"/>
        <w:ind w:firstLine="720"/>
        <w:jc w:val="both"/>
        <w:rPr>
          <w:rFonts w:ascii="Times New Roman" w:hAnsi="Times New Roman" w:cs="Times New Roman"/>
          <w:sz w:val="24"/>
          <w:szCs w:val="24"/>
        </w:rPr>
      </w:pPr>
      <w:r w:rsidRPr="00CA0662">
        <w:rPr>
          <w:rFonts w:ascii="Times New Roman" w:hAnsi="Times New Roman" w:cs="Times New Roman"/>
          <w:sz w:val="24"/>
          <w:szCs w:val="24"/>
        </w:rPr>
        <w:t xml:space="preserve">The spirit behind this rule is to bring finality to litigation. </w:t>
      </w:r>
      <w:r w:rsidR="00D52A42" w:rsidRPr="00CA0662">
        <w:rPr>
          <w:rFonts w:ascii="Times New Roman" w:hAnsi="Times New Roman" w:cs="Times New Roman"/>
          <w:sz w:val="24"/>
          <w:szCs w:val="24"/>
        </w:rPr>
        <w:t xml:space="preserve">Matters which are brought to court must be dealt with due expedition, see </w:t>
      </w:r>
      <w:r w:rsidR="00D52A42" w:rsidRPr="00B21090">
        <w:rPr>
          <w:rFonts w:ascii="Times New Roman" w:hAnsi="Times New Roman" w:cs="Times New Roman"/>
          <w:i/>
          <w:sz w:val="24"/>
          <w:szCs w:val="24"/>
        </w:rPr>
        <w:t xml:space="preserve">Shanje </w:t>
      </w:r>
      <w:r w:rsidR="00D52A42" w:rsidRPr="00CA0662">
        <w:rPr>
          <w:rFonts w:ascii="Times New Roman" w:hAnsi="Times New Roman" w:cs="Times New Roman"/>
          <w:sz w:val="24"/>
          <w:szCs w:val="24"/>
        </w:rPr>
        <w:t xml:space="preserve">v </w:t>
      </w:r>
      <w:r w:rsidR="00D52A42" w:rsidRPr="00B21090">
        <w:rPr>
          <w:rFonts w:ascii="Times New Roman" w:hAnsi="Times New Roman" w:cs="Times New Roman"/>
          <w:i/>
          <w:sz w:val="24"/>
          <w:szCs w:val="24"/>
        </w:rPr>
        <w:t>Murehwa &amp; 3 Ors</w:t>
      </w:r>
      <w:r w:rsidR="00D52A42" w:rsidRPr="00CA0662">
        <w:rPr>
          <w:rFonts w:ascii="Times New Roman" w:hAnsi="Times New Roman" w:cs="Times New Roman"/>
          <w:sz w:val="24"/>
          <w:szCs w:val="24"/>
        </w:rPr>
        <w:t xml:space="preserve"> HH 218-18. </w:t>
      </w:r>
      <w:r w:rsidR="009B0AFF" w:rsidRPr="00CA0662">
        <w:rPr>
          <w:rFonts w:ascii="Times New Roman" w:hAnsi="Times New Roman" w:cs="Times New Roman"/>
          <w:sz w:val="24"/>
          <w:szCs w:val="24"/>
        </w:rPr>
        <w:t xml:space="preserve">It is also a leverage to guard against abusers of court process. </w:t>
      </w:r>
      <w:r w:rsidRPr="00CA0662">
        <w:rPr>
          <w:rFonts w:ascii="Times New Roman" w:hAnsi="Times New Roman" w:cs="Times New Roman"/>
          <w:sz w:val="24"/>
          <w:szCs w:val="24"/>
        </w:rPr>
        <w:t xml:space="preserve">This is because our rules of Court create </w:t>
      </w:r>
      <w:r w:rsidR="00776BC3" w:rsidRPr="00CA0662">
        <w:rPr>
          <w:rFonts w:ascii="Times New Roman" w:hAnsi="Times New Roman" w:cs="Times New Roman"/>
          <w:sz w:val="24"/>
          <w:szCs w:val="24"/>
        </w:rPr>
        <w:t>a system</w:t>
      </w:r>
      <w:r w:rsidR="00C675E2" w:rsidRPr="00CA0662">
        <w:rPr>
          <w:rFonts w:ascii="Times New Roman" w:hAnsi="Times New Roman" w:cs="Times New Roman"/>
          <w:sz w:val="24"/>
          <w:szCs w:val="24"/>
        </w:rPr>
        <w:t xml:space="preserve"> where litigation is litigant/attorney driven as opposed to judge driven.</w:t>
      </w:r>
      <w:r w:rsidR="00776BC3" w:rsidRPr="00CA0662">
        <w:rPr>
          <w:rFonts w:ascii="Times New Roman" w:hAnsi="Times New Roman" w:cs="Times New Roman"/>
          <w:sz w:val="24"/>
          <w:szCs w:val="24"/>
        </w:rPr>
        <w:t xml:space="preserve"> Those who bring matters to court have a duty to comply with the rules and to ensure such matters are prosecuted expeditiously. Those who institute cases and then go to bed risk their cases being dismissed by the court in terms of this rule at the instance of the sued party.</w:t>
      </w:r>
    </w:p>
    <w:p w:rsidR="008B76FD" w:rsidRPr="00CA0662" w:rsidRDefault="00746AE3" w:rsidP="00B21090">
      <w:pPr>
        <w:spacing w:after="0" w:line="360" w:lineRule="auto"/>
        <w:ind w:firstLine="720"/>
        <w:jc w:val="both"/>
        <w:rPr>
          <w:rFonts w:ascii="Times New Roman" w:hAnsi="Times New Roman" w:cs="Times New Roman"/>
          <w:sz w:val="24"/>
          <w:szCs w:val="24"/>
        </w:rPr>
      </w:pPr>
      <w:r w:rsidRPr="00CA0662">
        <w:rPr>
          <w:rFonts w:ascii="Times New Roman" w:hAnsi="Times New Roman" w:cs="Times New Roman"/>
          <w:sz w:val="24"/>
          <w:szCs w:val="24"/>
        </w:rPr>
        <w:t xml:space="preserve">In order to succeed in an application for dismissal </w:t>
      </w:r>
      <w:r w:rsidR="009757D3" w:rsidRPr="00CA0662">
        <w:rPr>
          <w:rFonts w:ascii="Times New Roman" w:hAnsi="Times New Roman" w:cs="Times New Roman"/>
          <w:sz w:val="24"/>
          <w:szCs w:val="24"/>
        </w:rPr>
        <w:t xml:space="preserve">for want of prosecution </w:t>
      </w:r>
      <w:r w:rsidRPr="00CA0662">
        <w:rPr>
          <w:rFonts w:ascii="Times New Roman" w:hAnsi="Times New Roman" w:cs="Times New Roman"/>
          <w:sz w:val="24"/>
          <w:szCs w:val="24"/>
        </w:rPr>
        <w:t xml:space="preserve">the applicant must prove that; the respondent failed to take necessary steps to bring the claim to finality and secondly that there is no </w:t>
      </w:r>
      <w:r w:rsidR="009B79BF" w:rsidRPr="00CA0662">
        <w:rPr>
          <w:rFonts w:ascii="Times New Roman" w:hAnsi="Times New Roman" w:cs="Times New Roman"/>
          <w:sz w:val="24"/>
          <w:szCs w:val="24"/>
        </w:rPr>
        <w:t xml:space="preserve">honest, satisfactory and </w:t>
      </w:r>
      <w:r w:rsidRPr="00CA0662">
        <w:rPr>
          <w:rFonts w:ascii="Times New Roman" w:hAnsi="Times New Roman" w:cs="Times New Roman"/>
          <w:sz w:val="24"/>
          <w:szCs w:val="24"/>
        </w:rPr>
        <w:t>reasonable explanation</w:t>
      </w:r>
      <w:r w:rsidR="00776BC3" w:rsidRPr="00CA0662">
        <w:rPr>
          <w:rFonts w:ascii="Times New Roman" w:hAnsi="Times New Roman" w:cs="Times New Roman"/>
          <w:sz w:val="24"/>
          <w:szCs w:val="24"/>
        </w:rPr>
        <w:t xml:space="preserve"> </w:t>
      </w:r>
      <w:r w:rsidR="009757D3" w:rsidRPr="00CA0662">
        <w:rPr>
          <w:rFonts w:ascii="Times New Roman" w:hAnsi="Times New Roman" w:cs="Times New Roman"/>
          <w:sz w:val="24"/>
          <w:szCs w:val="24"/>
        </w:rPr>
        <w:t xml:space="preserve">for the </w:t>
      </w:r>
      <w:r w:rsidR="00B21090" w:rsidRPr="00CA0662">
        <w:rPr>
          <w:rFonts w:ascii="Times New Roman" w:hAnsi="Times New Roman" w:cs="Times New Roman"/>
          <w:sz w:val="24"/>
          <w:szCs w:val="24"/>
        </w:rPr>
        <w:t>delay. See</w:t>
      </w:r>
      <w:r w:rsidR="008B76FD" w:rsidRPr="00CA0662">
        <w:rPr>
          <w:rFonts w:ascii="Times New Roman" w:hAnsi="Times New Roman" w:cs="Times New Roman"/>
          <w:sz w:val="24"/>
          <w:szCs w:val="24"/>
        </w:rPr>
        <w:t xml:space="preserve"> </w:t>
      </w:r>
      <w:r w:rsidR="008B76FD" w:rsidRPr="00B21090">
        <w:rPr>
          <w:rFonts w:ascii="Times New Roman" w:hAnsi="Times New Roman" w:cs="Times New Roman"/>
          <w:i/>
          <w:sz w:val="24"/>
          <w:szCs w:val="24"/>
        </w:rPr>
        <w:t xml:space="preserve">Melgund Trading (Pvt) </w:t>
      </w:r>
      <w:r w:rsidR="00B21090" w:rsidRPr="00B21090">
        <w:rPr>
          <w:rFonts w:ascii="Times New Roman" w:hAnsi="Times New Roman" w:cs="Times New Roman"/>
          <w:i/>
          <w:sz w:val="24"/>
          <w:szCs w:val="24"/>
        </w:rPr>
        <w:t>Ltd</w:t>
      </w:r>
      <w:r w:rsidR="00B21090" w:rsidRPr="00CA0662">
        <w:rPr>
          <w:rFonts w:ascii="Times New Roman" w:hAnsi="Times New Roman" w:cs="Times New Roman"/>
          <w:sz w:val="24"/>
          <w:szCs w:val="24"/>
        </w:rPr>
        <w:t xml:space="preserve"> v</w:t>
      </w:r>
      <w:r w:rsidR="008B76FD" w:rsidRPr="00CA0662">
        <w:rPr>
          <w:rFonts w:ascii="Times New Roman" w:hAnsi="Times New Roman" w:cs="Times New Roman"/>
          <w:sz w:val="24"/>
          <w:szCs w:val="24"/>
        </w:rPr>
        <w:t xml:space="preserve"> </w:t>
      </w:r>
      <w:r w:rsidR="008B76FD" w:rsidRPr="00B21090">
        <w:rPr>
          <w:rFonts w:ascii="Times New Roman" w:hAnsi="Times New Roman" w:cs="Times New Roman"/>
          <w:i/>
          <w:sz w:val="24"/>
          <w:szCs w:val="24"/>
        </w:rPr>
        <w:t>Chinyama &amp; Partners</w:t>
      </w:r>
      <w:r w:rsidR="008B76FD" w:rsidRPr="00CA0662">
        <w:rPr>
          <w:rFonts w:ascii="Times New Roman" w:hAnsi="Times New Roman" w:cs="Times New Roman"/>
          <w:sz w:val="24"/>
          <w:szCs w:val="24"/>
        </w:rPr>
        <w:t xml:space="preserve"> HH 703/16. The applicant do no more than allege the absence of a reasonable explanation on the part of the respondent</w:t>
      </w:r>
      <w:r w:rsidR="00A91B67" w:rsidRPr="00CA0662">
        <w:rPr>
          <w:rFonts w:ascii="Times New Roman" w:hAnsi="Times New Roman" w:cs="Times New Roman"/>
          <w:sz w:val="24"/>
          <w:szCs w:val="24"/>
        </w:rPr>
        <w:t>s</w:t>
      </w:r>
      <w:r w:rsidR="008B76FD" w:rsidRPr="00CA0662">
        <w:rPr>
          <w:rFonts w:ascii="Times New Roman" w:hAnsi="Times New Roman" w:cs="Times New Roman"/>
          <w:sz w:val="24"/>
          <w:szCs w:val="24"/>
        </w:rPr>
        <w:t xml:space="preserve">. The duty to explain why the action was not pursued timeously lies with the respondent. In </w:t>
      </w:r>
      <w:r w:rsidR="008B76FD" w:rsidRPr="00CA0662">
        <w:rPr>
          <w:rFonts w:ascii="Times New Roman" w:hAnsi="Times New Roman" w:cs="Times New Roman"/>
          <w:i/>
          <w:sz w:val="24"/>
          <w:szCs w:val="24"/>
        </w:rPr>
        <w:t xml:space="preserve">Karengwa </w:t>
      </w:r>
      <w:r w:rsidR="008B76FD" w:rsidRPr="00CA0662">
        <w:rPr>
          <w:rFonts w:ascii="Times New Roman" w:hAnsi="Times New Roman" w:cs="Times New Roman"/>
          <w:sz w:val="24"/>
          <w:szCs w:val="24"/>
        </w:rPr>
        <w:t xml:space="preserve">v </w:t>
      </w:r>
      <w:r w:rsidR="008B76FD" w:rsidRPr="00CA0662">
        <w:rPr>
          <w:rFonts w:ascii="Times New Roman" w:hAnsi="Times New Roman" w:cs="Times New Roman"/>
          <w:i/>
          <w:sz w:val="24"/>
          <w:szCs w:val="24"/>
        </w:rPr>
        <w:t xml:space="preserve">Mpofu </w:t>
      </w:r>
      <w:r w:rsidR="008B76FD" w:rsidRPr="00CA0662">
        <w:rPr>
          <w:rFonts w:ascii="Times New Roman" w:hAnsi="Times New Roman" w:cs="Times New Roman"/>
          <w:sz w:val="24"/>
          <w:szCs w:val="24"/>
        </w:rPr>
        <w:t>HB 628/15 the court stated as follows:</w:t>
      </w:r>
    </w:p>
    <w:p w:rsidR="007C3D79" w:rsidRPr="00CA0662" w:rsidRDefault="008B76FD" w:rsidP="00B21090">
      <w:pPr>
        <w:spacing w:after="0" w:line="240" w:lineRule="auto"/>
        <w:ind w:left="720"/>
        <w:jc w:val="both"/>
        <w:rPr>
          <w:rFonts w:ascii="Times New Roman" w:hAnsi="Times New Roman" w:cs="Times New Roman"/>
          <w:sz w:val="24"/>
          <w:szCs w:val="24"/>
        </w:rPr>
      </w:pPr>
      <w:r w:rsidRPr="00CA0662">
        <w:rPr>
          <w:rFonts w:ascii="Times New Roman" w:hAnsi="Times New Roman" w:cs="Times New Roman"/>
          <w:sz w:val="24"/>
          <w:szCs w:val="24"/>
        </w:rPr>
        <w:t xml:space="preserve">“The court usually looks at the reasons for failing to act timeously.  Where failure to act is the result of an utter disregard of the rules of the court and prescribed time limits, the courts are extremely reluctant to give any further indulgence to the defaulting party.” </w:t>
      </w:r>
    </w:p>
    <w:p w:rsidR="00A026B6" w:rsidRPr="00CA0662" w:rsidRDefault="00A026B6" w:rsidP="00B21090">
      <w:pPr>
        <w:spacing w:after="0" w:line="360" w:lineRule="auto"/>
        <w:jc w:val="both"/>
        <w:rPr>
          <w:rFonts w:ascii="Times New Roman" w:hAnsi="Times New Roman" w:cs="Times New Roman"/>
          <w:sz w:val="24"/>
          <w:szCs w:val="24"/>
        </w:rPr>
      </w:pPr>
    </w:p>
    <w:p w:rsidR="00A026B6" w:rsidRPr="00CA0662" w:rsidRDefault="00A026B6" w:rsidP="00B21090">
      <w:pPr>
        <w:autoSpaceDE w:val="0"/>
        <w:autoSpaceDN w:val="0"/>
        <w:adjustRightInd w:val="0"/>
        <w:spacing w:after="0" w:line="360" w:lineRule="auto"/>
        <w:ind w:firstLine="720"/>
        <w:jc w:val="both"/>
        <w:rPr>
          <w:rFonts w:ascii="Times New Roman" w:hAnsi="Times New Roman" w:cs="Times New Roman"/>
          <w:sz w:val="24"/>
          <w:szCs w:val="24"/>
        </w:rPr>
      </w:pPr>
      <w:r w:rsidRPr="00CA0662">
        <w:rPr>
          <w:rFonts w:ascii="Times New Roman" w:hAnsi="Times New Roman" w:cs="Times New Roman"/>
          <w:sz w:val="24"/>
          <w:szCs w:val="24"/>
        </w:rPr>
        <w:t>The court has a wide discretion in dealing with this application. This i</w:t>
      </w:r>
      <w:r w:rsidR="00B21090">
        <w:rPr>
          <w:rFonts w:ascii="Times New Roman" w:hAnsi="Times New Roman" w:cs="Times New Roman"/>
          <w:sz w:val="24"/>
          <w:szCs w:val="24"/>
        </w:rPr>
        <w:t xml:space="preserve">s because in terms of r 236 </w:t>
      </w:r>
      <w:r w:rsidRPr="00CA0662">
        <w:rPr>
          <w:rFonts w:ascii="Times New Roman" w:hAnsi="Times New Roman" w:cs="Times New Roman"/>
          <w:sz w:val="24"/>
          <w:szCs w:val="24"/>
        </w:rPr>
        <w:t>other than a dismissal of the action the court can make such other order on such terms as the court thinks fit.</w:t>
      </w:r>
      <w:r w:rsidR="00E26EA7" w:rsidRPr="00CA0662">
        <w:rPr>
          <w:rFonts w:ascii="Times New Roman" w:hAnsi="Times New Roman" w:cs="Times New Roman"/>
          <w:sz w:val="24"/>
          <w:szCs w:val="24"/>
        </w:rPr>
        <w:t xml:space="preserve"> On the question of discretion, in </w:t>
      </w:r>
      <w:r w:rsidR="00E26EA7" w:rsidRPr="00B21090">
        <w:rPr>
          <w:rFonts w:ascii="Times New Roman" w:hAnsi="Times New Roman" w:cs="Times New Roman"/>
          <w:i/>
          <w:sz w:val="24"/>
          <w:szCs w:val="24"/>
        </w:rPr>
        <w:t>Guardforce Investments (Pvt) Ltd</w:t>
      </w:r>
      <w:r w:rsidR="00E26EA7" w:rsidRPr="00CA0662">
        <w:rPr>
          <w:rFonts w:ascii="Times New Roman" w:hAnsi="Times New Roman" w:cs="Times New Roman"/>
          <w:sz w:val="24"/>
          <w:szCs w:val="24"/>
        </w:rPr>
        <w:t xml:space="preserve"> v </w:t>
      </w:r>
      <w:r w:rsidR="00E26EA7" w:rsidRPr="00B21090">
        <w:rPr>
          <w:rFonts w:ascii="Times New Roman" w:hAnsi="Times New Roman" w:cs="Times New Roman"/>
          <w:i/>
          <w:sz w:val="24"/>
          <w:szCs w:val="24"/>
        </w:rPr>
        <w:t>Ndlovu &amp; Others</w:t>
      </w:r>
      <w:r w:rsidR="00E26EA7" w:rsidRPr="00CA0662">
        <w:rPr>
          <w:rFonts w:ascii="Times New Roman" w:hAnsi="Times New Roman" w:cs="Times New Roman"/>
          <w:sz w:val="24"/>
          <w:szCs w:val="24"/>
        </w:rPr>
        <w:t xml:space="preserve"> SC 24/16 the court had this to say;</w:t>
      </w:r>
    </w:p>
    <w:p w:rsidR="00E26EA7" w:rsidRPr="00B21090" w:rsidRDefault="00E26EA7" w:rsidP="00B21090">
      <w:pPr>
        <w:pStyle w:val="NoSpacing"/>
        <w:ind w:left="720"/>
        <w:jc w:val="both"/>
        <w:rPr>
          <w:sz w:val="22"/>
          <w:szCs w:val="22"/>
        </w:rPr>
      </w:pPr>
      <w:r w:rsidRPr="00B21090">
        <w:rPr>
          <w:sz w:val="22"/>
          <w:szCs w:val="22"/>
        </w:rPr>
        <w:t>“The discretion to dismiss a matter for want of prosecution is a judicial discretion, to be exercised taking the following factors into consideration –</w:t>
      </w:r>
    </w:p>
    <w:p w:rsidR="00E26EA7" w:rsidRPr="00B21090" w:rsidRDefault="00E26EA7" w:rsidP="00B21090">
      <w:pPr>
        <w:pStyle w:val="NoSpacing"/>
        <w:jc w:val="both"/>
        <w:rPr>
          <w:sz w:val="22"/>
          <w:szCs w:val="22"/>
        </w:rPr>
      </w:pPr>
    </w:p>
    <w:p w:rsidR="00E26EA7" w:rsidRPr="00B21090" w:rsidRDefault="00E26EA7" w:rsidP="00B21090">
      <w:pPr>
        <w:pStyle w:val="NoSpacing"/>
        <w:ind w:left="720"/>
        <w:jc w:val="both"/>
        <w:rPr>
          <w:sz w:val="22"/>
          <w:szCs w:val="22"/>
        </w:rPr>
      </w:pPr>
      <w:r w:rsidRPr="00B21090">
        <w:rPr>
          <w:sz w:val="22"/>
          <w:szCs w:val="22"/>
        </w:rPr>
        <w:t>(a)</w:t>
      </w:r>
      <w:r w:rsidRPr="00B21090">
        <w:rPr>
          <w:sz w:val="22"/>
          <w:szCs w:val="22"/>
        </w:rPr>
        <w:tab/>
        <w:t>the length of the delay and the explanation thereof;</w:t>
      </w:r>
    </w:p>
    <w:p w:rsidR="00E26EA7" w:rsidRPr="00B21090" w:rsidRDefault="00E26EA7" w:rsidP="00B21090">
      <w:pPr>
        <w:pStyle w:val="NoSpacing"/>
        <w:ind w:left="720"/>
        <w:jc w:val="both"/>
        <w:rPr>
          <w:sz w:val="22"/>
          <w:szCs w:val="22"/>
        </w:rPr>
      </w:pPr>
    </w:p>
    <w:p w:rsidR="00E26EA7" w:rsidRPr="00B21090" w:rsidRDefault="00E26EA7" w:rsidP="00B21090">
      <w:pPr>
        <w:pStyle w:val="NoSpacing"/>
        <w:ind w:left="720"/>
        <w:jc w:val="both"/>
        <w:rPr>
          <w:sz w:val="22"/>
          <w:szCs w:val="22"/>
        </w:rPr>
      </w:pPr>
      <w:r w:rsidRPr="00B21090">
        <w:rPr>
          <w:sz w:val="22"/>
          <w:szCs w:val="22"/>
        </w:rPr>
        <w:t>(b)</w:t>
      </w:r>
      <w:r w:rsidRPr="00B21090">
        <w:rPr>
          <w:sz w:val="22"/>
          <w:szCs w:val="22"/>
        </w:rPr>
        <w:tab/>
        <w:t>the prospects of success on the merits;</w:t>
      </w:r>
    </w:p>
    <w:p w:rsidR="00E26EA7" w:rsidRPr="00B21090" w:rsidRDefault="00E26EA7" w:rsidP="00B21090">
      <w:pPr>
        <w:pStyle w:val="NoSpacing"/>
        <w:ind w:left="720"/>
        <w:jc w:val="both"/>
        <w:rPr>
          <w:sz w:val="22"/>
          <w:szCs w:val="22"/>
        </w:rPr>
      </w:pPr>
    </w:p>
    <w:p w:rsidR="00E26EA7" w:rsidRPr="00B21090" w:rsidRDefault="00E26EA7" w:rsidP="00B21090">
      <w:pPr>
        <w:pStyle w:val="NoSpacing"/>
        <w:ind w:left="1440" w:hanging="720"/>
        <w:jc w:val="both"/>
        <w:rPr>
          <w:sz w:val="22"/>
          <w:szCs w:val="22"/>
        </w:rPr>
      </w:pPr>
      <w:r w:rsidRPr="00B21090">
        <w:rPr>
          <w:sz w:val="22"/>
          <w:szCs w:val="22"/>
        </w:rPr>
        <w:t>(c)</w:t>
      </w:r>
      <w:r w:rsidRPr="00B21090">
        <w:rPr>
          <w:sz w:val="22"/>
          <w:szCs w:val="22"/>
        </w:rPr>
        <w:tab/>
        <w:t>the balance of convenience and the possible prejudice to the applicant caused by the other party’s failure to prosecute its case on time.”</w:t>
      </w:r>
    </w:p>
    <w:p w:rsidR="00E330AB" w:rsidRPr="00CA0662" w:rsidRDefault="00E330AB" w:rsidP="00B21090">
      <w:pPr>
        <w:pStyle w:val="NoSpacing"/>
        <w:spacing w:line="360" w:lineRule="auto"/>
        <w:jc w:val="both"/>
      </w:pPr>
    </w:p>
    <w:p w:rsidR="000540D9" w:rsidRDefault="000540D9" w:rsidP="000540D9">
      <w:pPr>
        <w:pStyle w:val="NoSpacing"/>
        <w:spacing w:line="360" w:lineRule="auto"/>
        <w:jc w:val="both"/>
        <w:rPr>
          <w:b/>
        </w:rPr>
      </w:pPr>
    </w:p>
    <w:p w:rsidR="00E330AB" w:rsidRPr="00CA0662" w:rsidRDefault="00E330AB" w:rsidP="00B21090">
      <w:pPr>
        <w:pStyle w:val="NoSpacing"/>
        <w:numPr>
          <w:ilvl w:val="0"/>
          <w:numId w:val="1"/>
        </w:numPr>
        <w:spacing w:line="360" w:lineRule="auto"/>
        <w:jc w:val="both"/>
        <w:rPr>
          <w:b/>
        </w:rPr>
      </w:pPr>
      <w:r w:rsidRPr="00CA0662">
        <w:rPr>
          <w:b/>
        </w:rPr>
        <w:lastRenderedPageBreak/>
        <w:t>Length of the delay and explanation thereof:</w:t>
      </w:r>
    </w:p>
    <w:p w:rsidR="00F54433" w:rsidRPr="00CA0662" w:rsidRDefault="00D20F15" w:rsidP="000540D9">
      <w:pPr>
        <w:pStyle w:val="NoSpacing"/>
        <w:spacing w:line="360" w:lineRule="auto"/>
        <w:ind w:firstLine="360"/>
        <w:jc w:val="both"/>
      </w:pPr>
      <w:r w:rsidRPr="00CA0662">
        <w:t xml:space="preserve">For one to determine the length of the delay one looks at the processes filed by the parties. The respondents filed an answering affidavit on 8 July 2020 which was only served on the applicant </w:t>
      </w:r>
      <w:r w:rsidR="000540D9" w:rsidRPr="00CA0662">
        <w:t>on 18</w:t>
      </w:r>
      <w:r w:rsidRPr="00CA0662">
        <w:t xml:space="preserve"> March 2021. The respondents claim inadvertency on their part for failure to serve the answering affidavit timeously. Despite the inadvertency one looks at what action was taken by the respondents towards the setting down of the matter following the filing of the answering affidavit on 8 July 2020. </w:t>
      </w:r>
      <w:r w:rsidR="00F54433" w:rsidRPr="00CA0662">
        <w:t>The respondents filed no heads thereafter which were only filed on 30 April 2021 after the present application was filed and served on the respondents on 11 March 2021.</w:t>
      </w:r>
    </w:p>
    <w:p w:rsidR="00AE071F" w:rsidRPr="00CA0662" w:rsidRDefault="00F54433" w:rsidP="000540D9">
      <w:pPr>
        <w:pStyle w:val="NoSpacing"/>
        <w:spacing w:line="360" w:lineRule="auto"/>
        <w:ind w:firstLine="720"/>
        <w:jc w:val="both"/>
      </w:pPr>
      <w:r w:rsidRPr="00CA0662">
        <w:t xml:space="preserve">The fact that there was a delay in setting down HC 3079/20 is not in dispute. The applicant says the delay runs to nine months and the respondents say </w:t>
      </w:r>
      <w:r w:rsidR="000540D9" w:rsidRPr="00CA0662">
        <w:t>it’s</w:t>
      </w:r>
      <w:r w:rsidRPr="00CA0662">
        <w:t xml:space="preserve"> u</w:t>
      </w:r>
      <w:r w:rsidR="00E57D24">
        <w:t>p</w:t>
      </w:r>
      <w:r w:rsidRPr="00CA0662">
        <w:t xml:space="preserve"> to five months. Whichever the case might be, the question is what is the explanation for the delay by the respondents</w:t>
      </w:r>
      <w:r w:rsidR="00D3093B" w:rsidRPr="00CA0662">
        <w:t xml:space="preserve">. </w:t>
      </w:r>
      <w:r w:rsidR="00DE0737" w:rsidRPr="00CA0662">
        <w:t xml:space="preserve">Why was the matter not set down within 30 days from 8 July 2020. </w:t>
      </w:r>
    </w:p>
    <w:p w:rsidR="004013E2" w:rsidRPr="00CA0662" w:rsidRDefault="00AE071F" w:rsidP="000540D9">
      <w:pPr>
        <w:pStyle w:val="NoSpacing"/>
        <w:spacing w:line="360" w:lineRule="auto"/>
        <w:ind w:firstLine="720"/>
        <w:jc w:val="both"/>
      </w:pPr>
      <w:r w:rsidRPr="00CA0662">
        <w:t xml:space="preserve">The reason set out in the opposing affidavit is that </w:t>
      </w:r>
      <w:r w:rsidR="00DE0737" w:rsidRPr="00CA0662">
        <w:t xml:space="preserve">there is a multiplicity of matters involving the same parties. In that regard the parties appeared before </w:t>
      </w:r>
      <w:r w:rsidR="00DE0737" w:rsidRPr="000540D9">
        <w:rPr>
          <w:smallCaps/>
        </w:rPr>
        <w:t>Muremba</w:t>
      </w:r>
      <w:r w:rsidR="00DE0737" w:rsidRPr="00CA0662">
        <w:t xml:space="preserve"> J and were directed to consider a way forward with the cases. As a result some were withdrawn and others disposed of by consent. It was then agreed to consolidate this application</w:t>
      </w:r>
      <w:r w:rsidR="004013E2" w:rsidRPr="00CA0662">
        <w:t xml:space="preserve"> in </w:t>
      </w:r>
      <w:r w:rsidR="005B6862" w:rsidRPr="00CA0662">
        <w:t xml:space="preserve">HC </w:t>
      </w:r>
      <w:r w:rsidR="004013E2" w:rsidRPr="00CA0662">
        <w:t>3079/</w:t>
      </w:r>
      <w:r w:rsidR="000540D9" w:rsidRPr="00CA0662">
        <w:t>20 with</w:t>
      </w:r>
      <w:r w:rsidR="00DE0737" w:rsidRPr="00CA0662">
        <w:t xml:space="preserve"> HC 928/19 a </w:t>
      </w:r>
      <w:r w:rsidR="004013E2" w:rsidRPr="00CA0662">
        <w:t>position</w:t>
      </w:r>
      <w:r w:rsidR="00DE0737" w:rsidRPr="00CA0662">
        <w:t xml:space="preserve"> denied by the applicant.</w:t>
      </w:r>
    </w:p>
    <w:p w:rsidR="001B2827" w:rsidRPr="00CA0662" w:rsidRDefault="004013E2" w:rsidP="000540D9">
      <w:pPr>
        <w:pStyle w:val="NoSpacing"/>
        <w:spacing w:line="360" w:lineRule="auto"/>
        <w:ind w:firstLine="720"/>
        <w:jc w:val="both"/>
      </w:pPr>
      <w:r w:rsidRPr="00CA0662">
        <w:t xml:space="preserve">In a letter of 18 March 2021 to the applicant’s legal practitioners the respondents stated in paragraph 3 that, </w:t>
      </w:r>
      <w:r w:rsidRPr="00551CEA">
        <w:rPr>
          <w:sz w:val="22"/>
          <w:szCs w:val="22"/>
        </w:rPr>
        <w:t>“…we advise that we failed to set the matter down for hearing within a month from the 8</w:t>
      </w:r>
      <w:r w:rsidRPr="00551CEA">
        <w:rPr>
          <w:sz w:val="22"/>
          <w:szCs w:val="22"/>
          <w:vertAlign w:val="superscript"/>
        </w:rPr>
        <w:t>th</w:t>
      </w:r>
      <w:r w:rsidRPr="00551CEA">
        <w:rPr>
          <w:sz w:val="22"/>
          <w:szCs w:val="22"/>
        </w:rPr>
        <w:t xml:space="preserve"> July 2020 due to a mistaken but genuine belief that the matter had been dealt with in the consent judgment filed in case number HC 3149/20</w:t>
      </w:r>
      <w:r w:rsidRPr="00CA0662">
        <w:t>.</w:t>
      </w:r>
      <w:r w:rsidR="00551CEA">
        <w:t>”</w:t>
      </w:r>
      <w:r w:rsidRPr="00CA0662">
        <w:t xml:space="preserve"> </w:t>
      </w:r>
    </w:p>
    <w:p w:rsidR="005B6862" w:rsidRPr="00CA0662" w:rsidRDefault="001B2827" w:rsidP="000540D9">
      <w:pPr>
        <w:pStyle w:val="NoSpacing"/>
        <w:spacing w:line="360" w:lineRule="auto"/>
        <w:ind w:firstLine="720"/>
        <w:jc w:val="both"/>
      </w:pPr>
      <w:r w:rsidRPr="00CA0662">
        <w:t>The two explanations by the respondents are not congruent with each other. The consent judgment referred to in HC 3149/20 is a consent to a joinder of parties to case number HC 928/19 which was granted on 28 October 2020 way out of the 30 days calculated from 8 July 2020.</w:t>
      </w:r>
      <w:r w:rsidR="005B6862" w:rsidRPr="00CA0662">
        <w:t xml:space="preserve"> I find no relationship between HC 3149/20 the case for joinder of parties and HC 3079/20 which is an application to cancel the deed. </w:t>
      </w:r>
    </w:p>
    <w:p w:rsidR="0060447E" w:rsidRPr="00CA0662" w:rsidRDefault="005B6862" w:rsidP="000540D9">
      <w:pPr>
        <w:pStyle w:val="NoSpacing"/>
        <w:spacing w:line="360" w:lineRule="auto"/>
        <w:ind w:firstLine="720"/>
        <w:jc w:val="both"/>
      </w:pPr>
      <w:r w:rsidRPr="00CA0662">
        <w:t xml:space="preserve">I failed to </w:t>
      </w:r>
      <w:r w:rsidR="00551CEA">
        <w:t>appreciate</w:t>
      </w:r>
      <w:r w:rsidRPr="00CA0662">
        <w:t xml:space="preserve"> the reasoning of the respondents in the heads of argument. The argument was put thus; </w:t>
      </w:r>
      <w:r w:rsidRPr="00551CEA">
        <w:rPr>
          <w:sz w:val="22"/>
          <w:szCs w:val="22"/>
        </w:rPr>
        <w:t>“…when parties filed consent to judgment in HC 3149/20, the 1</w:t>
      </w:r>
      <w:r w:rsidRPr="00551CEA">
        <w:rPr>
          <w:sz w:val="22"/>
          <w:szCs w:val="22"/>
          <w:vertAlign w:val="superscript"/>
        </w:rPr>
        <w:t>st</w:t>
      </w:r>
      <w:r w:rsidRPr="00551CEA">
        <w:rPr>
          <w:sz w:val="22"/>
          <w:szCs w:val="22"/>
        </w:rPr>
        <w:t xml:space="preserve"> and 2</w:t>
      </w:r>
      <w:r w:rsidRPr="00551CEA">
        <w:rPr>
          <w:sz w:val="22"/>
          <w:szCs w:val="22"/>
          <w:vertAlign w:val="superscript"/>
        </w:rPr>
        <w:t>nd</w:t>
      </w:r>
      <w:r w:rsidRPr="00551CEA">
        <w:rPr>
          <w:sz w:val="22"/>
          <w:szCs w:val="22"/>
        </w:rPr>
        <w:t xml:space="preserve"> respondents formulated a genuine but mistaken view that their matter in HC 3079/20 had been made part of the parties’ settlement in HC 3149/20. In other words, the 1</w:t>
      </w:r>
      <w:r w:rsidRPr="00551CEA">
        <w:rPr>
          <w:sz w:val="22"/>
          <w:szCs w:val="22"/>
          <w:vertAlign w:val="superscript"/>
        </w:rPr>
        <w:t>st</w:t>
      </w:r>
      <w:r w:rsidRPr="00551CEA">
        <w:rPr>
          <w:sz w:val="22"/>
          <w:szCs w:val="22"/>
        </w:rPr>
        <w:t xml:space="preserve"> and 2</w:t>
      </w:r>
      <w:r w:rsidRPr="00551CEA">
        <w:rPr>
          <w:sz w:val="22"/>
          <w:szCs w:val="22"/>
          <w:vertAlign w:val="superscript"/>
        </w:rPr>
        <w:t>nd</w:t>
      </w:r>
      <w:r w:rsidRPr="00551CEA">
        <w:rPr>
          <w:sz w:val="22"/>
          <w:szCs w:val="22"/>
        </w:rPr>
        <w:t xml:space="preserve"> respondent were harbouring under an impression that HC 3079/20 had been consolidated with HC 928/20 by virtue of the consent to judgment in HC 3149/20.”</w:t>
      </w:r>
      <w:r w:rsidR="00EA20F2" w:rsidRPr="00CA0662">
        <w:t xml:space="preserve"> How a consent to a joinder of parties can be mistaken to mean a </w:t>
      </w:r>
      <w:r w:rsidR="00EA20F2" w:rsidRPr="00CA0662">
        <w:lastRenderedPageBreak/>
        <w:t>settlement to an applic</w:t>
      </w:r>
      <w:r w:rsidR="00E57D24">
        <w:t>ation to cancel a deed and late</w:t>
      </w:r>
      <w:r w:rsidR="00EA20F2" w:rsidRPr="00CA0662">
        <w:t xml:space="preserve"> alone to think of a consol</w:t>
      </w:r>
      <w:r w:rsidR="00E57D24">
        <w:t>idation of cases can only exist</w:t>
      </w:r>
      <w:r w:rsidR="00EA20F2" w:rsidRPr="00CA0662">
        <w:t xml:space="preserve"> in one’s imagination. There is no rationality. This is why I said there is no reasonable explanation proffered by the respondents for the delay. </w:t>
      </w:r>
    </w:p>
    <w:p w:rsidR="005B6862" w:rsidRPr="00CA0662" w:rsidRDefault="0060447E" w:rsidP="000540D9">
      <w:pPr>
        <w:pStyle w:val="NoSpacing"/>
        <w:spacing w:line="360" w:lineRule="auto"/>
        <w:ind w:firstLine="720"/>
        <w:jc w:val="both"/>
      </w:pPr>
      <w:r w:rsidRPr="00CA0662">
        <w:t xml:space="preserve">It is not surprising that the respondents failed to proffer a reasonable explanation because a look at HC 3079/20 will show a cavalier approach by the respondents </w:t>
      </w:r>
      <w:r w:rsidR="00FE6E2F" w:rsidRPr="00CA0662">
        <w:t xml:space="preserve">who </w:t>
      </w:r>
      <w:r w:rsidR="000540D9" w:rsidRPr="00CA0662">
        <w:t xml:space="preserve">are </w:t>
      </w:r>
      <w:r w:rsidR="000540D9" w:rsidRPr="000540D9">
        <w:rPr>
          <w:i/>
        </w:rPr>
        <w:t>dominus</w:t>
      </w:r>
      <w:r w:rsidR="004C174B" w:rsidRPr="000540D9">
        <w:rPr>
          <w:i/>
        </w:rPr>
        <w:t xml:space="preserve"> litis</w:t>
      </w:r>
      <w:r w:rsidR="004C174B" w:rsidRPr="00CA0662">
        <w:t>.</w:t>
      </w:r>
      <w:r w:rsidR="00EA20F2" w:rsidRPr="00CA0662">
        <w:t xml:space="preserve"> </w:t>
      </w:r>
      <w:r w:rsidR="007A5493" w:rsidRPr="00CA0662">
        <w:t>In fact there is no explanation touching the 30 day period within which the respondents were to act.</w:t>
      </w:r>
    </w:p>
    <w:p w:rsidR="00386233" w:rsidRPr="00CA0662" w:rsidRDefault="00386233" w:rsidP="00B21090">
      <w:pPr>
        <w:pStyle w:val="NoSpacing"/>
        <w:spacing w:line="360" w:lineRule="auto"/>
        <w:jc w:val="both"/>
      </w:pPr>
    </w:p>
    <w:p w:rsidR="00F54433" w:rsidRPr="00CA0662" w:rsidRDefault="00386233" w:rsidP="00B21090">
      <w:pPr>
        <w:pStyle w:val="NoSpacing"/>
        <w:spacing w:line="360" w:lineRule="auto"/>
        <w:jc w:val="both"/>
        <w:rPr>
          <w:b/>
        </w:rPr>
      </w:pPr>
      <w:r w:rsidRPr="00CA0662">
        <w:t>b</w:t>
      </w:r>
      <w:r w:rsidRPr="00CA0662">
        <w:rPr>
          <w:b/>
        </w:rPr>
        <w:t xml:space="preserve">) The prospects of </w:t>
      </w:r>
      <w:r w:rsidR="000540D9" w:rsidRPr="00CA0662">
        <w:rPr>
          <w:b/>
        </w:rPr>
        <w:t>success and</w:t>
      </w:r>
      <w:r w:rsidRPr="00CA0662">
        <w:rPr>
          <w:b/>
        </w:rPr>
        <w:t xml:space="preserve"> the balance of convenience </w:t>
      </w:r>
    </w:p>
    <w:p w:rsidR="001523DC" w:rsidRPr="00CA0662" w:rsidRDefault="00386233" w:rsidP="00B21090">
      <w:pPr>
        <w:pStyle w:val="NoSpacing"/>
        <w:spacing w:line="360" w:lineRule="auto"/>
        <w:ind w:firstLine="720"/>
        <w:jc w:val="both"/>
      </w:pPr>
      <w:r w:rsidRPr="00CA0662">
        <w:t>The applicant’s founding affidavit only concentrated on the absence of a reasonable explanation of the delay by the respondents. Indeed the applicant proved that the respondents took a lackadaisical approach towards the pro</w:t>
      </w:r>
      <w:r w:rsidR="001523DC" w:rsidRPr="00CA0662">
        <w:t xml:space="preserve">secution of their case. </w:t>
      </w:r>
      <w:r w:rsidR="001523DC" w:rsidRPr="00551CEA">
        <w:rPr>
          <w:sz w:val="22"/>
          <w:szCs w:val="22"/>
        </w:rPr>
        <w:t>“However</w:t>
      </w:r>
      <w:r w:rsidR="000540D9" w:rsidRPr="00551CEA">
        <w:rPr>
          <w:sz w:val="22"/>
          <w:szCs w:val="22"/>
        </w:rPr>
        <w:t>, the</w:t>
      </w:r>
      <w:r w:rsidR="001523DC" w:rsidRPr="00551CEA">
        <w:rPr>
          <w:sz w:val="22"/>
          <w:szCs w:val="22"/>
        </w:rPr>
        <w:t xml:space="preserve"> delay and the explanation thereof in this matter alone cannot form the basis for the dismissal. The other factors should also have been considered in determining whether or not to dismiss the application for rescission for want of prosecution.”</w:t>
      </w:r>
      <w:r w:rsidR="001523DC" w:rsidRPr="00CA0662">
        <w:t xml:space="preserve"> see </w:t>
      </w:r>
      <w:r w:rsidR="001523DC" w:rsidRPr="000540D9">
        <w:rPr>
          <w:i/>
        </w:rPr>
        <w:t>Guardforce Investments</w:t>
      </w:r>
      <w:r w:rsidR="001523DC" w:rsidRPr="00CA0662">
        <w:t xml:space="preserve"> case </w:t>
      </w:r>
      <w:r w:rsidR="001523DC" w:rsidRPr="000540D9">
        <w:rPr>
          <w:i/>
        </w:rPr>
        <w:t>supra.</w:t>
      </w:r>
    </w:p>
    <w:p w:rsidR="00E26EA7" w:rsidRDefault="001523DC" w:rsidP="00B21090">
      <w:pPr>
        <w:pStyle w:val="NoSpacing"/>
        <w:spacing w:line="360" w:lineRule="auto"/>
        <w:jc w:val="both"/>
      </w:pPr>
      <w:r w:rsidRPr="00CA0662">
        <w:t xml:space="preserve"> </w:t>
      </w:r>
      <w:r w:rsidR="000540D9">
        <w:tab/>
      </w:r>
      <w:r w:rsidRPr="00CA0662">
        <w:t xml:space="preserve"> </w:t>
      </w:r>
      <w:r w:rsidR="00CA0662" w:rsidRPr="00CA0662">
        <w:t>T</w:t>
      </w:r>
      <w:r w:rsidR="00386233" w:rsidRPr="00CA0662">
        <w:t xml:space="preserve">he applicant </w:t>
      </w:r>
      <w:r w:rsidR="00CA0662" w:rsidRPr="00CA0662">
        <w:t>led</w:t>
      </w:r>
      <w:r w:rsidR="00386233" w:rsidRPr="00CA0662">
        <w:t xml:space="preserve"> no evidence on the prospects of success and the balance of convenience.  </w:t>
      </w:r>
      <w:r w:rsidR="0081444C" w:rsidRPr="00CA0662">
        <w:t>The heads of argument address these two factors raising factual issues which are not supported by evidence.</w:t>
      </w:r>
      <w:r w:rsidR="00386233" w:rsidRPr="00CA0662">
        <w:t xml:space="preserve"> </w:t>
      </w:r>
      <w:r w:rsidR="007D2BCB" w:rsidRPr="00CA0662">
        <w:t xml:space="preserve">It is procedurally wrong to lead evidence through the heads of argument. </w:t>
      </w:r>
      <w:r w:rsidR="007C2F77" w:rsidRPr="00CA0662">
        <w:t xml:space="preserve">An applicant’s case stands or falls on the founding affidavit. </w:t>
      </w:r>
      <w:r w:rsidR="000540D9" w:rsidRPr="00CA0662">
        <w:t>See</w:t>
      </w:r>
      <w:r w:rsidR="007C2F77" w:rsidRPr="00CA0662">
        <w:t xml:space="preserve"> </w:t>
      </w:r>
      <w:r w:rsidR="007C2F77" w:rsidRPr="000540D9">
        <w:rPr>
          <w:i/>
        </w:rPr>
        <w:t>Austerlands (Pvt) Ltd</w:t>
      </w:r>
      <w:r w:rsidR="007C2F77">
        <w:t xml:space="preserve"> v </w:t>
      </w:r>
      <w:r w:rsidR="007C2F77" w:rsidRPr="000540D9">
        <w:rPr>
          <w:i/>
        </w:rPr>
        <w:t>Trade and Investment Bank &amp; 2 Ors</w:t>
      </w:r>
      <w:r w:rsidR="007C2F77">
        <w:t xml:space="preserve"> SC 92/05.</w:t>
      </w:r>
      <w:r w:rsidR="008904E9" w:rsidRPr="008904E9">
        <w:t xml:space="preserve"> </w:t>
      </w:r>
      <w:r w:rsidR="008904E9">
        <w:t xml:space="preserve">In </w:t>
      </w:r>
      <w:r w:rsidR="008904E9" w:rsidRPr="000540D9">
        <w:rPr>
          <w:i/>
        </w:rPr>
        <w:t>Milrite Farming (Private) Limited</w:t>
      </w:r>
      <w:r w:rsidR="008904E9">
        <w:t xml:space="preserve"> v </w:t>
      </w:r>
      <w:r w:rsidR="008904E9" w:rsidRPr="000540D9">
        <w:rPr>
          <w:i/>
        </w:rPr>
        <w:t>Porusingazi &amp; Others</w:t>
      </w:r>
      <w:r w:rsidR="008904E9">
        <w:t xml:space="preserve"> HH 82/10 the court stated; </w:t>
      </w:r>
      <w:r w:rsidR="008904E9" w:rsidRPr="00551CEA">
        <w:rPr>
          <w:sz w:val="22"/>
          <w:szCs w:val="22"/>
        </w:rPr>
        <w:t>“The basic rule pertaining to application procedures is that the applicant’s case stands or falls on averments made in the founding affidavit and not upon subsequent pleadings.  The rational for the rule is quite clear.  It is to avoid the undesirable effect of litigation assuming a snowballing character, with fresh allegations being made at every turn of pleadings.</w:t>
      </w:r>
      <w:r w:rsidR="008904E9">
        <w:t>”</w:t>
      </w:r>
    </w:p>
    <w:p w:rsidR="00CA0662" w:rsidRDefault="00CA0662" w:rsidP="000540D9">
      <w:pPr>
        <w:pStyle w:val="NoSpacing"/>
        <w:spacing w:line="360" w:lineRule="auto"/>
        <w:ind w:firstLine="720"/>
        <w:jc w:val="both"/>
      </w:pPr>
      <w:r>
        <w:t>It is for these reasons that the applicant cannot succeed in its application. Despite th</w:t>
      </w:r>
      <w:r w:rsidR="00551CEA">
        <w:t>e success,</w:t>
      </w:r>
      <w:r>
        <w:t xml:space="preserve"> the respondents cannot have the be</w:t>
      </w:r>
      <w:r w:rsidR="00E57D24">
        <w:t>n</w:t>
      </w:r>
      <w:r>
        <w:t>efit of any cost</w:t>
      </w:r>
      <w:r w:rsidR="00E57D24">
        <w:t xml:space="preserve">s in their favour as their </w:t>
      </w:r>
      <w:r w:rsidR="000540D9">
        <w:t>inaction caused</w:t>
      </w:r>
      <w:r w:rsidR="00E57D24">
        <w:t xml:space="preserve"> this application to </w:t>
      </w:r>
      <w:r w:rsidR="000540D9">
        <w:t>be brought</w:t>
      </w:r>
      <w:r>
        <w:t>.</w:t>
      </w:r>
    </w:p>
    <w:p w:rsidR="00CA0662" w:rsidRDefault="00CA0662" w:rsidP="000540D9">
      <w:pPr>
        <w:pStyle w:val="NoSpacing"/>
        <w:spacing w:line="360" w:lineRule="auto"/>
        <w:ind w:firstLine="360"/>
        <w:jc w:val="both"/>
      </w:pPr>
      <w:r>
        <w:t>Disposition:</w:t>
      </w:r>
    </w:p>
    <w:p w:rsidR="00CA0662" w:rsidRDefault="00CA0662" w:rsidP="00B21090">
      <w:pPr>
        <w:pStyle w:val="NoSpacing"/>
        <w:numPr>
          <w:ilvl w:val="0"/>
          <w:numId w:val="2"/>
        </w:numPr>
        <w:spacing w:line="360" w:lineRule="auto"/>
        <w:jc w:val="both"/>
      </w:pPr>
      <w:r>
        <w:t>The application be and is hereby dismissed with no order as to costs.</w:t>
      </w:r>
    </w:p>
    <w:p w:rsidR="00B703AB" w:rsidRDefault="00B703AB" w:rsidP="00B21090">
      <w:pPr>
        <w:pStyle w:val="NoSpacing"/>
        <w:spacing w:line="360" w:lineRule="auto"/>
        <w:ind w:left="720"/>
        <w:jc w:val="both"/>
      </w:pPr>
    </w:p>
    <w:p w:rsidR="00B703AB" w:rsidRDefault="00B703AB" w:rsidP="00B21090">
      <w:pPr>
        <w:pStyle w:val="NoSpacing"/>
        <w:spacing w:line="360" w:lineRule="auto"/>
        <w:ind w:left="720"/>
        <w:jc w:val="both"/>
      </w:pPr>
    </w:p>
    <w:p w:rsidR="00C0384D" w:rsidRDefault="00C0384D" w:rsidP="000540D9">
      <w:pPr>
        <w:pStyle w:val="NoSpacing"/>
        <w:spacing w:line="360" w:lineRule="auto"/>
        <w:jc w:val="both"/>
        <w:rPr>
          <w:i/>
        </w:rPr>
      </w:pPr>
    </w:p>
    <w:p w:rsidR="00B703AB" w:rsidRDefault="00B703AB" w:rsidP="001B5E26">
      <w:pPr>
        <w:pStyle w:val="NoSpacing"/>
        <w:jc w:val="both"/>
      </w:pPr>
      <w:r w:rsidRPr="00872D94">
        <w:rPr>
          <w:i/>
        </w:rPr>
        <w:lastRenderedPageBreak/>
        <w:t>Mupanga Bhatasara Attorneys</w:t>
      </w:r>
      <w:r>
        <w:t>, applicant’s legal practitioner</w:t>
      </w:r>
    </w:p>
    <w:p w:rsidR="00B703AB" w:rsidRDefault="00B703AB" w:rsidP="001B5E26">
      <w:pPr>
        <w:pStyle w:val="NoSpacing"/>
        <w:jc w:val="both"/>
      </w:pPr>
      <w:r w:rsidRPr="00373887">
        <w:rPr>
          <w:i/>
        </w:rPr>
        <w:t>Mushangwe and Company</w:t>
      </w:r>
      <w:r>
        <w:t>, 1</w:t>
      </w:r>
      <w:r w:rsidRPr="00B703AB">
        <w:rPr>
          <w:vertAlign w:val="superscript"/>
        </w:rPr>
        <w:t>st</w:t>
      </w:r>
      <w:r>
        <w:t xml:space="preserve"> and 2</w:t>
      </w:r>
      <w:r w:rsidRPr="00B703AB">
        <w:rPr>
          <w:vertAlign w:val="superscript"/>
        </w:rPr>
        <w:t>nd</w:t>
      </w:r>
      <w:r>
        <w:t xml:space="preserve"> respondents’ legal practitioners</w:t>
      </w:r>
    </w:p>
    <w:p w:rsidR="00B703AB" w:rsidRPr="00386233" w:rsidRDefault="00B703AB" w:rsidP="001B5E26">
      <w:pPr>
        <w:pStyle w:val="NoSpacing"/>
        <w:jc w:val="both"/>
      </w:pPr>
      <w:r w:rsidRPr="00373887">
        <w:rPr>
          <w:i/>
        </w:rPr>
        <w:t>Scanlen and Holderness</w:t>
      </w:r>
      <w:r>
        <w:t>, 3</w:t>
      </w:r>
      <w:r w:rsidRPr="00B703AB">
        <w:rPr>
          <w:vertAlign w:val="superscript"/>
        </w:rPr>
        <w:t>rd</w:t>
      </w:r>
      <w:r>
        <w:t xml:space="preserve"> and 4</w:t>
      </w:r>
      <w:r w:rsidRPr="00B703AB">
        <w:rPr>
          <w:vertAlign w:val="superscript"/>
        </w:rPr>
        <w:t>th</w:t>
      </w:r>
      <w:r>
        <w:t xml:space="preserve"> respondents’ legal practitioners</w:t>
      </w:r>
    </w:p>
    <w:p w:rsidR="007C3D79" w:rsidRPr="00A026B6" w:rsidRDefault="007C3D79" w:rsidP="001B5E26">
      <w:pPr>
        <w:spacing w:after="0" w:line="240" w:lineRule="auto"/>
        <w:ind w:left="720"/>
        <w:jc w:val="both"/>
        <w:rPr>
          <w:rFonts w:ascii="Times New Roman" w:hAnsi="Times New Roman" w:cs="Times New Roman"/>
          <w:sz w:val="24"/>
          <w:szCs w:val="24"/>
        </w:rPr>
      </w:pPr>
    </w:p>
    <w:p w:rsidR="007C3D79" w:rsidRPr="00A026B6" w:rsidRDefault="007C3D79" w:rsidP="001B5E26">
      <w:pPr>
        <w:spacing w:after="0" w:line="240" w:lineRule="auto"/>
        <w:ind w:left="720"/>
        <w:jc w:val="both"/>
        <w:rPr>
          <w:rFonts w:ascii="Times New Roman" w:hAnsi="Times New Roman" w:cs="Times New Roman"/>
          <w:sz w:val="24"/>
          <w:szCs w:val="24"/>
        </w:rPr>
      </w:pPr>
    </w:p>
    <w:p w:rsidR="007C3D79" w:rsidRDefault="007C3D79" w:rsidP="00B21090">
      <w:pPr>
        <w:spacing w:after="0" w:line="360" w:lineRule="auto"/>
        <w:ind w:left="720"/>
        <w:jc w:val="both"/>
        <w:rPr>
          <w:rFonts w:ascii="Times New Roman" w:hAnsi="Times New Roman" w:cs="Times New Roman"/>
        </w:rPr>
      </w:pPr>
    </w:p>
    <w:sectPr w:rsidR="007C3D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1B1" w:rsidRDefault="003451B1" w:rsidP="00CA0662">
      <w:pPr>
        <w:spacing w:after="0" w:line="240" w:lineRule="auto"/>
      </w:pPr>
      <w:r>
        <w:separator/>
      </w:r>
    </w:p>
  </w:endnote>
  <w:endnote w:type="continuationSeparator" w:id="0">
    <w:p w:rsidR="003451B1" w:rsidRDefault="003451B1" w:rsidP="00CA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1B1" w:rsidRDefault="003451B1" w:rsidP="00CA0662">
      <w:pPr>
        <w:spacing w:after="0" w:line="240" w:lineRule="auto"/>
      </w:pPr>
      <w:r>
        <w:separator/>
      </w:r>
    </w:p>
  </w:footnote>
  <w:footnote w:type="continuationSeparator" w:id="0">
    <w:p w:rsidR="003451B1" w:rsidRDefault="003451B1" w:rsidP="00CA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09294"/>
      <w:docPartObj>
        <w:docPartGallery w:val="Page Numbers (Top of Page)"/>
        <w:docPartUnique/>
      </w:docPartObj>
    </w:sdtPr>
    <w:sdtEndPr>
      <w:rPr>
        <w:noProof/>
      </w:rPr>
    </w:sdtEndPr>
    <w:sdtContent>
      <w:p w:rsidR="00D14733" w:rsidRDefault="00CA0662">
        <w:pPr>
          <w:pStyle w:val="Header"/>
          <w:jc w:val="right"/>
          <w:rPr>
            <w:noProof/>
          </w:rPr>
        </w:pPr>
        <w:r>
          <w:fldChar w:fldCharType="begin"/>
        </w:r>
        <w:r>
          <w:instrText xml:space="preserve"> PAGE   \* MERGEFORMAT </w:instrText>
        </w:r>
        <w:r>
          <w:fldChar w:fldCharType="separate"/>
        </w:r>
        <w:r w:rsidR="00272429">
          <w:rPr>
            <w:noProof/>
          </w:rPr>
          <w:t>1</w:t>
        </w:r>
        <w:r>
          <w:rPr>
            <w:noProof/>
          </w:rPr>
          <w:fldChar w:fldCharType="end"/>
        </w:r>
      </w:p>
      <w:p w:rsidR="00D14733" w:rsidRDefault="00D14733">
        <w:pPr>
          <w:pStyle w:val="Header"/>
          <w:jc w:val="right"/>
          <w:rPr>
            <w:noProof/>
          </w:rPr>
        </w:pPr>
        <w:r>
          <w:rPr>
            <w:noProof/>
          </w:rPr>
          <w:t>HH</w:t>
        </w:r>
        <w:r w:rsidR="00A05ADC">
          <w:rPr>
            <w:noProof/>
          </w:rPr>
          <w:t xml:space="preserve"> 408-21</w:t>
        </w:r>
      </w:p>
      <w:p w:rsidR="00CA0662" w:rsidRDefault="00D14733">
        <w:pPr>
          <w:pStyle w:val="Header"/>
          <w:jc w:val="right"/>
        </w:pPr>
        <w:r>
          <w:rPr>
            <w:noProof/>
          </w:rPr>
          <w:t>HC 532/21</w:t>
        </w:r>
      </w:p>
    </w:sdtContent>
  </w:sdt>
  <w:p w:rsidR="00CA0662" w:rsidRDefault="00CA06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82DF2"/>
    <w:multiLevelType w:val="hybridMultilevel"/>
    <w:tmpl w:val="0C66E4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B4A610B"/>
    <w:multiLevelType w:val="hybridMultilevel"/>
    <w:tmpl w:val="EDB4C53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E3"/>
    <w:rsid w:val="000540D9"/>
    <w:rsid w:val="000953EC"/>
    <w:rsid w:val="000C3FE3"/>
    <w:rsid w:val="001523DC"/>
    <w:rsid w:val="00153D27"/>
    <w:rsid w:val="001B2827"/>
    <w:rsid w:val="001B5E26"/>
    <w:rsid w:val="00221A98"/>
    <w:rsid w:val="00272429"/>
    <w:rsid w:val="002F05A2"/>
    <w:rsid w:val="00313F6B"/>
    <w:rsid w:val="003369CD"/>
    <w:rsid w:val="003451B1"/>
    <w:rsid w:val="003632E9"/>
    <w:rsid w:val="00373887"/>
    <w:rsid w:val="00386233"/>
    <w:rsid w:val="003A6D4F"/>
    <w:rsid w:val="004013E2"/>
    <w:rsid w:val="00427606"/>
    <w:rsid w:val="004C174B"/>
    <w:rsid w:val="00551CEA"/>
    <w:rsid w:val="005B6862"/>
    <w:rsid w:val="006011D9"/>
    <w:rsid w:val="0060447E"/>
    <w:rsid w:val="00690E95"/>
    <w:rsid w:val="00746AE3"/>
    <w:rsid w:val="00776BC3"/>
    <w:rsid w:val="007A5493"/>
    <w:rsid w:val="007C2F77"/>
    <w:rsid w:val="007C3D79"/>
    <w:rsid w:val="007D2BCB"/>
    <w:rsid w:val="0081444C"/>
    <w:rsid w:val="00857EF6"/>
    <w:rsid w:val="00872D94"/>
    <w:rsid w:val="008904E9"/>
    <w:rsid w:val="008B76FD"/>
    <w:rsid w:val="008D5E23"/>
    <w:rsid w:val="008F56B6"/>
    <w:rsid w:val="009757D3"/>
    <w:rsid w:val="009A0CE7"/>
    <w:rsid w:val="009B0AFF"/>
    <w:rsid w:val="009B79BF"/>
    <w:rsid w:val="00A026B6"/>
    <w:rsid w:val="00A05ADC"/>
    <w:rsid w:val="00A90F26"/>
    <w:rsid w:val="00A91B67"/>
    <w:rsid w:val="00AE071F"/>
    <w:rsid w:val="00B21090"/>
    <w:rsid w:val="00B703AB"/>
    <w:rsid w:val="00C0384D"/>
    <w:rsid w:val="00C30796"/>
    <w:rsid w:val="00C675E2"/>
    <w:rsid w:val="00CA0662"/>
    <w:rsid w:val="00D14733"/>
    <w:rsid w:val="00D20F15"/>
    <w:rsid w:val="00D3093B"/>
    <w:rsid w:val="00D52A42"/>
    <w:rsid w:val="00D951B3"/>
    <w:rsid w:val="00DC5276"/>
    <w:rsid w:val="00DE0737"/>
    <w:rsid w:val="00E26EA7"/>
    <w:rsid w:val="00E330AB"/>
    <w:rsid w:val="00E57D24"/>
    <w:rsid w:val="00EA20F2"/>
    <w:rsid w:val="00F54433"/>
    <w:rsid w:val="00FE6E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53518-62CE-4D79-8A1A-BCF425C5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E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EA7"/>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A0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662"/>
  </w:style>
  <w:style w:type="paragraph" w:styleId="Footer">
    <w:name w:val="footer"/>
    <w:basedOn w:val="Normal"/>
    <w:link w:val="FooterChar"/>
    <w:uiPriority w:val="99"/>
    <w:unhideWhenUsed/>
    <w:rsid w:val="00CA0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662"/>
  </w:style>
  <w:style w:type="paragraph" w:styleId="BalloonText">
    <w:name w:val="Balloon Text"/>
    <w:basedOn w:val="Normal"/>
    <w:link w:val="BalloonTextChar"/>
    <w:uiPriority w:val="99"/>
    <w:semiHidden/>
    <w:unhideWhenUsed/>
    <w:rsid w:val="00C30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60699">
      <w:bodyDiv w:val="1"/>
      <w:marLeft w:val="0"/>
      <w:marRight w:val="0"/>
      <w:marTop w:val="0"/>
      <w:marBottom w:val="0"/>
      <w:divBdr>
        <w:top w:val="none" w:sz="0" w:space="0" w:color="auto"/>
        <w:left w:val="none" w:sz="0" w:space="0" w:color="auto"/>
        <w:bottom w:val="none" w:sz="0" w:space="0" w:color="auto"/>
        <w:right w:val="none" w:sz="0" w:space="0" w:color="auto"/>
      </w:divBdr>
      <w:divsChild>
        <w:div w:id="370154319">
          <w:marLeft w:val="547"/>
          <w:marRight w:val="0"/>
          <w:marTop w:val="288"/>
          <w:marBottom w:val="0"/>
          <w:divBdr>
            <w:top w:val="none" w:sz="0" w:space="0" w:color="auto"/>
            <w:left w:val="none" w:sz="0" w:space="0" w:color="auto"/>
            <w:bottom w:val="none" w:sz="0" w:space="0" w:color="auto"/>
            <w:right w:val="none" w:sz="0" w:space="0" w:color="auto"/>
          </w:divBdr>
        </w:div>
        <w:div w:id="205147566">
          <w:marLeft w:val="547"/>
          <w:marRight w:val="0"/>
          <w:marTop w:val="288"/>
          <w:marBottom w:val="0"/>
          <w:divBdr>
            <w:top w:val="none" w:sz="0" w:space="0" w:color="auto"/>
            <w:left w:val="none" w:sz="0" w:space="0" w:color="auto"/>
            <w:bottom w:val="none" w:sz="0" w:space="0" w:color="auto"/>
            <w:right w:val="none" w:sz="0" w:space="0" w:color="auto"/>
          </w:divBdr>
        </w:div>
        <w:div w:id="204175009">
          <w:marLeft w:val="547"/>
          <w:marRight w:val="0"/>
          <w:marTop w:val="288"/>
          <w:marBottom w:val="0"/>
          <w:divBdr>
            <w:top w:val="none" w:sz="0" w:space="0" w:color="auto"/>
            <w:left w:val="none" w:sz="0" w:space="0" w:color="auto"/>
            <w:bottom w:val="none" w:sz="0" w:space="0" w:color="auto"/>
            <w:right w:val="none" w:sz="0" w:space="0" w:color="auto"/>
          </w:divBdr>
        </w:div>
        <w:div w:id="939602447">
          <w:marLeft w:val="547"/>
          <w:marRight w:val="0"/>
          <w:marTop w:val="288"/>
          <w:marBottom w:val="0"/>
          <w:divBdr>
            <w:top w:val="none" w:sz="0" w:space="0" w:color="auto"/>
            <w:left w:val="none" w:sz="0" w:space="0" w:color="auto"/>
            <w:bottom w:val="none" w:sz="0" w:space="0" w:color="auto"/>
            <w:right w:val="none" w:sz="0" w:space="0" w:color="auto"/>
          </w:divBdr>
        </w:div>
      </w:divsChild>
    </w:div>
    <w:div w:id="9830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C4E5F-2C39-411F-A8AC-DF751D69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2021-08-05T09:13:00Z</cp:lastPrinted>
  <dcterms:created xsi:type="dcterms:W3CDTF">2021-09-03T10:48:00Z</dcterms:created>
  <dcterms:modified xsi:type="dcterms:W3CDTF">2021-09-03T10:48:00Z</dcterms:modified>
</cp:coreProperties>
</file>