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AA4716">
      <w:pPr>
        <w:spacing w:after="0" w:line="24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041967">
        <w:rPr>
          <w:rFonts w:ascii="Tahoma" w:hAnsi="Tahoma" w:cs="Tahoma"/>
          <w:b/>
          <w:sz w:val="24"/>
          <w:szCs w:val="24"/>
        </w:rPr>
        <w:t>NO.</w:t>
      </w:r>
      <w:proofErr w:type="gramEnd"/>
      <w:r w:rsidR="00041967">
        <w:rPr>
          <w:rFonts w:ascii="Tahoma" w:hAnsi="Tahoma" w:cs="Tahoma"/>
          <w:b/>
          <w:sz w:val="24"/>
          <w:szCs w:val="24"/>
        </w:rPr>
        <w:t xml:space="preserve"> LC/H/</w:t>
      </w:r>
      <w:r w:rsidR="008B4087">
        <w:rPr>
          <w:rFonts w:ascii="Tahoma" w:hAnsi="Tahoma" w:cs="Tahoma"/>
          <w:b/>
          <w:sz w:val="24"/>
          <w:szCs w:val="24"/>
        </w:rPr>
        <w:t>74</w:t>
      </w:r>
      <w:r w:rsidR="00041967">
        <w:rPr>
          <w:rFonts w:ascii="Tahoma" w:hAnsi="Tahoma" w:cs="Tahoma"/>
          <w:b/>
          <w:sz w:val="24"/>
          <w:szCs w:val="24"/>
        </w:rPr>
        <w:t>/2020</w:t>
      </w:r>
    </w:p>
    <w:p w:rsidR="00AA4716" w:rsidRPr="00DF3B3D" w:rsidRDefault="002D1FF8" w:rsidP="00AA4716">
      <w:pPr>
        <w:spacing w:after="0" w:line="240" w:lineRule="auto"/>
        <w:jc w:val="both"/>
        <w:rPr>
          <w:rFonts w:ascii="Tahoma" w:hAnsi="Tahoma" w:cs="Tahoma"/>
          <w:b/>
          <w:sz w:val="24"/>
          <w:szCs w:val="24"/>
        </w:rPr>
      </w:pPr>
      <w:r>
        <w:rPr>
          <w:rFonts w:ascii="Tahoma" w:hAnsi="Tahoma" w:cs="Tahoma"/>
          <w:b/>
          <w:sz w:val="24"/>
          <w:szCs w:val="24"/>
        </w:rPr>
        <w:t>HARARE</w:t>
      </w:r>
      <w:r w:rsidR="006973EE">
        <w:rPr>
          <w:rFonts w:ascii="Tahoma" w:hAnsi="Tahoma" w:cs="Tahoma"/>
          <w:b/>
          <w:sz w:val="24"/>
          <w:szCs w:val="24"/>
        </w:rPr>
        <w:t xml:space="preserve">, </w:t>
      </w:r>
      <w:r w:rsidR="00493A7A">
        <w:rPr>
          <w:rFonts w:ascii="Tahoma" w:hAnsi="Tahoma" w:cs="Tahoma"/>
          <w:b/>
          <w:sz w:val="24"/>
          <w:szCs w:val="24"/>
        </w:rPr>
        <w:t>5 MARCH</w:t>
      </w:r>
      <w:r w:rsidR="00041967">
        <w:rPr>
          <w:rFonts w:ascii="Tahoma" w:hAnsi="Tahoma" w:cs="Tahoma"/>
          <w:b/>
          <w:sz w:val="24"/>
          <w:szCs w:val="24"/>
        </w:rPr>
        <w:t>, 2020</w:t>
      </w:r>
      <w:r w:rsidR="004E5BCA" w:rsidRPr="00DF3B3D">
        <w:rPr>
          <w:rFonts w:ascii="Tahoma" w:hAnsi="Tahoma" w:cs="Tahoma"/>
          <w:b/>
          <w:sz w:val="24"/>
          <w:szCs w:val="24"/>
        </w:rPr>
        <w:tab/>
      </w:r>
      <w:r w:rsidR="004E5BCA" w:rsidRPr="00DF3B3D">
        <w:rPr>
          <w:rFonts w:ascii="Tahoma" w:hAnsi="Tahoma" w:cs="Tahoma"/>
          <w:b/>
          <w:sz w:val="24"/>
          <w:szCs w:val="24"/>
        </w:rPr>
        <w:tab/>
      </w:r>
      <w:r w:rsidR="006973EE">
        <w:rPr>
          <w:rFonts w:ascii="Tahoma" w:hAnsi="Tahoma" w:cs="Tahoma"/>
          <w:b/>
          <w:sz w:val="24"/>
          <w:szCs w:val="24"/>
        </w:rPr>
        <w:t xml:space="preserve">   </w:t>
      </w:r>
      <w:r w:rsidR="0069473E">
        <w:rPr>
          <w:rFonts w:ascii="Tahoma" w:hAnsi="Tahoma" w:cs="Tahoma"/>
          <w:b/>
          <w:sz w:val="24"/>
          <w:szCs w:val="24"/>
        </w:rPr>
        <w:t xml:space="preserve">          </w:t>
      </w:r>
      <w:r w:rsidR="006973EE">
        <w:rPr>
          <w:rFonts w:ascii="Tahoma" w:hAnsi="Tahoma" w:cs="Tahoma"/>
          <w:b/>
          <w:sz w:val="24"/>
          <w:szCs w:val="24"/>
        </w:rPr>
        <w:t xml:space="preserve">  </w:t>
      </w:r>
      <w:r w:rsidR="00041967">
        <w:rPr>
          <w:rFonts w:ascii="Tahoma" w:hAnsi="Tahoma" w:cs="Tahoma"/>
          <w:b/>
          <w:sz w:val="24"/>
          <w:szCs w:val="24"/>
        </w:rPr>
        <w:t>CASE NO. LC/H/</w:t>
      </w:r>
      <w:r w:rsidR="00493A7A">
        <w:rPr>
          <w:rFonts w:ascii="Tahoma" w:hAnsi="Tahoma" w:cs="Tahoma"/>
          <w:b/>
          <w:sz w:val="24"/>
          <w:szCs w:val="24"/>
        </w:rPr>
        <w:t>APP/560/19</w:t>
      </w:r>
    </w:p>
    <w:p w:rsidR="00AA4716" w:rsidRPr="00DF3B3D" w:rsidRDefault="008B4087" w:rsidP="00AA4716">
      <w:pPr>
        <w:spacing w:after="0" w:line="240" w:lineRule="auto"/>
        <w:jc w:val="both"/>
        <w:rPr>
          <w:rFonts w:ascii="Tahoma" w:hAnsi="Tahoma" w:cs="Tahoma"/>
          <w:b/>
          <w:sz w:val="24"/>
          <w:szCs w:val="24"/>
        </w:rPr>
      </w:pPr>
      <w:r>
        <w:rPr>
          <w:rFonts w:ascii="Tahoma" w:hAnsi="Tahoma" w:cs="Tahoma"/>
          <w:b/>
          <w:sz w:val="24"/>
          <w:szCs w:val="24"/>
        </w:rPr>
        <w:t>AND 13 MARCH</w:t>
      </w:r>
      <w:r w:rsidR="00925533">
        <w:rPr>
          <w:rFonts w:ascii="Tahoma" w:hAnsi="Tahoma" w:cs="Tahoma"/>
          <w:b/>
          <w:sz w:val="24"/>
          <w:szCs w:val="24"/>
        </w:rPr>
        <w:t xml:space="preserve">, </w:t>
      </w:r>
      <w:r w:rsidR="00B81811">
        <w:rPr>
          <w:rFonts w:ascii="Tahoma" w:hAnsi="Tahoma" w:cs="Tahoma"/>
          <w:b/>
          <w:sz w:val="24"/>
          <w:szCs w:val="24"/>
        </w:rPr>
        <w:t>2020</w:t>
      </w:r>
    </w:p>
    <w:p w:rsidR="00AA4716" w:rsidRPr="00DF3B3D" w:rsidRDefault="00AA4716" w:rsidP="00AA4716">
      <w:pPr>
        <w:spacing w:after="0" w:line="24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493A7A" w:rsidP="002D1FF8">
      <w:pPr>
        <w:spacing w:after="0" w:line="276" w:lineRule="auto"/>
        <w:jc w:val="both"/>
        <w:rPr>
          <w:rFonts w:ascii="Tahoma" w:hAnsi="Tahoma" w:cs="Tahoma"/>
          <w:b/>
          <w:sz w:val="24"/>
          <w:szCs w:val="24"/>
        </w:rPr>
      </w:pPr>
      <w:r>
        <w:rPr>
          <w:rFonts w:ascii="Tahoma" w:hAnsi="Tahoma" w:cs="Tahoma"/>
          <w:b/>
          <w:sz w:val="24"/>
          <w:szCs w:val="24"/>
        </w:rPr>
        <w:t>TALKMORE MUTSAGO</w:t>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5D7911">
        <w:rPr>
          <w:rFonts w:ascii="Tahoma" w:hAnsi="Tahoma" w:cs="Tahoma"/>
          <w:b/>
          <w:sz w:val="24"/>
          <w:szCs w:val="24"/>
        </w:rPr>
        <w:t>Applic</w:t>
      </w:r>
      <w:r w:rsidR="007D0472">
        <w:rPr>
          <w:rFonts w:ascii="Tahoma" w:hAnsi="Tahoma" w:cs="Tahoma"/>
          <w:b/>
          <w:sz w:val="24"/>
          <w:szCs w:val="24"/>
        </w:rPr>
        <w:t>ant</w:t>
      </w:r>
    </w:p>
    <w:p w:rsidR="00590F1A" w:rsidRDefault="00590F1A" w:rsidP="002D1FF8">
      <w:pPr>
        <w:spacing w:after="0" w:line="276" w:lineRule="auto"/>
        <w:jc w:val="both"/>
        <w:rPr>
          <w:rFonts w:ascii="Tahoma" w:hAnsi="Tahoma" w:cs="Tahoma"/>
          <w:b/>
          <w:sz w:val="24"/>
          <w:szCs w:val="24"/>
        </w:rPr>
      </w:pPr>
    </w:p>
    <w:p w:rsidR="004F2711" w:rsidRDefault="004F2711" w:rsidP="002D1FF8">
      <w:pPr>
        <w:spacing w:after="0" w:line="276" w:lineRule="auto"/>
        <w:jc w:val="both"/>
        <w:rPr>
          <w:rFonts w:ascii="Tahoma" w:hAnsi="Tahoma" w:cs="Tahoma"/>
          <w:b/>
          <w:sz w:val="24"/>
          <w:szCs w:val="24"/>
        </w:rPr>
      </w:pPr>
    </w:p>
    <w:p w:rsidR="008B4087" w:rsidRDefault="00493A7A" w:rsidP="002D1FF8">
      <w:pPr>
        <w:spacing w:after="0" w:line="276" w:lineRule="auto"/>
        <w:jc w:val="both"/>
        <w:rPr>
          <w:rFonts w:ascii="Tahoma" w:hAnsi="Tahoma" w:cs="Tahoma"/>
          <w:b/>
          <w:sz w:val="24"/>
          <w:szCs w:val="24"/>
        </w:rPr>
      </w:pPr>
      <w:r>
        <w:rPr>
          <w:rFonts w:ascii="Tahoma" w:hAnsi="Tahoma" w:cs="Tahoma"/>
          <w:b/>
          <w:sz w:val="24"/>
          <w:szCs w:val="24"/>
        </w:rPr>
        <w:t>TM SUPERMARKETS (PRIVATE) LIMITED</w:t>
      </w:r>
      <w:r w:rsidR="00277D46">
        <w:rPr>
          <w:rFonts w:ascii="Tahoma" w:hAnsi="Tahoma" w:cs="Tahoma"/>
          <w:b/>
          <w:sz w:val="24"/>
          <w:szCs w:val="24"/>
        </w:rPr>
        <w:tab/>
      </w:r>
      <w:r w:rsidR="004C4AAA">
        <w:rPr>
          <w:rFonts w:ascii="Tahoma" w:hAnsi="Tahoma" w:cs="Tahoma"/>
          <w:b/>
          <w:sz w:val="24"/>
          <w:szCs w:val="24"/>
        </w:rPr>
        <w:tab/>
      </w:r>
      <w:r w:rsidR="004C4AAA">
        <w:rPr>
          <w:rFonts w:ascii="Tahoma" w:hAnsi="Tahoma" w:cs="Tahoma"/>
          <w:b/>
          <w:sz w:val="24"/>
          <w:szCs w:val="24"/>
        </w:rPr>
        <w:tab/>
      </w:r>
      <w:r w:rsidR="00C319EC">
        <w:rPr>
          <w:rFonts w:ascii="Tahoma" w:hAnsi="Tahoma" w:cs="Tahoma"/>
          <w:b/>
          <w:sz w:val="24"/>
          <w:szCs w:val="24"/>
        </w:rPr>
        <w:tab/>
      </w:r>
      <w:r w:rsidR="004F2711">
        <w:rPr>
          <w:rFonts w:ascii="Tahoma" w:hAnsi="Tahoma" w:cs="Tahoma"/>
          <w:b/>
          <w:sz w:val="24"/>
          <w:szCs w:val="24"/>
        </w:rPr>
        <w:t>Respondent</w:t>
      </w:r>
    </w:p>
    <w:p w:rsidR="008B4087" w:rsidRDefault="008B4087" w:rsidP="002D1FF8">
      <w:pPr>
        <w:spacing w:after="0" w:line="276" w:lineRule="auto"/>
        <w:jc w:val="both"/>
        <w:rPr>
          <w:rFonts w:ascii="Tahoma" w:hAnsi="Tahoma" w:cs="Tahoma"/>
          <w:b/>
          <w:sz w:val="24"/>
          <w:szCs w:val="24"/>
        </w:rPr>
      </w:pPr>
    </w:p>
    <w:p w:rsidR="008B4087" w:rsidRDefault="008B4087" w:rsidP="002D1FF8">
      <w:pPr>
        <w:spacing w:after="0" w:line="276" w:lineRule="auto"/>
        <w:jc w:val="both"/>
        <w:rPr>
          <w:rFonts w:ascii="Tahoma" w:hAnsi="Tahoma" w:cs="Tahoma"/>
          <w:b/>
          <w:sz w:val="24"/>
          <w:szCs w:val="24"/>
        </w:rPr>
      </w:pPr>
    </w:p>
    <w:p w:rsidR="00283F6F" w:rsidRDefault="00283F6F" w:rsidP="002D1FF8">
      <w:pPr>
        <w:spacing w:after="0" w:line="276"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AA4716" w:rsidP="002D1FF8">
      <w:pPr>
        <w:spacing w:after="0" w:line="276" w:lineRule="auto"/>
        <w:jc w:val="both"/>
        <w:rPr>
          <w:rFonts w:ascii="Tahoma" w:hAnsi="Tahoma" w:cs="Tahoma"/>
          <w:b/>
          <w:sz w:val="24"/>
          <w:szCs w:val="24"/>
        </w:rPr>
      </w:pPr>
      <w:r w:rsidRPr="00DF3B3D">
        <w:rPr>
          <w:rFonts w:ascii="Tahoma" w:hAnsi="Tahoma" w:cs="Tahoma"/>
          <w:b/>
          <w:sz w:val="24"/>
          <w:szCs w:val="24"/>
        </w:rPr>
        <w:t xml:space="preserve">Before The Honorable G </w:t>
      </w:r>
      <w:proofErr w:type="spellStart"/>
      <w:r w:rsidRPr="00DF3B3D">
        <w:rPr>
          <w:rFonts w:ascii="Tahoma" w:hAnsi="Tahoma" w:cs="Tahoma"/>
          <w:b/>
          <w:sz w:val="24"/>
          <w:szCs w:val="24"/>
        </w:rPr>
        <w:t>Musariri</w:t>
      </w:r>
      <w:proofErr w:type="spellEnd"/>
      <w:r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5D7911">
        <w:rPr>
          <w:rFonts w:ascii="Tahoma" w:hAnsi="Tahoma" w:cs="Tahoma"/>
          <w:sz w:val="24"/>
          <w:szCs w:val="24"/>
        </w:rPr>
        <w:t>Applicant</w:t>
      </w:r>
      <w:r w:rsidR="005D7911">
        <w:rPr>
          <w:rFonts w:ascii="Tahoma" w:hAnsi="Tahoma" w:cs="Tahoma"/>
          <w:sz w:val="24"/>
          <w:szCs w:val="24"/>
        </w:rPr>
        <w:tab/>
      </w:r>
      <w:r w:rsidR="005D7911">
        <w:rPr>
          <w:rFonts w:ascii="Tahoma" w:hAnsi="Tahoma" w:cs="Tahoma"/>
          <w:sz w:val="24"/>
          <w:szCs w:val="24"/>
        </w:rPr>
        <w:tab/>
      </w:r>
      <w:r w:rsidRPr="00DF3B3D">
        <w:rPr>
          <w:rFonts w:ascii="Tahoma" w:hAnsi="Tahoma" w:cs="Tahoma"/>
          <w:sz w:val="24"/>
          <w:szCs w:val="24"/>
        </w:rPr>
        <w:tab/>
      </w:r>
      <w:r w:rsidR="00C319EC">
        <w:rPr>
          <w:rFonts w:ascii="Tahoma" w:hAnsi="Tahoma" w:cs="Tahoma"/>
          <w:sz w:val="24"/>
          <w:szCs w:val="24"/>
        </w:rPr>
        <w:tab/>
      </w:r>
      <w:proofErr w:type="spellStart"/>
      <w:r w:rsidR="00493A7A">
        <w:rPr>
          <w:rFonts w:ascii="Tahoma" w:hAnsi="Tahoma" w:cs="Tahoma"/>
          <w:sz w:val="24"/>
          <w:szCs w:val="24"/>
        </w:rPr>
        <w:t>Mr</w:t>
      </w:r>
      <w:proofErr w:type="spellEnd"/>
      <w:r w:rsidR="00493A7A">
        <w:rPr>
          <w:rFonts w:ascii="Tahoma" w:hAnsi="Tahoma" w:cs="Tahoma"/>
          <w:sz w:val="24"/>
          <w:szCs w:val="24"/>
        </w:rPr>
        <w:t xml:space="preserve"> T. </w:t>
      </w:r>
      <w:proofErr w:type="spellStart"/>
      <w:r w:rsidR="00493A7A">
        <w:rPr>
          <w:rFonts w:ascii="Tahoma" w:hAnsi="Tahoma" w:cs="Tahoma"/>
          <w:sz w:val="24"/>
          <w:szCs w:val="24"/>
        </w:rPr>
        <w:t>Muzana</w:t>
      </w:r>
      <w:proofErr w:type="spellEnd"/>
      <w:r w:rsidR="004C4AAA">
        <w:rPr>
          <w:rFonts w:ascii="Tahoma" w:hAnsi="Tahoma" w:cs="Tahoma"/>
          <w:sz w:val="24"/>
          <w:szCs w:val="24"/>
        </w:rPr>
        <w:t>,</w:t>
      </w:r>
      <w:r w:rsidR="0030383B">
        <w:rPr>
          <w:rFonts w:ascii="Tahoma" w:hAnsi="Tahoma" w:cs="Tahoma"/>
          <w:sz w:val="24"/>
          <w:szCs w:val="24"/>
        </w:rPr>
        <w:t xml:space="preserve"> </w:t>
      </w:r>
      <w:r w:rsidR="00493A7A">
        <w:rPr>
          <w:rFonts w:ascii="Tahoma" w:hAnsi="Tahoma" w:cs="Tahoma"/>
          <w:sz w:val="24"/>
          <w:szCs w:val="24"/>
        </w:rPr>
        <w:t>Attorney</w:t>
      </w:r>
    </w:p>
    <w:p w:rsidR="00AA4716" w:rsidRDefault="004F2711" w:rsidP="004F2711">
      <w:pPr>
        <w:spacing w:after="0" w:line="360" w:lineRule="auto"/>
        <w:jc w:val="both"/>
        <w:rPr>
          <w:rFonts w:ascii="Tahoma" w:hAnsi="Tahoma" w:cs="Tahoma"/>
          <w:sz w:val="24"/>
          <w:szCs w:val="24"/>
        </w:rPr>
      </w:pPr>
      <w:r>
        <w:rPr>
          <w:rFonts w:ascii="Tahoma" w:hAnsi="Tahoma" w:cs="Tahoma"/>
          <w:sz w:val="24"/>
          <w:szCs w:val="24"/>
        </w:rPr>
        <w:t>For Respondent</w:t>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proofErr w:type="spellStart"/>
      <w:r w:rsidR="00493A7A">
        <w:rPr>
          <w:rFonts w:ascii="Tahoma" w:hAnsi="Tahoma" w:cs="Tahoma"/>
          <w:sz w:val="24"/>
          <w:szCs w:val="24"/>
        </w:rPr>
        <w:t>Ms</w:t>
      </w:r>
      <w:proofErr w:type="spellEnd"/>
      <w:r w:rsidR="00493A7A">
        <w:rPr>
          <w:rFonts w:ascii="Tahoma" w:hAnsi="Tahoma" w:cs="Tahoma"/>
          <w:sz w:val="24"/>
          <w:szCs w:val="24"/>
        </w:rPr>
        <w:t xml:space="preserve"> M. </w:t>
      </w:r>
      <w:proofErr w:type="spellStart"/>
      <w:r w:rsidR="00493A7A">
        <w:rPr>
          <w:rFonts w:ascii="Tahoma" w:hAnsi="Tahoma" w:cs="Tahoma"/>
          <w:sz w:val="24"/>
          <w:szCs w:val="24"/>
        </w:rPr>
        <w:t>Kaseke</w:t>
      </w:r>
      <w:proofErr w:type="spellEnd"/>
      <w:r w:rsidR="005D7911">
        <w:rPr>
          <w:rFonts w:ascii="Tahoma" w:hAnsi="Tahoma" w:cs="Tahoma"/>
          <w:sz w:val="24"/>
          <w:szCs w:val="24"/>
        </w:rPr>
        <w:t>, Attorney</w:t>
      </w:r>
    </w:p>
    <w:p w:rsidR="004F2711" w:rsidRPr="00DF3B3D" w:rsidRDefault="004F2711" w:rsidP="004F2711">
      <w:pPr>
        <w:spacing w:after="0" w:line="360" w:lineRule="auto"/>
        <w:jc w:val="both"/>
        <w:rPr>
          <w:rFonts w:ascii="Tahoma" w:hAnsi="Tahoma" w:cs="Tahoma"/>
          <w:sz w:val="24"/>
          <w:szCs w:val="24"/>
        </w:rPr>
      </w:pPr>
    </w:p>
    <w:p w:rsidR="00AA4716" w:rsidRDefault="00AA4716" w:rsidP="00AA4716">
      <w:pPr>
        <w:spacing w:after="0" w:line="360" w:lineRule="auto"/>
        <w:jc w:val="both"/>
        <w:rPr>
          <w:rFonts w:ascii="Tahoma" w:hAnsi="Tahoma" w:cs="Tahoma"/>
          <w:b/>
          <w:sz w:val="24"/>
          <w:szCs w:val="24"/>
        </w:rPr>
      </w:pPr>
      <w:r w:rsidRPr="00DF3B3D">
        <w:rPr>
          <w:rFonts w:ascii="Tahoma" w:hAnsi="Tahoma" w:cs="Tahoma"/>
          <w:b/>
          <w:sz w:val="24"/>
          <w:szCs w:val="24"/>
        </w:rPr>
        <w:t>MUSARIRI J:</w:t>
      </w:r>
    </w:p>
    <w:p w:rsidR="00AC7A57" w:rsidRDefault="00AC7A57" w:rsidP="00AA4716">
      <w:pPr>
        <w:spacing w:after="0" w:line="360" w:lineRule="auto"/>
        <w:jc w:val="both"/>
        <w:rPr>
          <w:rFonts w:ascii="Tahoma" w:hAnsi="Tahoma" w:cs="Tahoma"/>
          <w:b/>
          <w:sz w:val="24"/>
          <w:szCs w:val="24"/>
        </w:rPr>
      </w:pPr>
    </w:p>
    <w:p w:rsidR="00B57A53" w:rsidRDefault="005D7911" w:rsidP="00493A7A">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Pr>
          <w:rFonts w:ascii="Tahoma" w:hAnsi="Tahoma" w:cs="Tahoma"/>
          <w:sz w:val="24"/>
          <w:szCs w:val="24"/>
        </w:rPr>
        <w:t>Applicant applied to this C</w:t>
      </w:r>
      <w:r w:rsidRPr="005D7911">
        <w:rPr>
          <w:rFonts w:ascii="Tahoma" w:hAnsi="Tahoma" w:cs="Tahoma"/>
          <w:sz w:val="24"/>
          <w:szCs w:val="24"/>
        </w:rPr>
        <w:t>ourt</w:t>
      </w:r>
      <w:r>
        <w:rPr>
          <w:rFonts w:ascii="Tahoma" w:hAnsi="Tahoma" w:cs="Tahoma"/>
          <w:sz w:val="24"/>
          <w:szCs w:val="24"/>
        </w:rPr>
        <w:t xml:space="preserve"> </w:t>
      </w:r>
      <w:r w:rsidR="00041967">
        <w:rPr>
          <w:rFonts w:ascii="Tahoma" w:hAnsi="Tahoma" w:cs="Tahoma"/>
          <w:sz w:val="24"/>
          <w:szCs w:val="24"/>
        </w:rPr>
        <w:t xml:space="preserve">for </w:t>
      </w:r>
      <w:r w:rsidR="00493A7A">
        <w:rPr>
          <w:rFonts w:ascii="Tahoma" w:hAnsi="Tahoma" w:cs="Tahoma"/>
          <w:sz w:val="24"/>
          <w:szCs w:val="24"/>
        </w:rPr>
        <w:t>condonation of a belated quest for review. Respondent opposed the application. He worked for the Respondent as a Bookkeeper. He was charged with misconduct. A hearing was held in his absence. A guilty verdict was re</w:t>
      </w:r>
      <w:r w:rsidR="00590F1A">
        <w:rPr>
          <w:rFonts w:ascii="Tahoma" w:hAnsi="Tahoma" w:cs="Tahoma"/>
          <w:sz w:val="24"/>
          <w:szCs w:val="24"/>
        </w:rPr>
        <w:t>turned. The punishment therefor</w:t>
      </w:r>
      <w:r w:rsidR="00493A7A">
        <w:rPr>
          <w:rFonts w:ascii="Tahoma" w:hAnsi="Tahoma" w:cs="Tahoma"/>
          <w:sz w:val="24"/>
          <w:szCs w:val="24"/>
        </w:rPr>
        <w:t xml:space="preserve"> was his dismissal from employment. The termination letter is dated the </w:t>
      </w:r>
      <w:r w:rsidR="00493A7A" w:rsidRPr="00CA5DB7">
        <w:rPr>
          <w:rFonts w:ascii="Tahoma" w:hAnsi="Tahoma" w:cs="Tahoma"/>
          <w:sz w:val="24"/>
          <w:szCs w:val="24"/>
        </w:rPr>
        <w:t>8</w:t>
      </w:r>
      <w:r w:rsidR="00493A7A" w:rsidRPr="00CA5DB7">
        <w:rPr>
          <w:rFonts w:ascii="Tahoma" w:hAnsi="Tahoma" w:cs="Tahoma"/>
          <w:sz w:val="24"/>
          <w:szCs w:val="24"/>
          <w:vertAlign w:val="superscript"/>
        </w:rPr>
        <w:t>th</w:t>
      </w:r>
      <w:r w:rsidR="00493A7A" w:rsidRPr="00CA5DB7">
        <w:rPr>
          <w:rFonts w:ascii="Tahoma" w:hAnsi="Tahoma" w:cs="Tahoma"/>
          <w:sz w:val="24"/>
          <w:szCs w:val="24"/>
        </w:rPr>
        <w:t xml:space="preserve"> April 2019.</w:t>
      </w:r>
      <w:r w:rsidR="00493A7A">
        <w:rPr>
          <w:rFonts w:ascii="Tahoma" w:hAnsi="Tahoma" w:cs="Tahoma"/>
          <w:sz w:val="24"/>
          <w:szCs w:val="24"/>
        </w:rPr>
        <w:t xml:space="preserve"> This application for condonation was filed on the 1</w:t>
      </w:r>
      <w:r w:rsidR="00493A7A" w:rsidRPr="00493A7A">
        <w:rPr>
          <w:rFonts w:ascii="Tahoma" w:hAnsi="Tahoma" w:cs="Tahoma"/>
          <w:sz w:val="24"/>
          <w:szCs w:val="24"/>
          <w:vertAlign w:val="superscript"/>
        </w:rPr>
        <w:t>st</w:t>
      </w:r>
      <w:r w:rsidR="00493A7A">
        <w:rPr>
          <w:rFonts w:ascii="Tahoma" w:hAnsi="Tahoma" w:cs="Tahoma"/>
          <w:sz w:val="24"/>
          <w:szCs w:val="24"/>
        </w:rPr>
        <w:t xml:space="preserve"> October 2019. The intervening period amounts to six (6) months. The </w:t>
      </w:r>
      <w:r w:rsidR="00493A7A" w:rsidRPr="00493A7A">
        <w:rPr>
          <w:rFonts w:ascii="Tahoma" w:hAnsi="Tahoma" w:cs="Tahoma"/>
          <w:sz w:val="24"/>
          <w:szCs w:val="24"/>
          <w:u w:val="single"/>
        </w:rPr>
        <w:t>Labour Court Rules</w:t>
      </w:r>
      <w:r w:rsidR="00590F1A">
        <w:rPr>
          <w:rFonts w:ascii="Tahoma" w:hAnsi="Tahoma" w:cs="Tahoma"/>
          <w:sz w:val="24"/>
          <w:szCs w:val="24"/>
        </w:rPr>
        <w:t xml:space="preserve"> S.I 150/17 in Rule 20</w:t>
      </w:r>
      <w:r w:rsidR="00493A7A">
        <w:rPr>
          <w:rFonts w:ascii="Tahoma" w:hAnsi="Tahoma" w:cs="Tahoma"/>
          <w:sz w:val="24"/>
          <w:szCs w:val="24"/>
        </w:rPr>
        <w:t xml:space="preserve">(1) </w:t>
      </w:r>
      <w:proofErr w:type="gramStart"/>
      <w:r w:rsidR="00493A7A">
        <w:rPr>
          <w:rFonts w:ascii="Tahoma" w:hAnsi="Tahoma" w:cs="Tahoma"/>
          <w:sz w:val="24"/>
          <w:szCs w:val="24"/>
        </w:rPr>
        <w:t>require</w:t>
      </w:r>
      <w:proofErr w:type="gramEnd"/>
      <w:r w:rsidR="00493A7A">
        <w:rPr>
          <w:rFonts w:ascii="Tahoma" w:hAnsi="Tahoma" w:cs="Tahoma"/>
          <w:sz w:val="24"/>
          <w:szCs w:val="24"/>
        </w:rPr>
        <w:t xml:space="preserve"> that a review be brought within twenty-one days from the date proceedings are concluded. Thus excluding the permitted period, Applicant’s intended review is five (5) months late.</w:t>
      </w:r>
    </w:p>
    <w:p w:rsidR="00493A7A" w:rsidRDefault="00493A7A" w:rsidP="00493A7A">
      <w:pPr>
        <w:spacing w:after="0" w:line="360" w:lineRule="auto"/>
        <w:jc w:val="both"/>
        <w:rPr>
          <w:rFonts w:ascii="Tahoma" w:hAnsi="Tahoma" w:cs="Tahoma"/>
          <w:sz w:val="24"/>
          <w:szCs w:val="24"/>
        </w:rPr>
      </w:pPr>
    </w:p>
    <w:p w:rsidR="00E95B53" w:rsidRDefault="00493A7A" w:rsidP="00493A7A">
      <w:pPr>
        <w:spacing w:after="0" w:line="360" w:lineRule="auto"/>
        <w:jc w:val="both"/>
        <w:rPr>
          <w:rFonts w:ascii="Tahoma" w:hAnsi="Tahoma" w:cs="Tahoma"/>
          <w:sz w:val="24"/>
          <w:szCs w:val="24"/>
        </w:rPr>
      </w:pPr>
      <w:r>
        <w:rPr>
          <w:rFonts w:ascii="Tahoma" w:hAnsi="Tahoma" w:cs="Tahoma"/>
          <w:sz w:val="24"/>
          <w:szCs w:val="24"/>
        </w:rPr>
        <w:tab/>
        <w:t>Applicant tendered an explanation for the delay. He stated that his job with Respondent was his sole source of income. When he was terminated he was left</w:t>
      </w:r>
      <w:r w:rsidR="00C40F0A">
        <w:rPr>
          <w:rFonts w:ascii="Tahoma" w:hAnsi="Tahoma" w:cs="Tahoma"/>
          <w:sz w:val="24"/>
          <w:szCs w:val="24"/>
        </w:rPr>
        <w:t xml:space="preserve"> without an income.  At the same time he was attending his trial in a criminal court </w:t>
      </w:r>
      <w:r w:rsidR="00C40F0A">
        <w:rPr>
          <w:rFonts w:ascii="Tahoma" w:hAnsi="Tahoma" w:cs="Tahoma"/>
          <w:sz w:val="24"/>
          <w:szCs w:val="24"/>
        </w:rPr>
        <w:lastRenderedPageBreak/>
        <w:t>arising from the facts of this case. He c</w:t>
      </w:r>
      <w:r w:rsidR="00590F1A">
        <w:rPr>
          <w:rFonts w:ascii="Tahoma" w:hAnsi="Tahoma" w:cs="Tahoma"/>
          <w:sz w:val="24"/>
          <w:szCs w:val="24"/>
        </w:rPr>
        <w:t>ould not raise money to brief an</w:t>
      </w:r>
      <w:r w:rsidR="00C40F0A">
        <w:rPr>
          <w:rFonts w:ascii="Tahoma" w:hAnsi="Tahoma" w:cs="Tahoma"/>
          <w:sz w:val="24"/>
          <w:szCs w:val="24"/>
        </w:rPr>
        <w:t xml:space="preserve"> attorney to apply for review. He has since managed to instruct his present attorney to file papers. </w:t>
      </w:r>
    </w:p>
    <w:p w:rsidR="00E95B53" w:rsidRDefault="00E95B53" w:rsidP="00493A7A">
      <w:pPr>
        <w:spacing w:after="0" w:line="360" w:lineRule="auto"/>
        <w:jc w:val="both"/>
        <w:rPr>
          <w:rFonts w:ascii="Tahoma" w:hAnsi="Tahoma" w:cs="Tahoma"/>
          <w:sz w:val="24"/>
          <w:szCs w:val="24"/>
        </w:rPr>
      </w:pPr>
    </w:p>
    <w:p w:rsidR="00E95B53" w:rsidRDefault="00E95B53" w:rsidP="00493A7A">
      <w:pPr>
        <w:spacing w:after="0" w:line="360" w:lineRule="auto"/>
        <w:jc w:val="both"/>
        <w:rPr>
          <w:rFonts w:ascii="Tahoma" w:hAnsi="Tahoma" w:cs="Tahoma"/>
          <w:sz w:val="24"/>
          <w:szCs w:val="24"/>
        </w:rPr>
      </w:pPr>
    </w:p>
    <w:p w:rsidR="00493A7A" w:rsidRDefault="00C40F0A" w:rsidP="00493A7A">
      <w:pPr>
        <w:spacing w:after="0" w:line="360" w:lineRule="auto"/>
        <w:jc w:val="both"/>
        <w:rPr>
          <w:rFonts w:ascii="Tahoma" w:hAnsi="Tahoma" w:cs="Tahoma"/>
          <w:sz w:val="24"/>
          <w:szCs w:val="24"/>
        </w:rPr>
      </w:pPr>
      <w:r>
        <w:rPr>
          <w:rFonts w:ascii="Tahoma" w:hAnsi="Tahoma" w:cs="Tahoma"/>
          <w:sz w:val="24"/>
          <w:szCs w:val="24"/>
        </w:rPr>
        <w:t>However</w:t>
      </w:r>
      <w:r w:rsidR="00E95B53">
        <w:rPr>
          <w:rFonts w:ascii="Tahoma" w:hAnsi="Tahoma" w:cs="Tahoma"/>
          <w:sz w:val="24"/>
          <w:szCs w:val="24"/>
        </w:rPr>
        <w:t>,</w:t>
      </w:r>
      <w:r>
        <w:rPr>
          <w:rFonts w:ascii="Tahoma" w:hAnsi="Tahoma" w:cs="Tahoma"/>
          <w:sz w:val="24"/>
          <w:szCs w:val="24"/>
        </w:rPr>
        <w:t xml:space="preserve"> he has not clarified if, when and how he managed to raise funds for legal fees.</w:t>
      </w:r>
      <w:r w:rsidR="00E95B53">
        <w:rPr>
          <w:rFonts w:ascii="Tahoma" w:hAnsi="Tahoma" w:cs="Tahoma"/>
          <w:sz w:val="24"/>
          <w:szCs w:val="24"/>
        </w:rPr>
        <w:t xml:space="preserve"> Applicant submitted he has good prospects of success in the intended review. He stated that </w:t>
      </w:r>
      <w:r w:rsidR="00590F1A">
        <w:rPr>
          <w:rFonts w:ascii="Tahoma" w:hAnsi="Tahoma" w:cs="Tahoma"/>
          <w:sz w:val="24"/>
          <w:szCs w:val="24"/>
        </w:rPr>
        <w:t xml:space="preserve">he </w:t>
      </w:r>
      <w:r w:rsidR="00E95B53">
        <w:rPr>
          <w:rFonts w:ascii="Tahoma" w:hAnsi="Tahoma" w:cs="Tahoma"/>
          <w:sz w:val="24"/>
          <w:szCs w:val="24"/>
        </w:rPr>
        <w:t>was not served with the notification to appear at the disciplinary hearing. Therefore he did not attend the hearing. The non-service of the notice amounted to an irregularity warranting the nullification of his dismissal. That was the crux of his case on the merits.</w:t>
      </w:r>
    </w:p>
    <w:p w:rsidR="002C1424" w:rsidRDefault="002C1424" w:rsidP="00493A7A">
      <w:pPr>
        <w:spacing w:after="0" w:line="360" w:lineRule="auto"/>
        <w:jc w:val="both"/>
        <w:rPr>
          <w:rFonts w:ascii="Tahoma" w:hAnsi="Tahoma" w:cs="Tahoma"/>
          <w:sz w:val="24"/>
          <w:szCs w:val="24"/>
        </w:rPr>
      </w:pPr>
    </w:p>
    <w:p w:rsidR="00E95B53" w:rsidRDefault="00E95B53" w:rsidP="002C1424">
      <w:pPr>
        <w:spacing w:after="0" w:line="360" w:lineRule="auto"/>
        <w:ind w:firstLine="720"/>
        <w:jc w:val="both"/>
        <w:rPr>
          <w:rFonts w:ascii="Tahoma" w:hAnsi="Tahoma" w:cs="Tahoma"/>
          <w:sz w:val="24"/>
          <w:szCs w:val="24"/>
        </w:rPr>
      </w:pPr>
      <w:r>
        <w:rPr>
          <w:rFonts w:ascii="Tahoma" w:hAnsi="Tahoma" w:cs="Tahoma"/>
          <w:sz w:val="24"/>
          <w:szCs w:val="24"/>
        </w:rPr>
        <w:t xml:space="preserve">Respondent argued that </w:t>
      </w:r>
      <w:r w:rsidRPr="00CA5DB7">
        <w:rPr>
          <w:rFonts w:ascii="Tahoma" w:hAnsi="Tahoma" w:cs="Tahoma"/>
          <w:i/>
          <w:sz w:val="24"/>
          <w:szCs w:val="24"/>
        </w:rPr>
        <w:t>“…Applicant’s failure to raise funds to finance this</w:t>
      </w:r>
      <w:r>
        <w:rPr>
          <w:rFonts w:ascii="Tahoma" w:hAnsi="Tahoma" w:cs="Tahoma"/>
          <w:sz w:val="24"/>
          <w:szCs w:val="24"/>
        </w:rPr>
        <w:t xml:space="preserve"> </w:t>
      </w:r>
      <w:r w:rsidRPr="00CA5DB7">
        <w:rPr>
          <w:rFonts w:ascii="Tahoma" w:hAnsi="Tahoma" w:cs="Tahoma"/>
          <w:i/>
          <w:sz w:val="24"/>
          <w:szCs w:val="24"/>
        </w:rPr>
        <w:t>matter does not suffice as a reasonable excuse for his delay in noting his review.”</w:t>
      </w:r>
      <w:r>
        <w:rPr>
          <w:rFonts w:ascii="Tahoma" w:hAnsi="Tahoma" w:cs="Tahoma"/>
          <w:sz w:val="24"/>
          <w:szCs w:val="24"/>
        </w:rPr>
        <w:t xml:space="preserve"> It quoted a 2016 South African legal precedent to the effect that mere lack of funds is an insufficient </w:t>
      </w:r>
      <w:proofErr w:type="spellStart"/>
      <w:r>
        <w:rPr>
          <w:rFonts w:ascii="Tahoma" w:hAnsi="Tahoma" w:cs="Tahoma"/>
          <w:sz w:val="24"/>
          <w:szCs w:val="24"/>
        </w:rPr>
        <w:t>defence</w:t>
      </w:r>
      <w:proofErr w:type="spellEnd"/>
      <w:r>
        <w:rPr>
          <w:rFonts w:ascii="Tahoma" w:hAnsi="Tahoma" w:cs="Tahoma"/>
          <w:sz w:val="24"/>
          <w:szCs w:val="24"/>
        </w:rPr>
        <w:t>. Respondent further submitted that Applicant does not have good prospects of success on the merits</w:t>
      </w:r>
      <w:r w:rsidR="00933AD1">
        <w:rPr>
          <w:rFonts w:ascii="Tahoma" w:hAnsi="Tahoma" w:cs="Tahoma"/>
          <w:sz w:val="24"/>
          <w:szCs w:val="24"/>
        </w:rPr>
        <w:t xml:space="preserve">. To bolster its position, it relied on a letter dated </w:t>
      </w:r>
      <w:r w:rsidR="00590F1A">
        <w:rPr>
          <w:rFonts w:ascii="Tahoma" w:hAnsi="Tahoma" w:cs="Tahoma"/>
          <w:sz w:val="24"/>
          <w:szCs w:val="24"/>
        </w:rPr>
        <w:t xml:space="preserve">the </w:t>
      </w:r>
      <w:r w:rsidR="00933AD1">
        <w:rPr>
          <w:rFonts w:ascii="Tahoma" w:hAnsi="Tahoma" w:cs="Tahoma"/>
          <w:sz w:val="24"/>
          <w:szCs w:val="24"/>
        </w:rPr>
        <w:t>14</w:t>
      </w:r>
      <w:r w:rsidR="00933AD1" w:rsidRPr="00933AD1">
        <w:rPr>
          <w:rFonts w:ascii="Tahoma" w:hAnsi="Tahoma" w:cs="Tahoma"/>
          <w:sz w:val="24"/>
          <w:szCs w:val="24"/>
          <w:vertAlign w:val="superscript"/>
        </w:rPr>
        <w:t>th</w:t>
      </w:r>
      <w:r w:rsidR="00933AD1">
        <w:rPr>
          <w:rFonts w:ascii="Tahoma" w:hAnsi="Tahoma" w:cs="Tahoma"/>
          <w:sz w:val="24"/>
          <w:szCs w:val="24"/>
        </w:rPr>
        <w:t xml:space="preserve"> October 2019. Same was signed by its driver. The latter claimed that he delivered the notification by pushing it under the door</w:t>
      </w:r>
      <w:r w:rsidR="00590F1A">
        <w:rPr>
          <w:rFonts w:ascii="Tahoma" w:hAnsi="Tahoma" w:cs="Tahoma"/>
          <w:sz w:val="24"/>
          <w:szCs w:val="24"/>
        </w:rPr>
        <w:t xml:space="preserve"> at Applicant’s residence</w:t>
      </w:r>
      <w:r w:rsidR="00933AD1">
        <w:rPr>
          <w:rFonts w:ascii="Tahoma" w:hAnsi="Tahoma" w:cs="Tahoma"/>
          <w:sz w:val="24"/>
          <w:szCs w:val="24"/>
        </w:rPr>
        <w:t>. We have the driver’s word arrayed against Applicant’s sworn denial.</w:t>
      </w:r>
      <w:r w:rsidR="002C1424">
        <w:rPr>
          <w:rFonts w:ascii="Tahoma" w:hAnsi="Tahoma" w:cs="Tahoma"/>
          <w:sz w:val="24"/>
          <w:szCs w:val="24"/>
        </w:rPr>
        <w:t xml:space="preserve"> At this stage I consider it unnecessary to make a finding as to which of the versions is credible. Suffice it to say at this stage Applicant’s denial in the circumstances deserves the benefit of doubt. The issue may be fully ventilated in due course if condonation were granted.</w:t>
      </w:r>
    </w:p>
    <w:p w:rsidR="0030504E" w:rsidRDefault="0030504E" w:rsidP="002C1424">
      <w:pPr>
        <w:spacing w:after="0" w:line="360" w:lineRule="auto"/>
        <w:ind w:firstLine="720"/>
        <w:jc w:val="both"/>
        <w:rPr>
          <w:rFonts w:ascii="Tahoma" w:hAnsi="Tahoma" w:cs="Tahoma"/>
          <w:sz w:val="24"/>
          <w:szCs w:val="24"/>
        </w:rPr>
      </w:pPr>
    </w:p>
    <w:p w:rsidR="0030504E" w:rsidRDefault="0030504E" w:rsidP="00E54DA3">
      <w:pPr>
        <w:spacing w:after="0" w:line="360" w:lineRule="auto"/>
        <w:ind w:firstLine="720"/>
        <w:jc w:val="both"/>
        <w:rPr>
          <w:rFonts w:ascii="Tahoma" w:hAnsi="Tahoma" w:cs="Tahoma"/>
          <w:sz w:val="24"/>
          <w:szCs w:val="24"/>
        </w:rPr>
      </w:pPr>
      <w:r>
        <w:rPr>
          <w:rFonts w:ascii="Tahoma" w:hAnsi="Tahoma" w:cs="Tahoma"/>
          <w:sz w:val="24"/>
          <w:szCs w:val="24"/>
        </w:rPr>
        <w:t xml:space="preserve">I have agonized as regards Applicant’s explanation for delay. It does not fully explain when or how he came into funds. Otherwise it does not explain the basis upon which his present attorney took up his matter. However the explanation is not implausible and neither is the delay inordinate. Applicant has at least an arguable case </w:t>
      </w:r>
      <w:r>
        <w:rPr>
          <w:rFonts w:ascii="Tahoma" w:hAnsi="Tahoma" w:cs="Tahoma"/>
          <w:sz w:val="24"/>
          <w:szCs w:val="24"/>
        </w:rPr>
        <w:lastRenderedPageBreak/>
        <w:t xml:space="preserve">on the merits. On the whole I therefore consider that there is reasonable cause for condonation in </w:t>
      </w:r>
      <w:proofErr w:type="spellStart"/>
      <w:r w:rsidRPr="0030504E">
        <w:rPr>
          <w:rFonts w:ascii="Tahoma" w:hAnsi="Tahoma" w:cs="Tahoma"/>
          <w:i/>
          <w:sz w:val="24"/>
          <w:szCs w:val="24"/>
        </w:rPr>
        <w:t>casu</w:t>
      </w:r>
      <w:proofErr w:type="spellEnd"/>
      <w:r w:rsidRPr="0030504E">
        <w:rPr>
          <w:rFonts w:ascii="Tahoma" w:hAnsi="Tahoma" w:cs="Tahoma"/>
          <w:i/>
          <w:sz w:val="24"/>
          <w:szCs w:val="24"/>
        </w:rPr>
        <w:t>.</w:t>
      </w:r>
    </w:p>
    <w:p w:rsidR="0030504E" w:rsidRDefault="0030504E" w:rsidP="0030504E">
      <w:pPr>
        <w:spacing w:after="0" w:line="360" w:lineRule="auto"/>
        <w:jc w:val="both"/>
        <w:rPr>
          <w:rFonts w:ascii="Tahoma" w:hAnsi="Tahoma" w:cs="Tahoma"/>
          <w:sz w:val="24"/>
          <w:szCs w:val="24"/>
        </w:rPr>
      </w:pPr>
    </w:p>
    <w:p w:rsidR="00C377D2" w:rsidRDefault="00C377D2" w:rsidP="0030504E">
      <w:pPr>
        <w:spacing w:after="0" w:line="360" w:lineRule="auto"/>
        <w:jc w:val="both"/>
        <w:rPr>
          <w:rFonts w:ascii="Tahoma" w:hAnsi="Tahoma" w:cs="Tahoma"/>
          <w:sz w:val="24"/>
          <w:szCs w:val="24"/>
        </w:rPr>
      </w:pPr>
    </w:p>
    <w:p w:rsidR="00381C38" w:rsidRDefault="00381C38" w:rsidP="0030504E">
      <w:pPr>
        <w:spacing w:after="0" w:line="360" w:lineRule="auto"/>
        <w:jc w:val="both"/>
        <w:rPr>
          <w:rFonts w:ascii="Tahoma" w:hAnsi="Tahoma" w:cs="Tahoma"/>
          <w:sz w:val="24"/>
          <w:szCs w:val="24"/>
        </w:rPr>
      </w:pPr>
    </w:p>
    <w:p w:rsidR="00381C38" w:rsidRDefault="00381C38" w:rsidP="0030504E">
      <w:pPr>
        <w:spacing w:after="0" w:line="360" w:lineRule="auto"/>
        <w:jc w:val="both"/>
        <w:rPr>
          <w:rFonts w:ascii="Tahoma" w:hAnsi="Tahoma" w:cs="Tahoma"/>
          <w:sz w:val="24"/>
          <w:szCs w:val="24"/>
        </w:rPr>
      </w:pPr>
    </w:p>
    <w:p w:rsidR="00C377D2" w:rsidRDefault="00C377D2" w:rsidP="0030504E">
      <w:pPr>
        <w:spacing w:after="0" w:line="360" w:lineRule="auto"/>
        <w:jc w:val="both"/>
        <w:rPr>
          <w:rFonts w:ascii="Tahoma" w:hAnsi="Tahoma" w:cs="Tahoma"/>
          <w:b/>
          <w:sz w:val="28"/>
          <w:szCs w:val="28"/>
        </w:rPr>
      </w:pPr>
      <w:r w:rsidRPr="00381C38">
        <w:rPr>
          <w:rFonts w:ascii="Tahoma" w:hAnsi="Tahoma" w:cs="Tahoma"/>
          <w:b/>
          <w:sz w:val="28"/>
          <w:szCs w:val="28"/>
        </w:rPr>
        <w:t>Wherefore it is ordered that</w:t>
      </w:r>
      <w:r w:rsidR="00381C38">
        <w:rPr>
          <w:rFonts w:ascii="Tahoma" w:hAnsi="Tahoma" w:cs="Tahoma"/>
          <w:b/>
          <w:sz w:val="28"/>
          <w:szCs w:val="28"/>
        </w:rPr>
        <w:t>;</w:t>
      </w:r>
    </w:p>
    <w:p w:rsidR="00266B95" w:rsidRDefault="00266B95" w:rsidP="0030504E">
      <w:pPr>
        <w:spacing w:after="0" w:line="360" w:lineRule="auto"/>
        <w:jc w:val="both"/>
        <w:rPr>
          <w:rFonts w:ascii="Tahoma" w:hAnsi="Tahoma" w:cs="Tahoma"/>
          <w:b/>
          <w:sz w:val="28"/>
          <w:szCs w:val="28"/>
        </w:rPr>
      </w:pPr>
    </w:p>
    <w:p w:rsidR="00266B95" w:rsidRPr="00381C38" w:rsidRDefault="00266B95" w:rsidP="0030504E">
      <w:pPr>
        <w:spacing w:after="0" w:line="360" w:lineRule="auto"/>
        <w:jc w:val="both"/>
        <w:rPr>
          <w:rFonts w:ascii="Tahoma" w:hAnsi="Tahoma" w:cs="Tahoma"/>
          <w:b/>
          <w:sz w:val="28"/>
          <w:szCs w:val="28"/>
        </w:rPr>
      </w:pPr>
    </w:p>
    <w:p w:rsidR="00C377D2" w:rsidRPr="00381C38" w:rsidRDefault="00C377D2" w:rsidP="0030504E">
      <w:pPr>
        <w:spacing w:after="0" w:line="360" w:lineRule="auto"/>
        <w:jc w:val="both"/>
        <w:rPr>
          <w:rFonts w:ascii="Tahoma" w:hAnsi="Tahoma" w:cs="Tahoma"/>
          <w:b/>
          <w:sz w:val="24"/>
          <w:szCs w:val="24"/>
        </w:rPr>
      </w:pPr>
    </w:p>
    <w:p w:rsidR="00C377D2" w:rsidRDefault="00C377D2" w:rsidP="00381C38">
      <w:pPr>
        <w:spacing w:line="360" w:lineRule="auto"/>
        <w:jc w:val="both"/>
        <w:rPr>
          <w:rFonts w:ascii="Tahoma" w:hAnsi="Tahoma" w:cs="Tahoma"/>
          <w:b/>
          <w:sz w:val="24"/>
          <w:szCs w:val="24"/>
        </w:rPr>
      </w:pPr>
      <w:r w:rsidRPr="00381C38">
        <w:rPr>
          <w:rFonts w:ascii="Tahoma" w:hAnsi="Tahoma" w:cs="Tahoma"/>
          <w:b/>
          <w:sz w:val="24"/>
          <w:szCs w:val="24"/>
        </w:rPr>
        <w:t>1.</w:t>
      </w:r>
      <w:r w:rsidRPr="00381C38">
        <w:rPr>
          <w:rFonts w:ascii="Tahoma" w:hAnsi="Tahoma" w:cs="Tahoma"/>
          <w:b/>
          <w:sz w:val="24"/>
          <w:szCs w:val="24"/>
        </w:rPr>
        <w:tab/>
        <w:t>The application for condo</w:t>
      </w:r>
      <w:r w:rsidR="00590F1A">
        <w:rPr>
          <w:rFonts w:ascii="Tahoma" w:hAnsi="Tahoma" w:cs="Tahoma"/>
          <w:b/>
          <w:sz w:val="24"/>
          <w:szCs w:val="24"/>
        </w:rPr>
        <w:t>nation be and is hereby granted;</w:t>
      </w:r>
    </w:p>
    <w:p w:rsidR="00590F1A" w:rsidRPr="00381C38" w:rsidRDefault="00590F1A" w:rsidP="00381C38">
      <w:pPr>
        <w:spacing w:line="360" w:lineRule="auto"/>
        <w:jc w:val="both"/>
        <w:rPr>
          <w:rFonts w:ascii="Tahoma" w:hAnsi="Tahoma" w:cs="Tahoma"/>
          <w:b/>
          <w:sz w:val="24"/>
          <w:szCs w:val="24"/>
        </w:rPr>
      </w:pPr>
    </w:p>
    <w:p w:rsidR="00C377D2" w:rsidRDefault="00C377D2" w:rsidP="00381C38">
      <w:pPr>
        <w:spacing w:line="360" w:lineRule="auto"/>
        <w:ind w:left="720" w:hanging="720"/>
        <w:jc w:val="both"/>
        <w:rPr>
          <w:rFonts w:ascii="Tahoma" w:hAnsi="Tahoma" w:cs="Tahoma"/>
          <w:b/>
          <w:sz w:val="24"/>
          <w:szCs w:val="24"/>
        </w:rPr>
      </w:pPr>
      <w:r w:rsidRPr="00381C38">
        <w:rPr>
          <w:rFonts w:ascii="Tahoma" w:hAnsi="Tahoma" w:cs="Tahoma"/>
          <w:b/>
          <w:sz w:val="24"/>
          <w:szCs w:val="24"/>
        </w:rPr>
        <w:t>2.</w:t>
      </w:r>
      <w:r w:rsidRPr="00381C38">
        <w:rPr>
          <w:rFonts w:ascii="Tahoma" w:hAnsi="Tahoma" w:cs="Tahoma"/>
          <w:b/>
          <w:sz w:val="24"/>
          <w:szCs w:val="24"/>
        </w:rPr>
        <w:tab/>
        <w:t>Applicant may file his application for review within fifteen (15) days of this order</w:t>
      </w:r>
      <w:r w:rsidR="00266B95">
        <w:rPr>
          <w:rFonts w:ascii="Tahoma" w:hAnsi="Tahoma" w:cs="Tahoma"/>
          <w:b/>
          <w:sz w:val="24"/>
          <w:szCs w:val="24"/>
        </w:rPr>
        <w:t>; and</w:t>
      </w:r>
    </w:p>
    <w:p w:rsidR="00590F1A" w:rsidRPr="00381C38" w:rsidRDefault="00590F1A" w:rsidP="00381C38">
      <w:pPr>
        <w:spacing w:line="360" w:lineRule="auto"/>
        <w:ind w:left="720" w:hanging="720"/>
        <w:jc w:val="both"/>
        <w:rPr>
          <w:rFonts w:ascii="Tahoma" w:hAnsi="Tahoma" w:cs="Tahoma"/>
          <w:b/>
          <w:sz w:val="24"/>
          <w:szCs w:val="24"/>
        </w:rPr>
      </w:pPr>
    </w:p>
    <w:p w:rsidR="00381C38" w:rsidRPr="00381C38" w:rsidRDefault="00381C38" w:rsidP="00381C38">
      <w:pPr>
        <w:spacing w:line="360" w:lineRule="auto"/>
        <w:jc w:val="both"/>
        <w:rPr>
          <w:rFonts w:ascii="Tahoma" w:hAnsi="Tahoma" w:cs="Tahoma"/>
          <w:b/>
          <w:sz w:val="24"/>
          <w:szCs w:val="24"/>
        </w:rPr>
      </w:pPr>
      <w:r w:rsidRPr="00381C38">
        <w:rPr>
          <w:rFonts w:ascii="Tahoma" w:hAnsi="Tahoma" w:cs="Tahoma"/>
          <w:b/>
          <w:sz w:val="24"/>
          <w:szCs w:val="24"/>
        </w:rPr>
        <w:t>3.</w:t>
      </w:r>
      <w:r w:rsidRPr="00381C38">
        <w:rPr>
          <w:rFonts w:ascii="Tahoma" w:hAnsi="Tahoma" w:cs="Tahoma"/>
          <w:b/>
          <w:sz w:val="24"/>
          <w:szCs w:val="24"/>
        </w:rPr>
        <w:tab/>
        <w:t>Each party shall bear its own costs.</w:t>
      </w:r>
    </w:p>
    <w:p w:rsidR="0030504E" w:rsidRPr="00381C38" w:rsidRDefault="0030504E" w:rsidP="0030504E">
      <w:pPr>
        <w:spacing w:after="0" w:line="360" w:lineRule="auto"/>
        <w:jc w:val="both"/>
        <w:rPr>
          <w:rFonts w:ascii="Tahoma" w:hAnsi="Tahoma" w:cs="Tahoma"/>
          <w:b/>
          <w:sz w:val="24"/>
          <w:szCs w:val="24"/>
        </w:rPr>
      </w:pPr>
    </w:p>
    <w:p w:rsidR="0030504E" w:rsidRPr="00381C38" w:rsidRDefault="0030504E" w:rsidP="0030504E">
      <w:pPr>
        <w:spacing w:after="0" w:line="360" w:lineRule="auto"/>
        <w:jc w:val="both"/>
        <w:rPr>
          <w:rFonts w:ascii="Tahoma" w:hAnsi="Tahoma" w:cs="Tahoma"/>
          <w:b/>
          <w:sz w:val="24"/>
          <w:szCs w:val="24"/>
        </w:rPr>
      </w:pPr>
    </w:p>
    <w:p w:rsidR="002D4512" w:rsidRPr="00B57A53" w:rsidRDefault="002D4512" w:rsidP="00FF5F63">
      <w:pPr>
        <w:spacing w:after="0" w:line="276" w:lineRule="auto"/>
        <w:jc w:val="both"/>
        <w:rPr>
          <w:rFonts w:ascii="Tahoma" w:hAnsi="Tahoma" w:cs="Tahoma"/>
          <w:b/>
          <w:sz w:val="24"/>
          <w:szCs w:val="24"/>
        </w:rPr>
      </w:pPr>
    </w:p>
    <w:p w:rsidR="00BF3273" w:rsidRPr="00BF3273" w:rsidRDefault="00BF3273" w:rsidP="00912658">
      <w:pPr>
        <w:spacing w:after="0" w:line="360" w:lineRule="auto"/>
        <w:jc w:val="both"/>
        <w:rPr>
          <w:rFonts w:ascii="Tahoma" w:hAnsi="Tahoma" w:cs="Tahoma"/>
          <w:sz w:val="24"/>
          <w:szCs w:val="24"/>
        </w:rPr>
      </w:pPr>
    </w:p>
    <w:p w:rsidR="00C65485" w:rsidRDefault="00C65485" w:rsidP="00C65485">
      <w:pPr>
        <w:pStyle w:val="ListParagraph"/>
        <w:spacing w:after="0" w:line="360" w:lineRule="auto"/>
        <w:ind w:left="1080"/>
        <w:jc w:val="both"/>
        <w:rPr>
          <w:rFonts w:ascii="Times New Roman" w:hAnsi="Times New Roman" w:cs="Times New Roman"/>
          <w:b/>
          <w:sz w:val="24"/>
          <w:szCs w:val="24"/>
        </w:rPr>
      </w:pPr>
    </w:p>
    <w:p w:rsidR="00C65485" w:rsidRPr="00C65485" w:rsidRDefault="00C65485" w:rsidP="00C65485">
      <w:pPr>
        <w:pStyle w:val="ListParagraph"/>
        <w:spacing w:after="0" w:line="360" w:lineRule="auto"/>
        <w:ind w:left="1080"/>
        <w:jc w:val="both"/>
        <w:rPr>
          <w:rFonts w:ascii="Times New Roman" w:hAnsi="Times New Roman" w:cs="Times New Roman"/>
          <w:b/>
          <w:sz w:val="24"/>
          <w:szCs w:val="24"/>
        </w:rPr>
      </w:pPr>
    </w:p>
    <w:p w:rsidR="00654EFC" w:rsidRDefault="00654EFC" w:rsidP="00BF3273">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G. MUSARIRI</w:t>
      </w:r>
    </w:p>
    <w:p w:rsidR="00680C2E" w:rsidRDefault="00680C2E" w:rsidP="00654EFC">
      <w:pPr>
        <w:spacing w:after="0" w:line="360" w:lineRule="auto"/>
        <w:ind w:left="5760"/>
        <w:jc w:val="both"/>
        <w:rPr>
          <w:rFonts w:ascii="Times New Roman" w:hAnsi="Times New Roman" w:cs="Times New Roman"/>
          <w:b/>
          <w:sz w:val="24"/>
          <w:szCs w:val="24"/>
        </w:rPr>
      </w:pPr>
    </w:p>
    <w:p w:rsidR="00654EFC" w:rsidRPr="00654EFC" w:rsidRDefault="00654EFC" w:rsidP="00BF3273">
      <w:pPr>
        <w:spacing w:after="0" w:line="360" w:lineRule="auto"/>
        <w:ind w:left="4320" w:firstLine="72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J</w:t>
      </w:r>
      <w:r w:rsidR="0026230C">
        <w:rPr>
          <w:rFonts w:ascii="Times New Roman" w:hAnsi="Times New Roman" w:cs="Times New Roman"/>
          <w:b/>
          <w:sz w:val="24"/>
          <w:szCs w:val="24"/>
        </w:rPr>
        <w:t>-</w:t>
      </w:r>
      <w:r>
        <w:rPr>
          <w:rFonts w:ascii="Times New Roman" w:hAnsi="Times New Roman" w:cs="Times New Roman"/>
          <w:b/>
          <w:sz w:val="24"/>
          <w:szCs w:val="24"/>
        </w:rPr>
        <w:t>U</w:t>
      </w:r>
      <w:r w:rsidR="0026230C">
        <w:rPr>
          <w:rFonts w:ascii="Times New Roman" w:hAnsi="Times New Roman" w:cs="Times New Roman"/>
          <w:b/>
          <w:sz w:val="24"/>
          <w:szCs w:val="24"/>
        </w:rPr>
        <w:t>-D-G-</w:t>
      </w:r>
      <w:r>
        <w:rPr>
          <w:rFonts w:ascii="Times New Roman" w:hAnsi="Times New Roman" w:cs="Times New Roman"/>
          <w:b/>
          <w:sz w:val="24"/>
          <w:szCs w:val="24"/>
        </w:rPr>
        <w:t>E</w:t>
      </w:r>
    </w:p>
    <w:sectPr w:rsidR="00654EFC" w:rsidRPr="00654EFC"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ECB" w:rsidRDefault="00881ECB" w:rsidP="002E1B63">
      <w:pPr>
        <w:spacing w:after="0" w:line="240" w:lineRule="auto"/>
      </w:pPr>
      <w:r>
        <w:separator/>
      </w:r>
    </w:p>
  </w:endnote>
  <w:endnote w:type="continuationSeparator" w:id="0">
    <w:p w:rsidR="00881ECB" w:rsidRDefault="00881ECB"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ECB" w:rsidRDefault="00881ECB" w:rsidP="002E1B63">
      <w:pPr>
        <w:spacing w:after="0" w:line="240" w:lineRule="auto"/>
      </w:pPr>
      <w:r>
        <w:separator/>
      </w:r>
    </w:p>
  </w:footnote>
  <w:footnote w:type="continuationSeparator" w:id="0">
    <w:p w:rsidR="00881ECB" w:rsidRDefault="00881ECB"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C377D2" w:rsidRDefault="00C377D2">
        <w:pPr>
          <w:pStyle w:val="Header"/>
          <w:jc w:val="right"/>
        </w:pPr>
      </w:p>
      <w:p w:rsidR="00C377D2" w:rsidRDefault="00C377D2">
        <w:pPr>
          <w:pStyle w:val="Header"/>
          <w:jc w:val="right"/>
          <w:rPr>
            <w:noProof/>
          </w:rPr>
        </w:pPr>
        <w:r>
          <w:fldChar w:fldCharType="begin"/>
        </w:r>
        <w:r>
          <w:instrText xml:space="preserve"> PAGE   \* MERGEFORMAT </w:instrText>
        </w:r>
        <w:r>
          <w:fldChar w:fldCharType="separate"/>
        </w:r>
        <w:r w:rsidR="00E54DA3">
          <w:rPr>
            <w:noProof/>
          </w:rPr>
          <w:t>2</w:t>
        </w:r>
        <w:r>
          <w:rPr>
            <w:noProof/>
          </w:rPr>
          <w:fldChar w:fldCharType="end"/>
        </w:r>
      </w:p>
      <w:p w:rsidR="00C377D2" w:rsidRDefault="00C377D2">
        <w:pPr>
          <w:pStyle w:val="Header"/>
          <w:jc w:val="right"/>
          <w:rPr>
            <w:noProof/>
          </w:rPr>
        </w:pPr>
        <w:r>
          <w:rPr>
            <w:noProof/>
          </w:rPr>
          <w:t>JUDGMENT NO. LC/H/</w:t>
        </w:r>
        <w:r w:rsidR="008B4087">
          <w:rPr>
            <w:noProof/>
          </w:rPr>
          <w:t>74</w:t>
        </w:r>
        <w:r>
          <w:rPr>
            <w:noProof/>
          </w:rPr>
          <w:t>/2020</w:t>
        </w:r>
      </w:p>
      <w:p w:rsidR="00C377D2" w:rsidRDefault="00C377D2" w:rsidP="00833E26">
        <w:pPr>
          <w:pStyle w:val="Header"/>
          <w:jc w:val="center"/>
        </w:pPr>
        <w:r>
          <w:rPr>
            <w:noProof/>
          </w:rPr>
          <w:tab/>
        </w:r>
        <w:r>
          <w:rPr>
            <w:noProof/>
          </w:rPr>
          <w:tab/>
          <w:t>CASE NO. LC/H/APP/560/19</w:t>
        </w:r>
      </w:p>
    </w:sdtContent>
  </w:sdt>
  <w:p w:rsidR="00C377D2" w:rsidRDefault="00C37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64B6754"/>
    <w:multiLevelType w:val="hybridMultilevel"/>
    <w:tmpl w:val="78F034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8497C"/>
    <w:multiLevelType w:val="hybridMultilevel"/>
    <w:tmpl w:val="9858EF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4982A2F"/>
    <w:multiLevelType w:val="hybridMultilevel"/>
    <w:tmpl w:val="E9366B14"/>
    <w:lvl w:ilvl="0" w:tplc="F4F4C3D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20499"/>
    <w:rsid w:val="00020D7A"/>
    <w:rsid w:val="00021641"/>
    <w:rsid w:val="00037E97"/>
    <w:rsid w:val="00041967"/>
    <w:rsid w:val="00046609"/>
    <w:rsid w:val="0005261C"/>
    <w:rsid w:val="00062177"/>
    <w:rsid w:val="0006239A"/>
    <w:rsid w:val="00067E67"/>
    <w:rsid w:val="00080978"/>
    <w:rsid w:val="000901E3"/>
    <w:rsid w:val="0009283E"/>
    <w:rsid w:val="00094DA1"/>
    <w:rsid w:val="000A6910"/>
    <w:rsid w:val="000B00F4"/>
    <w:rsid w:val="000B43EE"/>
    <w:rsid w:val="000C27E1"/>
    <w:rsid w:val="000D424B"/>
    <w:rsid w:val="000D77F1"/>
    <w:rsid w:val="000F163D"/>
    <w:rsid w:val="00110B2F"/>
    <w:rsid w:val="0011404F"/>
    <w:rsid w:val="0012177F"/>
    <w:rsid w:val="00137356"/>
    <w:rsid w:val="001374B6"/>
    <w:rsid w:val="001442E7"/>
    <w:rsid w:val="001449CD"/>
    <w:rsid w:val="00151D73"/>
    <w:rsid w:val="00152041"/>
    <w:rsid w:val="00157D1E"/>
    <w:rsid w:val="00161586"/>
    <w:rsid w:val="001674BF"/>
    <w:rsid w:val="0017425B"/>
    <w:rsid w:val="00190F8A"/>
    <w:rsid w:val="001958D6"/>
    <w:rsid w:val="001B17B8"/>
    <w:rsid w:val="001B1DF6"/>
    <w:rsid w:val="001B7A70"/>
    <w:rsid w:val="001B7CD3"/>
    <w:rsid w:val="001C6ABE"/>
    <w:rsid w:val="002009EF"/>
    <w:rsid w:val="00203A26"/>
    <w:rsid w:val="00205812"/>
    <w:rsid w:val="0021679E"/>
    <w:rsid w:val="00216B43"/>
    <w:rsid w:val="00221EA5"/>
    <w:rsid w:val="00227E33"/>
    <w:rsid w:val="002324D0"/>
    <w:rsid w:val="00232C1C"/>
    <w:rsid w:val="00234172"/>
    <w:rsid w:val="00241E38"/>
    <w:rsid w:val="0024238F"/>
    <w:rsid w:val="002477BE"/>
    <w:rsid w:val="0026230C"/>
    <w:rsid w:val="00266B95"/>
    <w:rsid w:val="00271300"/>
    <w:rsid w:val="00277D46"/>
    <w:rsid w:val="00283CAE"/>
    <w:rsid w:val="00283F6F"/>
    <w:rsid w:val="002B0D89"/>
    <w:rsid w:val="002C1424"/>
    <w:rsid w:val="002C3F55"/>
    <w:rsid w:val="002D1FF8"/>
    <w:rsid w:val="002D4512"/>
    <w:rsid w:val="002D49DB"/>
    <w:rsid w:val="002D516A"/>
    <w:rsid w:val="002E1B63"/>
    <w:rsid w:val="002E3B7B"/>
    <w:rsid w:val="0030383B"/>
    <w:rsid w:val="0030504E"/>
    <w:rsid w:val="00315A44"/>
    <w:rsid w:val="00321E25"/>
    <w:rsid w:val="00331C57"/>
    <w:rsid w:val="003431E0"/>
    <w:rsid w:val="00356915"/>
    <w:rsid w:val="00361823"/>
    <w:rsid w:val="00372B3E"/>
    <w:rsid w:val="00381C38"/>
    <w:rsid w:val="00384818"/>
    <w:rsid w:val="00384859"/>
    <w:rsid w:val="00395A30"/>
    <w:rsid w:val="00396D58"/>
    <w:rsid w:val="0039713D"/>
    <w:rsid w:val="003A5BCD"/>
    <w:rsid w:val="003A718D"/>
    <w:rsid w:val="003B6072"/>
    <w:rsid w:val="003E172D"/>
    <w:rsid w:val="003F153D"/>
    <w:rsid w:val="003F34E9"/>
    <w:rsid w:val="00400976"/>
    <w:rsid w:val="0040494B"/>
    <w:rsid w:val="00406BB1"/>
    <w:rsid w:val="0045490B"/>
    <w:rsid w:val="004721BA"/>
    <w:rsid w:val="0047590A"/>
    <w:rsid w:val="00475FDE"/>
    <w:rsid w:val="00477D79"/>
    <w:rsid w:val="00477F15"/>
    <w:rsid w:val="00485949"/>
    <w:rsid w:val="00487C8A"/>
    <w:rsid w:val="0049288B"/>
    <w:rsid w:val="00493A7A"/>
    <w:rsid w:val="004B275D"/>
    <w:rsid w:val="004B5D82"/>
    <w:rsid w:val="004B609B"/>
    <w:rsid w:val="004C4AAA"/>
    <w:rsid w:val="004C54CE"/>
    <w:rsid w:val="004D18DE"/>
    <w:rsid w:val="004D7E4E"/>
    <w:rsid w:val="004E5BCA"/>
    <w:rsid w:val="004F2711"/>
    <w:rsid w:val="004F7023"/>
    <w:rsid w:val="004F7093"/>
    <w:rsid w:val="0050111D"/>
    <w:rsid w:val="005013CA"/>
    <w:rsid w:val="00511750"/>
    <w:rsid w:val="005136B6"/>
    <w:rsid w:val="00513FAC"/>
    <w:rsid w:val="005152A7"/>
    <w:rsid w:val="00523DF5"/>
    <w:rsid w:val="00525AD7"/>
    <w:rsid w:val="00535F13"/>
    <w:rsid w:val="00536A27"/>
    <w:rsid w:val="0055392F"/>
    <w:rsid w:val="005838DE"/>
    <w:rsid w:val="00586AD5"/>
    <w:rsid w:val="00590F1A"/>
    <w:rsid w:val="0059220D"/>
    <w:rsid w:val="005A4A4F"/>
    <w:rsid w:val="005A76A0"/>
    <w:rsid w:val="005A7C3F"/>
    <w:rsid w:val="005B0B21"/>
    <w:rsid w:val="005B5C62"/>
    <w:rsid w:val="005C0F96"/>
    <w:rsid w:val="005C3D75"/>
    <w:rsid w:val="005D0191"/>
    <w:rsid w:val="005D68F2"/>
    <w:rsid w:val="005D7911"/>
    <w:rsid w:val="005E17F7"/>
    <w:rsid w:val="005E2A42"/>
    <w:rsid w:val="005E7D66"/>
    <w:rsid w:val="005F1F7B"/>
    <w:rsid w:val="006005B2"/>
    <w:rsid w:val="00604405"/>
    <w:rsid w:val="006045BE"/>
    <w:rsid w:val="0060630E"/>
    <w:rsid w:val="00616015"/>
    <w:rsid w:val="00643D91"/>
    <w:rsid w:val="00643EFB"/>
    <w:rsid w:val="00654EFC"/>
    <w:rsid w:val="006612E6"/>
    <w:rsid w:val="006639EC"/>
    <w:rsid w:val="00664B9E"/>
    <w:rsid w:val="00680C2E"/>
    <w:rsid w:val="0068514E"/>
    <w:rsid w:val="006872D8"/>
    <w:rsid w:val="0069473E"/>
    <w:rsid w:val="00695F3B"/>
    <w:rsid w:val="006973EE"/>
    <w:rsid w:val="006A0459"/>
    <w:rsid w:val="006A1DDE"/>
    <w:rsid w:val="006A7F23"/>
    <w:rsid w:val="006B0CCB"/>
    <w:rsid w:val="006B3B44"/>
    <w:rsid w:val="006C6E17"/>
    <w:rsid w:val="006C79C7"/>
    <w:rsid w:val="006F165A"/>
    <w:rsid w:val="00704680"/>
    <w:rsid w:val="00714452"/>
    <w:rsid w:val="00725829"/>
    <w:rsid w:val="007324AA"/>
    <w:rsid w:val="007820F7"/>
    <w:rsid w:val="00784EA8"/>
    <w:rsid w:val="00793501"/>
    <w:rsid w:val="007C4853"/>
    <w:rsid w:val="007C68AA"/>
    <w:rsid w:val="007D0472"/>
    <w:rsid w:val="007D08E5"/>
    <w:rsid w:val="007D6DBF"/>
    <w:rsid w:val="007E0D27"/>
    <w:rsid w:val="007E22C3"/>
    <w:rsid w:val="007E38B3"/>
    <w:rsid w:val="007F0867"/>
    <w:rsid w:val="007F4649"/>
    <w:rsid w:val="00802682"/>
    <w:rsid w:val="0082579A"/>
    <w:rsid w:val="00827459"/>
    <w:rsid w:val="00833479"/>
    <w:rsid w:val="00833E26"/>
    <w:rsid w:val="0084231A"/>
    <w:rsid w:val="00844CA2"/>
    <w:rsid w:val="00847C92"/>
    <w:rsid w:val="00860479"/>
    <w:rsid w:val="0086195C"/>
    <w:rsid w:val="008625DC"/>
    <w:rsid w:val="00881ECB"/>
    <w:rsid w:val="00887F43"/>
    <w:rsid w:val="008B4087"/>
    <w:rsid w:val="008B77DD"/>
    <w:rsid w:val="008D7BFF"/>
    <w:rsid w:val="008E19CC"/>
    <w:rsid w:val="008F14A6"/>
    <w:rsid w:val="008F1F13"/>
    <w:rsid w:val="00905FF6"/>
    <w:rsid w:val="00912658"/>
    <w:rsid w:val="00915C41"/>
    <w:rsid w:val="00925533"/>
    <w:rsid w:val="00931E5A"/>
    <w:rsid w:val="00933AD1"/>
    <w:rsid w:val="00942148"/>
    <w:rsid w:val="00955495"/>
    <w:rsid w:val="00963FDC"/>
    <w:rsid w:val="00964A47"/>
    <w:rsid w:val="00970F32"/>
    <w:rsid w:val="009873BD"/>
    <w:rsid w:val="00990998"/>
    <w:rsid w:val="0099306D"/>
    <w:rsid w:val="009B5D36"/>
    <w:rsid w:val="009C2CE4"/>
    <w:rsid w:val="009D4878"/>
    <w:rsid w:val="009D487C"/>
    <w:rsid w:val="009D510C"/>
    <w:rsid w:val="009D633C"/>
    <w:rsid w:val="009F426F"/>
    <w:rsid w:val="009F52FA"/>
    <w:rsid w:val="00A228E5"/>
    <w:rsid w:val="00A25934"/>
    <w:rsid w:val="00A34C82"/>
    <w:rsid w:val="00A50BDA"/>
    <w:rsid w:val="00A94BF2"/>
    <w:rsid w:val="00AA1049"/>
    <w:rsid w:val="00AA4716"/>
    <w:rsid w:val="00AB00D2"/>
    <w:rsid w:val="00AB0516"/>
    <w:rsid w:val="00AB1965"/>
    <w:rsid w:val="00AB5375"/>
    <w:rsid w:val="00AC397F"/>
    <w:rsid w:val="00AC7A57"/>
    <w:rsid w:val="00AD070F"/>
    <w:rsid w:val="00AD1A4A"/>
    <w:rsid w:val="00AD1B95"/>
    <w:rsid w:val="00AF121E"/>
    <w:rsid w:val="00B065A3"/>
    <w:rsid w:val="00B06EF6"/>
    <w:rsid w:val="00B125EF"/>
    <w:rsid w:val="00B21677"/>
    <w:rsid w:val="00B3533D"/>
    <w:rsid w:val="00B514A6"/>
    <w:rsid w:val="00B57A53"/>
    <w:rsid w:val="00B64850"/>
    <w:rsid w:val="00B700A5"/>
    <w:rsid w:val="00B81811"/>
    <w:rsid w:val="00BC12ED"/>
    <w:rsid w:val="00BC5F86"/>
    <w:rsid w:val="00BC6AD9"/>
    <w:rsid w:val="00BF1D84"/>
    <w:rsid w:val="00BF3273"/>
    <w:rsid w:val="00BF68E7"/>
    <w:rsid w:val="00C21FD6"/>
    <w:rsid w:val="00C3116F"/>
    <w:rsid w:val="00C319EC"/>
    <w:rsid w:val="00C36D65"/>
    <w:rsid w:val="00C377D2"/>
    <w:rsid w:val="00C40F0A"/>
    <w:rsid w:val="00C42CF1"/>
    <w:rsid w:val="00C6452B"/>
    <w:rsid w:val="00C65485"/>
    <w:rsid w:val="00C65E4B"/>
    <w:rsid w:val="00C756CC"/>
    <w:rsid w:val="00C854E2"/>
    <w:rsid w:val="00C92F12"/>
    <w:rsid w:val="00C952F3"/>
    <w:rsid w:val="00CA0C38"/>
    <w:rsid w:val="00CA5DB7"/>
    <w:rsid w:val="00CB1222"/>
    <w:rsid w:val="00CC1831"/>
    <w:rsid w:val="00CC3CEC"/>
    <w:rsid w:val="00CD042D"/>
    <w:rsid w:val="00CD3FC1"/>
    <w:rsid w:val="00D32D1D"/>
    <w:rsid w:val="00D532C7"/>
    <w:rsid w:val="00D546EA"/>
    <w:rsid w:val="00D579E4"/>
    <w:rsid w:val="00D63F0E"/>
    <w:rsid w:val="00D80508"/>
    <w:rsid w:val="00D84D3A"/>
    <w:rsid w:val="00D97025"/>
    <w:rsid w:val="00DA4F16"/>
    <w:rsid w:val="00DB1DDD"/>
    <w:rsid w:val="00DB6A80"/>
    <w:rsid w:val="00DD0C6A"/>
    <w:rsid w:val="00DE0976"/>
    <w:rsid w:val="00DE7463"/>
    <w:rsid w:val="00DF3B3D"/>
    <w:rsid w:val="00E063DE"/>
    <w:rsid w:val="00E11904"/>
    <w:rsid w:val="00E12E24"/>
    <w:rsid w:val="00E27594"/>
    <w:rsid w:val="00E3289B"/>
    <w:rsid w:val="00E41092"/>
    <w:rsid w:val="00E4367C"/>
    <w:rsid w:val="00E46B82"/>
    <w:rsid w:val="00E508A4"/>
    <w:rsid w:val="00E5110B"/>
    <w:rsid w:val="00E5497A"/>
    <w:rsid w:val="00E54DA3"/>
    <w:rsid w:val="00E70F13"/>
    <w:rsid w:val="00E7756A"/>
    <w:rsid w:val="00E80932"/>
    <w:rsid w:val="00E95B53"/>
    <w:rsid w:val="00EC0A7C"/>
    <w:rsid w:val="00EC7253"/>
    <w:rsid w:val="00F07EB4"/>
    <w:rsid w:val="00F12045"/>
    <w:rsid w:val="00F20F66"/>
    <w:rsid w:val="00F2114B"/>
    <w:rsid w:val="00F24630"/>
    <w:rsid w:val="00F40B82"/>
    <w:rsid w:val="00F4268F"/>
    <w:rsid w:val="00F51A57"/>
    <w:rsid w:val="00F53212"/>
    <w:rsid w:val="00F57B71"/>
    <w:rsid w:val="00F62C80"/>
    <w:rsid w:val="00F62D92"/>
    <w:rsid w:val="00F75CEC"/>
    <w:rsid w:val="00F77890"/>
    <w:rsid w:val="00F87D28"/>
    <w:rsid w:val="00F97F0E"/>
    <w:rsid w:val="00FA489B"/>
    <w:rsid w:val="00FB26B5"/>
    <w:rsid w:val="00FB605D"/>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12</cp:revision>
  <cp:lastPrinted>2019-12-10T09:58:00Z</cp:lastPrinted>
  <dcterms:created xsi:type="dcterms:W3CDTF">2020-03-09T09:39:00Z</dcterms:created>
  <dcterms:modified xsi:type="dcterms:W3CDTF">2020-03-12T07:06:00Z</dcterms:modified>
</cp:coreProperties>
</file>