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BF" w:rsidRPr="008E1711" w:rsidRDefault="006641BF" w:rsidP="006641BF">
      <w:pPr>
        <w:spacing w:line="360" w:lineRule="auto"/>
        <w:rPr>
          <w:b/>
        </w:rPr>
      </w:pPr>
      <w:r w:rsidRPr="008E1711">
        <w:rPr>
          <w:b/>
        </w:rPr>
        <w:t>IN THE LABOUR COURT OF ZIMBABWE      JUDGMENT NO. LC/H/</w:t>
      </w:r>
      <w:r w:rsidR="006C3D30">
        <w:rPr>
          <w:b/>
        </w:rPr>
        <w:t>599</w:t>
      </w:r>
      <w:r>
        <w:rPr>
          <w:b/>
        </w:rPr>
        <w:t>/2016</w:t>
      </w:r>
    </w:p>
    <w:p w:rsidR="006641BF" w:rsidRDefault="006641BF" w:rsidP="006641BF">
      <w:pPr>
        <w:spacing w:line="360" w:lineRule="auto"/>
        <w:jc w:val="both"/>
        <w:rPr>
          <w:b/>
        </w:rPr>
      </w:pPr>
      <w:r>
        <w:rPr>
          <w:b/>
        </w:rPr>
        <w:t xml:space="preserve">HARARE, </w:t>
      </w:r>
      <w:r w:rsidR="00F84DE9">
        <w:rPr>
          <w:b/>
        </w:rPr>
        <w:t xml:space="preserve">22 JUNE </w:t>
      </w:r>
      <w:r>
        <w:rPr>
          <w:b/>
        </w:rPr>
        <w:t>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</w:t>
      </w:r>
      <w:r w:rsidR="00DA3660">
        <w:rPr>
          <w:b/>
        </w:rPr>
        <w:t xml:space="preserve">  </w:t>
      </w:r>
      <w:bookmarkStart w:id="0" w:name="_GoBack"/>
      <w:bookmarkEnd w:id="0"/>
      <w:r w:rsidRPr="00047C13">
        <w:rPr>
          <w:b/>
        </w:rPr>
        <w:t>CASE NO. LC/</w:t>
      </w:r>
      <w:r>
        <w:rPr>
          <w:b/>
        </w:rPr>
        <w:t>H/</w:t>
      </w:r>
      <w:r w:rsidR="00DA3660">
        <w:rPr>
          <w:b/>
        </w:rPr>
        <w:t>APP/326/16</w:t>
      </w:r>
    </w:p>
    <w:p w:rsidR="006641BF" w:rsidRDefault="001D0D0A" w:rsidP="006641BF">
      <w:pPr>
        <w:spacing w:line="360" w:lineRule="auto"/>
        <w:jc w:val="both"/>
        <w:rPr>
          <w:b/>
        </w:rPr>
      </w:pPr>
      <w:r>
        <w:rPr>
          <w:b/>
        </w:rPr>
        <w:t>AND 7</w:t>
      </w:r>
      <w:r w:rsidR="006C3D30">
        <w:rPr>
          <w:b/>
        </w:rPr>
        <w:t xml:space="preserve"> OCTOBER </w:t>
      </w:r>
      <w:r w:rsidR="006641BF">
        <w:rPr>
          <w:b/>
        </w:rPr>
        <w:t>2016</w:t>
      </w:r>
    </w:p>
    <w:p w:rsidR="006641BF" w:rsidRDefault="006641BF" w:rsidP="006641BF">
      <w:pPr>
        <w:jc w:val="both"/>
      </w:pPr>
      <w:r w:rsidRPr="00047C13">
        <w:t>In the matter between</w:t>
      </w:r>
      <w:r>
        <w:t>:-</w:t>
      </w:r>
    </w:p>
    <w:p w:rsidR="006641BF" w:rsidRPr="00047C13" w:rsidRDefault="006641BF" w:rsidP="006641BF">
      <w:pPr>
        <w:jc w:val="both"/>
      </w:pPr>
    </w:p>
    <w:p w:rsidR="006641BF" w:rsidRPr="00047C13" w:rsidRDefault="006641BF" w:rsidP="006641BF">
      <w:pPr>
        <w:jc w:val="both"/>
      </w:pPr>
    </w:p>
    <w:p w:rsidR="006641BF" w:rsidRPr="00047C13" w:rsidRDefault="00D07B49" w:rsidP="006641BF">
      <w:pPr>
        <w:spacing w:line="360" w:lineRule="auto"/>
        <w:jc w:val="both"/>
        <w:rPr>
          <w:b/>
        </w:rPr>
      </w:pPr>
      <w:r>
        <w:rPr>
          <w:b/>
        </w:rPr>
        <w:t>TAKUDZWA GONDOKONDO</w:t>
      </w:r>
      <w:r w:rsidR="002405DD">
        <w:rPr>
          <w:b/>
        </w:rPr>
        <w:tab/>
      </w:r>
      <w:r w:rsidR="002405DD">
        <w:rPr>
          <w:b/>
        </w:rPr>
        <w:tab/>
      </w:r>
      <w:r w:rsidR="002405DD">
        <w:rPr>
          <w:b/>
        </w:rPr>
        <w:tab/>
      </w:r>
      <w:r w:rsidR="002405DD">
        <w:rPr>
          <w:b/>
        </w:rPr>
        <w:tab/>
      </w:r>
      <w:r w:rsidR="002405DD">
        <w:rPr>
          <w:b/>
        </w:rPr>
        <w:tab/>
        <w:t>Applicant</w:t>
      </w:r>
    </w:p>
    <w:p w:rsidR="006641BF" w:rsidRDefault="006641BF" w:rsidP="006641BF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6641BF" w:rsidRDefault="00D07B49" w:rsidP="006641BF">
      <w:pPr>
        <w:tabs>
          <w:tab w:val="left" w:pos="1995"/>
        </w:tabs>
        <w:spacing w:line="360" w:lineRule="auto"/>
        <w:jc w:val="both"/>
        <w:rPr>
          <w:b/>
        </w:rPr>
      </w:pPr>
      <w:r>
        <w:rPr>
          <w:b/>
        </w:rPr>
        <w:t>INNSCOR AFRICA (PVT) LTD</w:t>
      </w:r>
      <w:r>
        <w:rPr>
          <w:b/>
        </w:rPr>
        <w:tab/>
      </w:r>
      <w:r w:rsidR="006641BF">
        <w:rPr>
          <w:b/>
        </w:rPr>
        <w:tab/>
      </w:r>
      <w:r w:rsidR="006641BF">
        <w:rPr>
          <w:b/>
        </w:rPr>
        <w:tab/>
      </w:r>
      <w:r w:rsidR="006641BF">
        <w:rPr>
          <w:b/>
        </w:rPr>
        <w:tab/>
      </w:r>
      <w:r w:rsidR="006641BF">
        <w:rPr>
          <w:b/>
        </w:rPr>
        <w:tab/>
        <w:t>Respondent</w:t>
      </w:r>
    </w:p>
    <w:p w:rsidR="006641BF" w:rsidRDefault="006641BF" w:rsidP="006641BF">
      <w:pPr>
        <w:jc w:val="both"/>
        <w:rPr>
          <w:b/>
        </w:rPr>
      </w:pPr>
    </w:p>
    <w:p w:rsidR="006641BF" w:rsidRDefault="00A817E9" w:rsidP="006641BF">
      <w:pPr>
        <w:spacing w:line="360" w:lineRule="auto"/>
        <w:jc w:val="both"/>
      </w:pPr>
      <w:r>
        <w:t xml:space="preserve">Before Honourable L. </w:t>
      </w:r>
      <w:proofErr w:type="spellStart"/>
      <w:r>
        <w:t>Kudya</w:t>
      </w:r>
      <w:proofErr w:type="spellEnd"/>
      <w:r w:rsidR="006641BF">
        <w:t xml:space="preserve">, Judge                             </w:t>
      </w:r>
    </w:p>
    <w:p w:rsidR="006641BF" w:rsidRPr="00047C13" w:rsidRDefault="006641BF" w:rsidP="006641BF">
      <w:pPr>
        <w:jc w:val="both"/>
      </w:pPr>
      <w:r w:rsidRPr="00047C13">
        <w:tab/>
      </w:r>
      <w:r w:rsidRPr="00047C13">
        <w:tab/>
      </w:r>
      <w:r w:rsidRPr="00047C13">
        <w:tab/>
      </w:r>
    </w:p>
    <w:p w:rsidR="006641BF" w:rsidRDefault="006641BF" w:rsidP="006641BF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 xml:space="preserve">For </w:t>
      </w:r>
      <w:r w:rsidR="002405DD">
        <w:rPr>
          <w:b/>
        </w:rPr>
        <w:t>Applicant</w:t>
      </w:r>
      <w:r w:rsidR="00850E13">
        <w:rPr>
          <w:b/>
        </w:rPr>
        <w:tab/>
        <w:t>W. Gumbura (Unionist)</w:t>
      </w:r>
      <w:r>
        <w:rPr>
          <w:b/>
        </w:rPr>
        <w:tab/>
      </w:r>
    </w:p>
    <w:p w:rsidR="006641BF" w:rsidRDefault="006641BF" w:rsidP="006641BF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>For Respondent</w:t>
      </w:r>
      <w:r w:rsidR="00850E13">
        <w:rPr>
          <w:b/>
        </w:rPr>
        <w:tab/>
      </w:r>
      <w:r w:rsidR="007A55D7">
        <w:rPr>
          <w:b/>
        </w:rPr>
        <w:t xml:space="preserve">Mrs T. Manjonjo (Legal </w:t>
      </w:r>
      <w:r w:rsidR="00B14087">
        <w:rPr>
          <w:b/>
        </w:rPr>
        <w:t>Practitioner</w:t>
      </w:r>
      <w:r w:rsidR="007A55D7">
        <w:rPr>
          <w:b/>
        </w:rPr>
        <w:t>)</w:t>
      </w:r>
      <w:r>
        <w:rPr>
          <w:b/>
        </w:rPr>
        <w:tab/>
      </w:r>
    </w:p>
    <w:p w:rsidR="006641BF" w:rsidRDefault="006641BF" w:rsidP="006641BF">
      <w:pPr>
        <w:jc w:val="both"/>
        <w:rPr>
          <w:b/>
        </w:rPr>
      </w:pPr>
    </w:p>
    <w:p w:rsidR="006641BF" w:rsidRPr="00047C13" w:rsidRDefault="006641BF" w:rsidP="006641BF">
      <w:pPr>
        <w:jc w:val="both"/>
        <w:rPr>
          <w:b/>
        </w:rPr>
      </w:pPr>
    </w:p>
    <w:p w:rsidR="006641BF" w:rsidRDefault="00337357" w:rsidP="006641BF">
      <w:pPr>
        <w:spacing w:line="360" w:lineRule="auto"/>
        <w:jc w:val="both"/>
        <w:rPr>
          <w:b/>
        </w:rPr>
      </w:pPr>
      <w:r>
        <w:rPr>
          <w:b/>
        </w:rPr>
        <w:t>KUDYA,</w:t>
      </w:r>
      <w:r w:rsidR="006641BF">
        <w:rPr>
          <w:b/>
        </w:rPr>
        <w:t xml:space="preserve"> J:</w:t>
      </w:r>
    </w:p>
    <w:p w:rsidR="006641BF" w:rsidRDefault="006641BF" w:rsidP="006641BF"/>
    <w:p w:rsidR="006C592F" w:rsidRDefault="006C592F" w:rsidP="00FF3483">
      <w:pPr>
        <w:jc w:val="both"/>
      </w:pPr>
    </w:p>
    <w:p w:rsidR="00220F9F" w:rsidRDefault="00DD4FE0" w:rsidP="0038273A">
      <w:pPr>
        <w:spacing w:line="360" w:lineRule="auto"/>
        <w:jc w:val="both"/>
      </w:pPr>
      <w:r>
        <w:tab/>
        <w:t xml:space="preserve">This matter was set down as an application for quantification of damages arising from an order of 16 October 2015 </w:t>
      </w:r>
      <w:r w:rsidR="00220F9F">
        <w:t>where</w:t>
      </w:r>
      <w:r w:rsidR="00CB6302">
        <w:t xml:space="preserve"> the Labour Court </w:t>
      </w:r>
      <w:r w:rsidR="00220F9F">
        <w:t>ordered</w:t>
      </w:r>
      <w:r w:rsidR="00CB6302">
        <w:t xml:space="preserve"> </w:t>
      </w:r>
      <w:r w:rsidR="00A14B1B">
        <w:t>that the</w:t>
      </w:r>
      <w:r w:rsidR="00CB6302">
        <w:t xml:space="preserve"> labour matter pitting the applicant and the respondent employer</w:t>
      </w:r>
      <w:r w:rsidR="009147A5">
        <w:t xml:space="preserve"> be heard de</w:t>
      </w:r>
      <w:r w:rsidR="00FB1F06">
        <w:t xml:space="preserve"> </w:t>
      </w:r>
      <w:r w:rsidR="009147A5">
        <w:t>novo at arbitr</w:t>
      </w:r>
      <w:r w:rsidR="00220F9F">
        <w:t>ation</w:t>
      </w:r>
      <w:r w:rsidR="00C753FC">
        <w:t xml:space="preserve"> after it was observed that the arbitral award had been a terse award divorced from the shop floor proceedings in the matter.  </w:t>
      </w:r>
    </w:p>
    <w:p w:rsidR="00220F9F" w:rsidRDefault="00220F9F" w:rsidP="00220F9F">
      <w:pPr>
        <w:jc w:val="both"/>
      </w:pPr>
    </w:p>
    <w:p w:rsidR="00756CE5" w:rsidRDefault="00C753FC" w:rsidP="00220F9F">
      <w:pPr>
        <w:spacing w:line="360" w:lineRule="auto"/>
        <w:ind w:firstLine="720"/>
        <w:jc w:val="both"/>
      </w:pPr>
      <w:r>
        <w:t xml:space="preserve">On the hearing </w:t>
      </w:r>
      <w:r w:rsidR="00220F9F">
        <w:t>date</w:t>
      </w:r>
      <w:r w:rsidR="00FB1F06">
        <w:t xml:space="preserve"> it </w:t>
      </w:r>
      <w:r w:rsidR="00866562">
        <w:t>dawned on</w:t>
      </w:r>
      <w:r w:rsidR="00B104C0">
        <w:t xml:space="preserve"> the court that there was an administ</w:t>
      </w:r>
      <w:r w:rsidR="00866562">
        <w:t>rative challenge as the operation</w:t>
      </w:r>
      <w:r w:rsidR="00F67B13">
        <w:t xml:space="preserve"> of the court’s order</w:t>
      </w:r>
      <w:r w:rsidR="00F912A5">
        <w:t xml:space="preserve"> of 16 October 2015.  This was so because the duty to re-hear the matter was placed on the </w:t>
      </w:r>
      <w:r w:rsidR="00AD70E0">
        <w:t xml:space="preserve">arbitrator’s shoulders and no mechanism was prescribed in the </w:t>
      </w:r>
      <w:r w:rsidR="004C7F47">
        <w:t xml:space="preserve">order as to how that could be achieved in terms of who should set </w:t>
      </w:r>
      <w:r w:rsidR="009A577A">
        <w:t xml:space="preserve">in motion the </w:t>
      </w:r>
      <w:r w:rsidR="00697EBA">
        <w:t xml:space="preserve">re-hearing.  </w:t>
      </w:r>
    </w:p>
    <w:p w:rsidR="00756CE5" w:rsidRDefault="00756CE5" w:rsidP="00756CE5">
      <w:pPr>
        <w:ind w:firstLine="720"/>
        <w:jc w:val="both"/>
      </w:pPr>
    </w:p>
    <w:p w:rsidR="0038273A" w:rsidRDefault="00697EBA" w:rsidP="00220F9F">
      <w:pPr>
        <w:spacing w:line="360" w:lineRule="auto"/>
        <w:ind w:firstLine="720"/>
        <w:jc w:val="both"/>
      </w:pPr>
      <w:r>
        <w:t>The employee</w:t>
      </w:r>
      <w:r w:rsidR="00E157A4">
        <w:t xml:space="preserve"> contended that it was the employer whilst the employer contended that since the order was </w:t>
      </w:r>
      <w:r w:rsidR="000022B1">
        <w:t>silent i</w:t>
      </w:r>
      <w:r w:rsidR="0081550B">
        <w:t>n that aspect it could therefore not be held liable</w:t>
      </w:r>
      <w:r w:rsidR="00347236">
        <w:t xml:space="preserve"> for what it was not mandated to do.  It ended up suggesting that the practical challenge be devilling the case could at best </w:t>
      </w:r>
      <w:r w:rsidR="00BC3C2D">
        <w:t xml:space="preserve">be a case of an order crying </w:t>
      </w:r>
      <w:r w:rsidR="00BC3C2D">
        <w:lastRenderedPageBreak/>
        <w:t>for correct</w:t>
      </w:r>
      <w:r w:rsidR="000022B1">
        <w:t>ion to plug the holes</w:t>
      </w:r>
      <w:r w:rsidR="00BC3C2D">
        <w:t xml:space="preserve"> which have given these to the problems </w:t>
      </w:r>
      <w:r w:rsidR="00E74C63">
        <w:t>not attendant o</w:t>
      </w:r>
      <w:r w:rsidR="008342F2">
        <w:t>n</w:t>
      </w:r>
      <w:r w:rsidR="00E74C63">
        <w:t xml:space="preserve"> the </w:t>
      </w:r>
      <w:r w:rsidR="008342F2">
        <w:t>matter</w:t>
      </w:r>
      <w:r w:rsidR="00D704C1">
        <w:t>.</w:t>
      </w:r>
    </w:p>
    <w:p w:rsidR="008E03E7" w:rsidRDefault="008E03E7" w:rsidP="00337357">
      <w:pPr>
        <w:jc w:val="both"/>
      </w:pPr>
    </w:p>
    <w:p w:rsidR="008E03E7" w:rsidRDefault="008E03E7" w:rsidP="0038273A">
      <w:pPr>
        <w:spacing w:line="360" w:lineRule="auto"/>
        <w:jc w:val="both"/>
      </w:pPr>
      <w:r>
        <w:tab/>
        <w:t xml:space="preserve">It is the practical </w:t>
      </w:r>
      <w:r w:rsidR="00CA0665">
        <w:t>niceties</w:t>
      </w:r>
      <w:r w:rsidR="009D03B3">
        <w:t xml:space="preserve"> of the judgment which prompted the court to ask both parties to address it on </w:t>
      </w:r>
      <w:r w:rsidR="00D52DD5">
        <w:t>whether the quanti</w:t>
      </w:r>
      <w:r w:rsidR="004E665D">
        <w:t xml:space="preserve">fication was properly or prematurely before </w:t>
      </w:r>
      <w:r w:rsidR="00CA0665">
        <w:t>it</w:t>
      </w:r>
      <w:r w:rsidR="004E665D">
        <w:t>.  It is</w:t>
      </w:r>
      <w:r w:rsidR="00BB099D">
        <w:t xml:space="preserve"> only</w:t>
      </w:r>
      <w:r w:rsidR="004E665D">
        <w:t xml:space="preserve"> this aspect which is addressed</w:t>
      </w:r>
      <w:r w:rsidR="00727F09">
        <w:t xml:space="preserve"> by this judgment.</w:t>
      </w:r>
    </w:p>
    <w:p w:rsidR="00727F09" w:rsidRDefault="00727F09" w:rsidP="00FF3483">
      <w:pPr>
        <w:jc w:val="both"/>
      </w:pPr>
    </w:p>
    <w:p w:rsidR="008C5041" w:rsidRDefault="00727F09" w:rsidP="0038273A">
      <w:pPr>
        <w:spacing w:line="360" w:lineRule="auto"/>
        <w:jc w:val="both"/>
      </w:pPr>
      <w:r>
        <w:tab/>
        <w:t xml:space="preserve">For the employee it was argued that since at inception of the matter only the employee </w:t>
      </w:r>
      <w:r w:rsidR="00BB099D">
        <w:t>and employer were involved i</w:t>
      </w:r>
      <w:r w:rsidR="005564F6">
        <w:t>n the matter</w:t>
      </w:r>
      <w:r w:rsidR="00BB099D">
        <w:t xml:space="preserve"> i</w:t>
      </w:r>
      <w:r w:rsidR="005564F6">
        <w:t>t means</w:t>
      </w:r>
      <w:r w:rsidR="00DF22E0">
        <w:t xml:space="preserve"> that</w:t>
      </w:r>
      <w:r w:rsidR="00BB099D">
        <w:t xml:space="preserve"> the</w:t>
      </w:r>
      <w:r w:rsidR="00DF22E0">
        <w:t xml:space="preserve"> duty </w:t>
      </w:r>
      <w:r w:rsidR="00BB099D">
        <w:t>to initiate</w:t>
      </w:r>
      <w:r w:rsidR="00F47361">
        <w:t xml:space="preserve"> </w:t>
      </w:r>
      <w:r w:rsidR="00DF22E0">
        <w:t>de novo arbitral proceeding</w:t>
      </w:r>
      <w:r w:rsidR="00F47361">
        <w:t>s</w:t>
      </w:r>
      <w:r w:rsidR="00DF22E0">
        <w:t xml:space="preserve"> </w:t>
      </w:r>
      <w:r w:rsidR="002B4A85">
        <w:t>rested with the employer.  He argued that to the best of his unders</w:t>
      </w:r>
      <w:r w:rsidR="003D47C7">
        <w:t>ta</w:t>
      </w:r>
      <w:r w:rsidR="00F47361">
        <w:t>nding</w:t>
      </w:r>
      <w:r w:rsidR="008C5041">
        <w:t xml:space="preserve"> the</w:t>
      </w:r>
      <w:r w:rsidR="00F47361">
        <w:t xml:space="preserve"> employer only sought to </w:t>
      </w:r>
      <w:r w:rsidR="002B4A85">
        <w:t>engage the de novo hea</w:t>
      </w:r>
      <w:r w:rsidR="00FB4A7A">
        <w:t xml:space="preserve">ring gear when he had already filed his quantification claim, which claim caused the </w:t>
      </w:r>
      <w:r w:rsidR="002B2874">
        <w:t>arbitrator then</w:t>
      </w:r>
      <w:r w:rsidR="00232EAE">
        <w:t xml:space="preserve"> seized with the matter to do the de novo hearing to rule that he had no jurisdiction to dealt with the matter as there was now a pending </w:t>
      </w:r>
      <w:r w:rsidR="0047677A">
        <w:t>L</w:t>
      </w:r>
      <w:r w:rsidR="00232EAE">
        <w:t>abour</w:t>
      </w:r>
      <w:r w:rsidR="0047677A">
        <w:t xml:space="preserve"> Court quantification claim hence the </w:t>
      </w:r>
      <w:proofErr w:type="spellStart"/>
      <w:r w:rsidR="0047677A">
        <w:t>lis</w:t>
      </w:r>
      <w:proofErr w:type="spellEnd"/>
      <w:r w:rsidR="0047677A">
        <w:t xml:space="preserve"> </w:t>
      </w:r>
      <w:proofErr w:type="spellStart"/>
      <w:r w:rsidR="0047677A">
        <w:t>pendens</w:t>
      </w:r>
      <w:proofErr w:type="spellEnd"/>
      <w:r w:rsidR="0047677A">
        <w:t xml:space="preserve"> doct</w:t>
      </w:r>
      <w:r w:rsidR="00375A95">
        <w:t xml:space="preserve">rine would </w:t>
      </w:r>
      <w:proofErr w:type="spellStart"/>
      <w:r w:rsidR="008C5041">
        <w:t>estopp</w:t>
      </w:r>
      <w:proofErr w:type="spellEnd"/>
      <w:r w:rsidR="008C5041">
        <w:t xml:space="preserve"> h</w:t>
      </w:r>
      <w:r w:rsidR="00375A95">
        <w:t>im from complying with the order of 16 June 2015</w:t>
      </w:r>
      <w:r w:rsidR="00764B0C">
        <w:t xml:space="preserve">.  </w:t>
      </w:r>
    </w:p>
    <w:p w:rsidR="008C5041" w:rsidRDefault="008C5041" w:rsidP="008C5041">
      <w:pPr>
        <w:ind w:firstLine="720"/>
        <w:jc w:val="both"/>
      </w:pPr>
    </w:p>
    <w:p w:rsidR="00CD1686" w:rsidRDefault="00764B0C" w:rsidP="008C5041">
      <w:pPr>
        <w:spacing w:line="360" w:lineRule="auto"/>
        <w:ind w:firstLine="720"/>
        <w:jc w:val="both"/>
      </w:pPr>
      <w:r>
        <w:t xml:space="preserve">The employee was adamant that on account of the 3 month operative </w:t>
      </w:r>
      <w:r w:rsidR="00CD1686">
        <w:t>period he wa</w:t>
      </w:r>
      <w:r>
        <w:t>s within his rights</w:t>
      </w:r>
      <w:r w:rsidR="002512A7">
        <w:t xml:space="preserve"> to </w:t>
      </w:r>
      <w:r w:rsidR="00B00364">
        <w:t>deman</w:t>
      </w:r>
      <w:r w:rsidR="00A051D1">
        <w:t>d</w:t>
      </w:r>
      <w:r w:rsidR="00B00364">
        <w:t xml:space="preserve"> that</w:t>
      </w:r>
      <w:r w:rsidR="002512A7">
        <w:t xml:space="preserve"> his matter be quantified as </w:t>
      </w:r>
      <w:r w:rsidR="009856DA">
        <w:t xml:space="preserve">he genuinely believes that the </w:t>
      </w:r>
      <w:r w:rsidR="00A051D1">
        <w:t>employer lost the case once</w:t>
      </w:r>
      <w:r w:rsidR="00561FE3">
        <w:t xml:space="preserve"> the 3 month re-hearing period had </w:t>
      </w:r>
      <w:r w:rsidR="00270CC5">
        <w:t xml:space="preserve">prescribed.  He therefore prayed that the </w:t>
      </w:r>
      <w:r w:rsidR="00323F21">
        <w:t>court hold that his application is properly before the court and that it accordingly be entertained</w:t>
      </w:r>
      <w:r w:rsidR="009F5C89">
        <w:t xml:space="preserve">.  </w:t>
      </w:r>
    </w:p>
    <w:p w:rsidR="00CD1686" w:rsidRDefault="00CD1686" w:rsidP="00CD1686">
      <w:pPr>
        <w:ind w:firstLine="720"/>
        <w:jc w:val="both"/>
      </w:pPr>
    </w:p>
    <w:p w:rsidR="00727F09" w:rsidRDefault="009F5C89" w:rsidP="008C5041">
      <w:pPr>
        <w:spacing w:line="360" w:lineRule="auto"/>
        <w:ind w:firstLine="720"/>
        <w:jc w:val="both"/>
      </w:pPr>
      <w:r>
        <w:t>On the other hand</w:t>
      </w:r>
      <w:r w:rsidR="004A78C9">
        <w:t>,</w:t>
      </w:r>
      <w:r>
        <w:t xml:space="preserve"> the employer was adamant that the de novo hearing duty rested with the arbitra</w:t>
      </w:r>
      <w:r w:rsidR="00E95B9C">
        <w:t>tor and the arbitrator</w:t>
      </w:r>
      <w:r w:rsidR="004A78C9">
        <w:t>’s sin</w:t>
      </w:r>
      <w:r w:rsidR="00E95B9C">
        <w:t xml:space="preserve">s could not be visited on it as it was not the </w:t>
      </w:r>
      <w:r w:rsidR="004A78C9">
        <w:t>author</w:t>
      </w:r>
      <w:r w:rsidR="00E95B9C">
        <w:t xml:space="preserve"> of the delay in the satisfaction</w:t>
      </w:r>
      <w:r w:rsidR="00952E1F">
        <w:t xml:space="preserve"> of the de novo hearing order.  In the result the respondent prayed that the quantification application be struck off the roll for being prematurely before the Labour Court</w:t>
      </w:r>
      <w:r w:rsidR="00B041C4">
        <w:t>.</w:t>
      </w:r>
    </w:p>
    <w:p w:rsidR="00B041C4" w:rsidRDefault="00B041C4" w:rsidP="00FF3483">
      <w:pPr>
        <w:jc w:val="both"/>
      </w:pPr>
    </w:p>
    <w:p w:rsidR="00F57A01" w:rsidRDefault="00B041C4" w:rsidP="0038273A">
      <w:pPr>
        <w:spacing w:line="360" w:lineRule="auto"/>
        <w:jc w:val="both"/>
      </w:pPr>
      <w:r>
        <w:tab/>
        <w:t>It is important to observe that both parties’ arguments are</w:t>
      </w:r>
      <w:r w:rsidR="00E74E9E">
        <w:t xml:space="preserve"> well </w:t>
      </w:r>
      <w:r w:rsidR="00090949">
        <w:t>placed</w:t>
      </w:r>
      <w:r w:rsidR="00E74E9E">
        <w:t xml:space="preserve"> </w:t>
      </w:r>
      <w:r w:rsidR="00090949">
        <w:t xml:space="preserve">in so far as they realise the fact that the compliance with the de </w:t>
      </w:r>
      <w:r w:rsidR="00D53778">
        <w:t xml:space="preserve">novo </w:t>
      </w:r>
      <w:r w:rsidR="00A27CBA">
        <w:t xml:space="preserve">order was an administrative tribunal function.  Even as the applicant argues that the respondent was duty bound to set the de novo </w:t>
      </w:r>
      <w:r w:rsidR="00CD4A8E">
        <w:t>motion it is important to note that such wou</w:t>
      </w:r>
      <w:r w:rsidR="009F01C3">
        <w:t xml:space="preserve">ld as </w:t>
      </w:r>
      <w:r w:rsidR="009F01C3">
        <w:lastRenderedPageBreak/>
        <w:t>far as it</w:t>
      </w:r>
      <w:r w:rsidR="008222B2">
        <w:t xml:space="preserve"> go</w:t>
      </w:r>
      <w:r w:rsidR="00F57A01">
        <w:t>es</w:t>
      </w:r>
      <w:r w:rsidR="008222B2">
        <w:t>.</w:t>
      </w:r>
      <w:r w:rsidR="006F1051">
        <w:t xml:space="preserve"> The practical satisfaction of that order </w:t>
      </w:r>
      <w:r w:rsidR="00F57A01">
        <w:t>lay</w:t>
      </w:r>
      <w:r w:rsidR="006F1051">
        <w:t xml:space="preserve"> squarely within the administrative </w:t>
      </w:r>
      <w:r w:rsidR="00857E4D">
        <w:t xml:space="preserve">capabilities of the arbitral tribunal.  </w:t>
      </w:r>
    </w:p>
    <w:p w:rsidR="00F57A01" w:rsidRDefault="00F57A01" w:rsidP="00F57A01">
      <w:pPr>
        <w:ind w:firstLine="720"/>
        <w:jc w:val="both"/>
      </w:pPr>
    </w:p>
    <w:p w:rsidR="005C43C8" w:rsidRDefault="00857E4D" w:rsidP="00F57A01">
      <w:pPr>
        <w:spacing w:line="360" w:lineRule="auto"/>
        <w:ind w:firstLine="720"/>
        <w:jc w:val="both"/>
      </w:pPr>
      <w:r>
        <w:t>That having been said it would then make a mockery of the order to impute the</w:t>
      </w:r>
      <w:r w:rsidR="00EE28C7">
        <w:t xml:space="preserve"> net defaulting effects </w:t>
      </w:r>
      <w:r w:rsidR="008D533E">
        <w:t>of the de novo order on the respondent.  This is so because as observed above the full compliance of that ord</w:t>
      </w:r>
      <w:r w:rsidR="0046382F">
        <w:t>er lay with the arbitral tribunal and not with itself.  The court is therefore in agreement with the respondent when it argues that the instant application is prematurely</w:t>
      </w:r>
      <w:r w:rsidR="009C1BE1">
        <w:t xml:space="preserve"> before the court.  Equally the court finds no fault with the arbitral decision that when the quantification claim was before the Labour Court </w:t>
      </w:r>
      <w:r w:rsidR="00AC7ED2">
        <w:t xml:space="preserve">the arbitrator could not proceed to do the de novo hearing.  </w:t>
      </w:r>
    </w:p>
    <w:p w:rsidR="005C43C8" w:rsidRDefault="005C43C8" w:rsidP="005C43C8">
      <w:pPr>
        <w:ind w:firstLine="720"/>
        <w:jc w:val="both"/>
      </w:pPr>
    </w:p>
    <w:p w:rsidR="00CB6C7F" w:rsidRDefault="005C43C8" w:rsidP="00F57A01">
      <w:pPr>
        <w:spacing w:line="360" w:lineRule="auto"/>
        <w:ind w:firstLine="720"/>
        <w:jc w:val="both"/>
      </w:pPr>
      <w:r>
        <w:t>W</w:t>
      </w:r>
      <w:r w:rsidR="001F247A">
        <w:t xml:space="preserve">hat is clear from the 16 October 2015 judgment is that its enforceability remains in the arbitral </w:t>
      </w:r>
      <w:r w:rsidR="004B44EC">
        <w:t>domain and only after shortcomings observed by the court in that judgment have been addressed it is only then</w:t>
      </w:r>
      <w:r w:rsidR="00824264">
        <w:t xml:space="preserve"> that effect</w:t>
      </w:r>
      <w:r>
        <w:t xml:space="preserve">ive relief can </w:t>
      </w:r>
      <w:r w:rsidR="00CB6C7F">
        <w:t>low from</w:t>
      </w:r>
      <w:r w:rsidR="00824264">
        <w:t xml:space="preserve"> it.  </w:t>
      </w:r>
    </w:p>
    <w:p w:rsidR="00CB6C7F" w:rsidRDefault="00CB6C7F" w:rsidP="00CB6C7F">
      <w:pPr>
        <w:ind w:firstLine="720"/>
        <w:jc w:val="both"/>
      </w:pPr>
    </w:p>
    <w:p w:rsidR="00693A60" w:rsidRDefault="00CB6C7F" w:rsidP="00F57A01">
      <w:pPr>
        <w:spacing w:line="360" w:lineRule="auto"/>
        <w:ind w:firstLine="720"/>
        <w:jc w:val="both"/>
      </w:pPr>
      <w:r>
        <w:t>T</w:t>
      </w:r>
      <w:r w:rsidR="00824264">
        <w:t>he paragraph referring to reinstatement upon failure to do de</w:t>
      </w:r>
      <w:r w:rsidR="00276B33">
        <w:t xml:space="preserve"> </w:t>
      </w:r>
      <w:r>
        <w:t>novo hearing within</w:t>
      </w:r>
      <w:r w:rsidR="00824264">
        <w:t xml:space="preserve"> months becomes only of </w:t>
      </w:r>
      <w:r w:rsidR="00276B33">
        <w:t>academic</w:t>
      </w:r>
      <w:r w:rsidR="00824264">
        <w:t xml:space="preserve">  </w:t>
      </w:r>
      <w:r w:rsidR="00276B33">
        <w:t xml:space="preserve">importance as it is not possible to be satisfied at the </w:t>
      </w:r>
      <w:r w:rsidR="00555C9D">
        <w:t xml:space="preserve">instance  of either party to the </w:t>
      </w:r>
      <w:r w:rsidR="00693A60">
        <w:t>action</w:t>
      </w:r>
      <w:r w:rsidR="00555C9D">
        <w:t xml:space="preserve"> but rather</w:t>
      </w:r>
      <w:r w:rsidR="004B44EC">
        <w:t xml:space="preserve"> </w:t>
      </w:r>
      <w:r w:rsidR="00555C9D">
        <w:t xml:space="preserve">at the </w:t>
      </w:r>
      <w:r w:rsidR="00BC0A11">
        <w:t>instance of a 3</w:t>
      </w:r>
      <w:r w:rsidR="00BC0A11" w:rsidRPr="00BC0A11">
        <w:rPr>
          <w:vertAlign w:val="superscript"/>
        </w:rPr>
        <w:t>rd</w:t>
      </w:r>
      <w:r w:rsidR="00BC0A11">
        <w:t xml:space="preserve"> party which is the arbitral tribunal.  </w:t>
      </w:r>
    </w:p>
    <w:p w:rsidR="00693A60" w:rsidRDefault="00693A60" w:rsidP="00693A60">
      <w:pPr>
        <w:ind w:firstLine="720"/>
        <w:jc w:val="both"/>
      </w:pPr>
    </w:p>
    <w:p w:rsidR="00D23648" w:rsidRDefault="00BC0A11" w:rsidP="00F57A01">
      <w:pPr>
        <w:spacing w:line="360" w:lineRule="auto"/>
        <w:ind w:firstLine="720"/>
        <w:jc w:val="both"/>
      </w:pPr>
      <w:r>
        <w:t xml:space="preserve">In the </w:t>
      </w:r>
      <w:r w:rsidR="0045558A">
        <w:t xml:space="preserve">court’s view the </w:t>
      </w:r>
      <w:r w:rsidR="00D211A0">
        <w:t>pragmatic</w:t>
      </w:r>
      <w:r w:rsidR="0045558A">
        <w:t xml:space="preserve"> </w:t>
      </w:r>
      <w:r w:rsidR="00D14F9F">
        <w:t>r</w:t>
      </w:r>
      <w:r w:rsidR="0045558A">
        <w:t xml:space="preserve">emedy is to strike off the </w:t>
      </w:r>
      <w:r w:rsidR="00573DC5">
        <w:t>qua</w:t>
      </w:r>
      <w:r w:rsidR="00D211A0">
        <w:t>ntification</w:t>
      </w:r>
      <w:r w:rsidR="009C23D2">
        <w:t xml:space="preserve"> </w:t>
      </w:r>
      <w:r w:rsidR="00D14F9F">
        <w:t>c</w:t>
      </w:r>
      <w:r w:rsidR="009C23D2">
        <w:t>laim on the basis of it being prematurely before the court</w:t>
      </w:r>
      <w:r w:rsidR="00D14F9F">
        <w:t xml:space="preserve"> and a remittal of the main matter to arbitration for compliance with the 16 October 2</w:t>
      </w:r>
      <w:r w:rsidR="004C458C">
        <w:t xml:space="preserve">015 order but with the </w:t>
      </w:r>
      <w:r w:rsidR="006C124A">
        <w:t>modification</w:t>
      </w:r>
      <w:r w:rsidR="004C458C">
        <w:t xml:space="preserve"> that the de novo hearing be done within a reasonable time depending on the arbitral tribunals disposition.</w:t>
      </w:r>
    </w:p>
    <w:p w:rsidR="00D23648" w:rsidRDefault="00D23648" w:rsidP="00FF3483">
      <w:pPr>
        <w:jc w:val="both"/>
      </w:pPr>
    </w:p>
    <w:p w:rsidR="00803F5D" w:rsidRDefault="00803F5D" w:rsidP="0038273A">
      <w:pPr>
        <w:spacing w:line="360" w:lineRule="auto"/>
        <w:jc w:val="both"/>
      </w:pPr>
      <w:r>
        <w:t>IT IS ORDERED THAT</w:t>
      </w:r>
    </w:p>
    <w:p w:rsidR="00803F5D" w:rsidRDefault="00803F5D" w:rsidP="0038273A">
      <w:pPr>
        <w:spacing w:line="360" w:lineRule="auto"/>
        <w:jc w:val="both"/>
      </w:pPr>
    </w:p>
    <w:p w:rsidR="00E45BB0" w:rsidRDefault="00803F5D" w:rsidP="0038273A">
      <w:pPr>
        <w:spacing w:line="360" w:lineRule="auto"/>
        <w:jc w:val="both"/>
      </w:pPr>
      <w:r>
        <w:t>Quantification application being prematurely before the court it be a</w:t>
      </w:r>
      <w:r w:rsidR="00E45BB0">
        <w:t>nd is hereby struck off the roll. The matter giving rise to</w:t>
      </w:r>
      <w:r w:rsidR="00A3292B">
        <w:t xml:space="preserve"> the</w:t>
      </w:r>
      <w:r w:rsidR="00E45BB0">
        <w:t xml:space="preserve"> quantification claim is remitted to arbitration to be reheard by another arbitrator with</w:t>
      </w:r>
      <w:r w:rsidR="00A3292B">
        <w:t>in</w:t>
      </w:r>
      <w:r w:rsidR="00E45BB0">
        <w:t xml:space="preserve"> the</w:t>
      </w:r>
      <w:r w:rsidR="00B81FE1">
        <w:t xml:space="preserve"> terms of the 16 October 2015 order but now with the qualification that such de novo hearing be done within </w:t>
      </w:r>
      <w:r w:rsidR="00B81FE1">
        <w:lastRenderedPageBreak/>
        <w:t xml:space="preserve">a reasonable time according to the arbitral </w:t>
      </w:r>
      <w:r w:rsidR="009A1E24">
        <w:t>tribunal’s</w:t>
      </w:r>
      <w:r w:rsidR="00B81FE1">
        <w:t xml:space="preserve"> </w:t>
      </w:r>
      <w:r w:rsidR="00932633">
        <w:t>administrative capacity.  Each party bears own costs.</w:t>
      </w:r>
    </w:p>
    <w:p w:rsidR="00AD7AD9" w:rsidRDefault="00AD7AD9" w:rsidP="0038273A">
      <w:pPr>
        <w:spacing w:line="360" w:lineRule="auto"/>
        <w:jc w:val="both"/>
      </w:pPr>
    </w:p>
    <w:p w:rsidR="00AD7AD9" w:rsidRDefault="00AD7AD9" w:rsidP="0038273A">
      <w:pPr>
        <w:spacing w:line="360" w:lineRule="auto"/>
        <w:jc w:val="both"/>
      </w:pPr>
    </w:p>
    <w:p w:rsidR="00AD7AD9" w:rsidRDefault="00AD7AD9" w:rsidP="0038273A">
      <w:pPr>
        <w:spacing w:line="360" w:lineRule="auto"/>
        <w:jc w:val="both"/>
      </w:pPr>
      <w:proofErr w:type="spellStart"/>
      <w:r w:rsidRPr="00F47CF3">
        <w:rPr>
          <w:i/>
        </w:rPr>
        <w:t>Lunga</w:t>
      </w:r>
      <w:proofErr w:type="spellEnd"/>
      <w:r w:rsidRPr="00F47CF3">
        <w:rPr>
          <w:i/>
        </w:rPr>
        <w:t xml:space="preserve">, </w:t>
      </w:r>
      <w:proofErr w:type="spellStart"/>
      <w:r w:rsidRPr="00F47CF3">
        <w:rPr>
          <w:i/>
        </w:rPr>
        <w:t>Gonese</w:t>
      </w:r>
      <w:proofErr w:type="spellEnd"/>
      <w:r w:rsidR="00F47CF3" w:rsidRPr="00F47CF3">
        <w:rPr>
          <w:i/>
        </w:rPr>
        <w:t xml:space="preserve"> </w:t>
      </w:r>
      <w:r w:rsidR="004A5A6F">
        <w:rPr>
          <w:i/>
        </w:rPr>
        <w:t>Attorneys</w:t>
      </w:r>
      <w:r w:rsidR="00F47CF3">
        <w:t>, respondent’s legal practitioners</w:t>
      </w:r>
    </w:p>
    <w:sectPr w:rsidR="00AD7AD9" w:rsidSect="00C906A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D9" w:rsidRDefault="00481AD9" w:rsidP="00C906A7">
      <w:r>
        <w:separator/>
      </w:r>
    </w:p>
  </w:endnote>
  <w:endnote w:type="continuationSeparator" w:id="0">
    <w:p w:rsidR="00481AD9" w:rsidRDefault="00481AD9" w:rsidP="00C9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733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BB0" w:rsidRDefault="00E45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6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5BB0" w:rsidRDefault="00E45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D9" w:rsidRDefault="00481AD9" w:rsidP="00C906A7">
      <w:r>
        <w:separator/>
      </w:r>
    </w:p>
  </w:footnote>
  <w:footnote w:type="continuationSeparator" w:id="0">
    <w:p w:rsidR="00481AD9" w:rsidRDefault="00481AD9" w:rsidP="00C9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B0" w:rsidRPr="00C906A7" w:rsidRDefault="00E45BB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1D0D0A">
      <w:rPr>
        <w:lang w:val="en-ZW"/>
      </w:rPr>
      <w:t>599</w:t>
    </w:r>
    <w:r>
      <w:rPr>
        <w:lang w:val="en-ZW"/>
      </w:rP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BF"/>
    <w:rsid w:val="000022B1"/>
    <w:rsid w:val="00031E14"/>
    <w:rsid w:val="00090949"/>
    <w:rsid w:val="001D0D0A"/>
    <w:rsid w:val="001F247A"/>
    <w:rsid w:val="001F629E"/>
    <w:rsid w:val="00220F9F"/>
    <w:rsid w:val="00232EAE"/>
    <w:rsid w:val="002405DD"/>
    <w:rsid w:val="002512A7"/>
    <w:rsid w:val="00270CC5"/>
    <w:rsid w:val="00270D50"/>
    <w:rsid w:val="00276B33"/>
    <w:rsid w:val="002A534A"/>
    <w:rsid w:val="002B2874"/>
    <w:rsid w:val="002B4A85"/>
    <w:rsid w:val="00323F21"/>
    <w:rsid w:val="00337357"/>
    <w:rsid w:val="00347236"/>
    <w:rsid w:val="00375A95"/>
    <w:rsid w:val="0038273A"/>
    <w:rsid w:val="003D47C7"/>
    <w:rsid w:val="0045558A"/>
    <w:rsid w:val="0046382F"/>
    <w:rsid w:val="0047677A"/>
    <w:rsid w:val="00481AD9"/>
    <w:rsid w:val="004A5A6F"/>
    <w:rsid w:val="004A78C9"/>
    <w:rsid w:val="004B44EC"/>
    <w:rsid w:val="004C458C"/>
    <w:rsid w:val="004C7F47"/>
    <w:rsid w:val="004D135E"/>
    <w:rsid w:val="004E665D"/>
    <w:rsid w:val="00525425"/>
    <w:rsid w:val="00555C9D"/>
    <w:rsid w:val="005564F6"/>
    <w:rsid w:val="00561FE3"/>
    <w:rsid w:val="00573DC5"/>
    <w:rsid w:val="005C43C8"/>
    <w:rsid w:val="006641BF"/>
    <w:rsid w:val="00693A60"/>
    <w:rsid w:val="00697EBA"/>
    <w:rsid w:val="006C124A"/>
    <w:rsid w:val="006C3D30"/>
    <w:rsid w:val="006C592F"/>
    <w:rsid w:val="006D7BEA"/>
    <w:rsid w:val="006F1051"/>
    <w:rsid w:val="00727F09"/>
    <w:rsid w:val="00756CE5"/>
    <w:rsid w:val="00764B0C"/>
    <w:rsid w:val="007A55D7"/>
    <w:rsid w:val="007D5834"/>
    <w:rsid w:val="00803F5D"/>
    <w:rsid w:val="0081550B"/>
    <w:rsid w:val="008222B2"/>
    <w:rsid w:val="00824264"/>
    <w:rsid w:val="008342F2"/>
    <w:rsid w:val="00850E13"/>
    <w:rsid w:val="00857E4D"/>
    <w:rsid w:val="00866562"/>
    <w:rsid w:val="008C5041"/>
    <w:rsid w:val="008D533E"/>
    <w:rsid w:val="008E03E7"/>
    <w:rsid w:val="009147A5"/>
    <w:rsid w:val="00932633"/>
    <w:rsid w:val="00952E1F"/>
    <w:rsid w:val="009856DA"/>
    <w:rsid w:val="009A1E24"/>
    <w:rsid w:val="009A577A"/>
    <w:rsid w:val="009C1BE1"/>
    <w:rsid w:val="009C23D2"/>
    <w:rsid w:val="009D03B3"/>
    <w:rsid w:val="009D66B0"/>
    <w:rsid w:val="009F01C3"/>
    <w:rsid w:val="009F5C89"/>
    <w:rsid w:val="00A051D1"/>
    <w:rsid w:val="00A14B1B"/>
    <w:rsid w:val="00A27CBA"/>
    <w:rsid w:val="00A3292B"/>
    <w:rsid w:val="00A817E9"/>
    <w:rsid w:val="00A821FD"/>
    <w:rsid w:val="00AC7ED2"/>
    <w:rsid w:val="00AD70E0"/>
    <w:rsid w:val="00AD7AD9"/>
    <w:rsid w:val="00B00364"/>
    <w:rsid w:val="00B041C4"/>
    <w:rsid w:val="00B104C0"/>
    <w:rsid w:val="00B14087"/>
    <w:rsid w:val="00B80707"/>
    <w:rsid w:val="00B81FE1"/>
    <w:rsid w:val="00BB099D"/>
    <w:rsid w:val="00BB77AC"/>
    <w:rsid w:val="00BC0A11"/>
    <w:rsid w:val="00BC3C2D"/>
    <w:rsid w:val="00C135FD"/>
    <w:rsid w:val="00C753FC"/>
    <w:rsid w:val="00C906A7"/>
    <w:rsid w:val="00CA0665"/>
    <w:rsid w:val="00CA3B05"/>
    <w:rsid w:val="00CB6302"/>
    <w:rsid w:val="00CB6C7F"/>
    <w:rsid w:val="00CD1686"/>
    <w:rsid w:val="00CD4A8E"/>
    <w:rsid w:val="00D07B49"/>
    <w:rsid w:val="00D14F9F"/>
    <w:rsid w:val="00D211A0"/>
    <w:rsid w:val="00D23648"/>
    <w:rsid w:val="00D52DD5"/>
    <w:rsid w:val="00D53778"/>
    <w:rsid w:val="00D565DC"/>
    <w:rsid w:val="00D704C1"/>
    <w:rsid w:val="00D87F4F"/>
    <w:rsid w:val="00DA3660"/>
    <w:rsid w:val="00DD4FE0"/>
    <w:rsid w:val="00DF22E0"/>
    <w:rsid w:val="00E157A4"/>
    <w:rsid w:val="00E45BB0"/>
    <w:rsid w:val="00E74C63"/>
    <w:rsid w:val="00E74E9E"/>
    <w:rsid w:val="00E95B9C"/>
    <w:rsid w:val="00EE28C7"/>
    <w:rsid w:val="00EF0635"/>
    <w:rsid w:val="00F47361"/>
    <w:rsid w:val="00F47CF3"/>
    <w:rsid w:val="00F57A01"/>
    <w:rsid w:val="00F67B13"/>
    <w:rsid w:val="00F838EE"/>
    <w:rsid w:val="00F84DE9"/>
    <w:rsid w:val="00F863F1"/>
    <w:rsid w:val="00F912A5"/>
    <w:rsid w:val="00FB1F06"/>
    <w:rsid w:val="00FB4A7A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B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6A7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0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6A7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F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F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B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6A7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0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6A7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F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F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AE52-819E-45B6-B591-8387D81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51</cp:revision>
  <cp:lastPrinted>2016-09-23T07:26:00Z</cp:lastPrinted>
  <dcterms:created xsi:type="dcterms:W3CDTF">2016-09-09T12:53:00Z</dcterms:created>
  <dcterms:modified xsi:type="dcterms:W3CDTF">2016-10-05T14:14:00Z</dcterms:modified>
</cp:coreProperties>
</file>