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D92BF0" w14:textId="2BB31D34" w:rsidR="003D1371" w:rsidRPr="00A95453" w:rsidRDefault="003D1371" w:rsidP="003D1371">
      <w:pPr>
        <w:rPr>
          <w:rFonts w:ascii="Times New Roman" w:hAnsi="Times New Roman" w:cs="Times New Roman"/>
          <w:b/>
          <w:sz w:val="24"/>
          <w:szCs w:val="24"/>
        </w:rPr>
      </w:pPr>
      <w:bookmarkStart w:id="0" w:name="_GoBack"/>
      <w:bookmarkEnd w:id="0"/>
      <w:r w:rsidRPr="003D1371">
        <w:rPr>
          <w:rFonts w:ascii="Times New Roman" w:hAnsi="Times New Roman" w:cs="Times New Roman"/>
          <w:b/>
          <w:sz w:val="24"/>
          <w:szCs w:val="24"/>
          <w:u w:val="thick"/>
        </w:rPr>
        <w:t>REPORTABLE</w:t>
      </w:r>
      <w:r w:rsidR="00A95453" w:rsidRPr="00A95453">
        <w:rPr>
          <w:rFonts w:ascii="Times New Roman" w:hAnsi="Times New Roman" w:cs="Times New Roman"/>
          <w:b/>
          <w:sz w:val="24"/>
          <w:szCs w:val="24"/>
        </w:rPr>
        <w:tab/>
        <w:t>(</w:t>
      </w:r>
      <w:r w:rsidR="002D6511">
        <w:rPr>
          <w:rFonts w:ascii="Times New Roman" w:hAnsi="Times New Roman" w:cs="Times New Roman"/>
          <w:b/>
          <w:sz w:val="24"/>
          <w:szCs w:val="24"/>
        </w:rPr>
        <w:t>88</w:t>
      </w:r>
      <w:r w:rsidR="00A95453" w:rsidRPr="00A95453">
        <w:rPr>
          <w:rFonts w:ascii="Times New Roman" w:hAnsi="Times New Roman" w:cs="Times New Roman"/>
          <w:b/>
          <w:sz w:val="24"/>
          <w:szCs w:val="24"/>
        </w:rPr>
        <w:t>)</w:t>
      </w:r>
    </w:p>
    <w:p w14:paraId="4509459F" w14:textId="77777777" w:rsidR="003D1371" w:rsidRDefault="003D1371" w:rsidP="003D1371">
      <w:pPr>
        <w:rPr>
          <w:rFonts w:ascii="Times New Roman" w:hAnsi="Times New Roman" w:cs="Times New Roman"/>
          <w:b/>
          <w:sz w:val="24"/>
          <w:szCs w:val="24"/>
        </w:rPr>
      </w:pPr>
    </w:p>
    <w:p w14:paraId="292ADE0A" w14:textId="52CA6D78" w:rsidR="00074AE7" w:rsidRPr="003D1371" w:rsidRDefault="003D1371" w:rsidP="003D137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TAKASHINGA     KARE     HOUSING     PAY     </w:t>
      </w:r>
      <w:r w:rsidR="00074AE7" w:rsidRPr="003D1371">
        <w:rPr>
          <w:rFonts w:ascii="Times New Roman" w:hAnsi="Times New Roman" w:cs="Times New Roman"/>
          <w:b/>
          <w:sz w:val="24"/>
          <w:szCs w:val="24"/>
        </w:rPr>
        <w:t>SCHEME</w:t>
      </w:r>
    </w:p>
    <w:p w14:paraId="6C94DCED" w14:textId="77777777" w:rsidR="00074AE7" w:rsidRPr="003D1371" w:rsidRDefault="00074AE7" w:rsidP="003D1371">
      <w:pPr>
        <w:spacing w:after="0"/>
        <w:jc w:val="center"/>
        <w:rPr>
          <w:rFonts w:ascii="Times New Roman" w:hAnsi="Times New Roman" w:cs="Times New Roman"/>
          <w:b/>
          <w:sz w:val="24"/>
          <w:szCs w:val="24"/>
        </w:rPr>
      </w:pPr>
      <w:r w:rsidRPr="003D1371">
        <w:rPr>
          <w:rFonts w:ascii="Times New Roman" w:hAnsi="Times New Roman" w:cs="Times New Roman"/>
          <w:b/>
          <w:sz w:val="24"/>
          <w:szCs w:val="24"/>
        </w:rPr>
        <w:t>v</w:t>
      </w:r>
    </w:p>
    <w:p w14:paraId="25EC7240" w14:textId="1F4677CE" w:rsidR="00074AE7" w:rsidRPr="003D1371" w:rsidRDefault="00FB123F" w:rsidP="003D1371">
      <w:pPr>
        <w:pStyle w:val="ListParagraph"/>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 xml:space="preserve">    </w:t>
      </w:r>
      <w:r w:rsidR="003D1371">
        <w:rPr>
          <w:rFonts w:ascii="Times New Roman" w:hAnsi="Times New Roman" w:cs="Times New Roman"/>
          <w:b/>
          <w:sz w:val="24"/>
          <w:szCs w:val="24"/>
        </w:rPr>
        <w:t xml:space="preserve">CITY     OF     </w:t>
      </w:r>
      <w:r w:rsidR="00074AE7" w:rsidRPr="003D1371">
        <w:rPr>
          <w:rFonts w:ascii="Times New Roman" w:hAnsi="Times New Roman" w:cs="Times New Roman"/>
          <w:b/>
          <w:sz w:val="24"/>
          <w:szCs w:val="24"/>
        </w:rPr>
        <w:t xml:space="preserve">HARARE </w:t>
      </w:r>
      <w:r w:rsidR="003D1371">
        <w:rPr>
          <w:rFonts w:ascii="Times New Roman" w:hAnsi="Times New Roman" w:cs="Times New Roman"/>
          <w:b/>
          <w:sz w:val="24"/>
          <w:szCs w:val="24"/>
        </w:rPr>
        <w:t xml:space="preserve">    </w:t>
      </w:r>
      <w:r w:rsidR="00074AE7" w:rsidRPr="003D1371">
        <w:rPr>
          <w:rFonts w:ascii="Times New Roman" w:hAnsi="Times New Roman" w:cs="Times New Roman"/>
          <w:b/>
          <w:sz w:val="24"/>
          <w:szCs w:val="24"/>
        </w:rPr>
        <w:t xml:space="preserve">(2) </w:t>
      </w:r>
      <w:r w:rsidR="003D1371">
        <w:rPr>
          <w:rFonts w:ascii="Times New Roman" w:hAnsi="Times New Roman" w:cs="Times New Roman"/>
          <w:b/>
          <w:sz w:val="24"/>
          <w:szCs w:val="24"/>
        </w:rPr>
        <w:t xml:space="preserve">    MINISTER     OF     LOCAL     GOVERNMENT     </w:t>
      </w:r>
      <w:r w:rsidR="00074AE7" w:rsidRPr="003D1371">
        <w:rPr>
          <w:rFonts w:ascii="Times New Roman" w:hAnsi="Times New Roman" w:cs="Times New Roman"/>
          <w:b/>
          <w:sz w:val="24"/>
          <w:szCs w:val="24"/>
        </w:rPr>
        <w:t xml:space="preserve">AND </w:t>
      </w:r>
      <w:r w:rsidR="003D1371">
        <w:rPr>
          <w:rFonts w:ascii="Times New Roman" w:hAnsi="Times New Roman" w:cs="Times New Roman"/>
          <w:b/>
          <w:sz w:val="24"/>
          <w:szCs w:val="24"/>
        </w:rPr>
        <w:t xml:space="preserve">    PUBLIC     WORKS     (3)     YOUTH     IN    BUSINESS     </w:t>
      </w:r>
      <w:r w:rsidR="00074AE7" w:rsidRPr="003D1371">
        <w:rPr>
          <w:rFonts w:ascii="Times New Roman" w:hAnsi="Times New Roman" w:cs="Times New Roman"/>
          <w:b/>
          <w:sz w:val="24"/>
          <w:szCs w:val="24"/>
        </w:rPr>
        <w:t>TRUST</w:t>
      </w:r>
    </w:p>
    <w:p w14:paraId="7AE7C85B" w14:textId="77777777" w:rsidR="00074AE7" w:rsidRPr="003D1371" w:rsidRDefault="00074AE7" w:rsidP="003D1371">
      <w:pPr>
        <w:jc w:val="center"/>
        <w:rPr>
          <w:rFonts w:ascii="Times New Roman" w:hAnsi="Times New Roman" w:cs="Times New Roman"/>
          <w:b/>
          <w:sz w:val="24"/>
          <w:szCs w:val="24"/>
        </w:rPr>
      </w:pPr>
    </w:p>
    <w:p w14:paraId="28FE335C" w14:textId="77777777" w:rsidR="00074AE7" w:rsidRPr="003D1371" w:rsidRDefault="00074AE7" w:rsidP="003D1371">
      <w:pPr>
        <w:spacing w:after="0"/>
        <w:rPr>
          <w:rFonts w:ascii="Times New Roman" w:hAnsi="Times New Roman" w:cs="Times New Roman"/>
          <w:b/>
          <w:sz w:val="24"/>
          <w:szCs w:val="24"/>
        </w:rPr>
      </w:pPr>
    </w:p>
    <w:p w14:paraId="3B052444" w14:textId="77777777" w:rsidR="00074AE7" w:rsidRPr="003D1371" w:rsidRDefault="00074AE7" w:rsidP="003D1371">
      <w:pPr>
        <w:spacing w:after="0"/>
        <w:jc w:val="both"/>
        <w:rPr>
          <w:rFonts w:ascii="Times New Roman" w:hAnsi="Times New Roman" w:cs="Times New Roman"/>
          <w:b/>
          <w:sz w:val="24"/>
          <w:szCs w:val="24"/>
          <w:lang w:val="en-GB"/>
        </w:rPr>
      </w:pPr>
      <w:r w:rsidRPr="003D1371">
        <w:rPr>
          <w:rFonts w:ascii="Times New Roman" w:hAnsi="Times New Roman" w:cs="Times New Roman"/>
          <w:b/>
          <w:sz w:val="24"/>
          <w:szCs w:val="24"/>
          <w:lang w:val="en-GB"/>
        </w:rPr>
        <w:t>SUPREME COURT OF ZIMBABWE</w:t>
      </w:r>
    </w:p>
    <w:p w14:paraId="4F4D285B" w14:textId="6622ECA1" w:rsidR="00074AE7" w:rsidRPr="003D1371" w:rsidRDefault="00074AE7" w:rsidP="003D1371">
      <w:pPr>
        <w:spacing w:after="0"/>
        <w:jc w:val="both"/>
        <w:rPr>
          <w:rFonts w:ascii="Times New Roman" w:hAnsi="Times New Roman" w:cs="Times New Roman"/>
          <w:b/>
          <w:sz w:val="24"/>
          <w:szCs w:val="24"/>
          <w:lang w:val="es-419"/>
        </w:rPr>
      </w:pPr>
      <w:r w:rsidRPr="003D1371">
        <w:rPr>
          <w:rFonts w:ascii="Times New Roman" w:hAnsi="Times New Roman" w:cs="Times New Roman"/>
          <w:b/>
          <w:sz w:val="24"/>
          <w:szCs w:val="24"/>
          <w:lang w:val="es-419"/>
        </w:rPr>
        <w:t>UCHENA JA, CHITAKUNYE</w:t>
      </w:r>
      <w:r w:rsidR="00C34676">
        <w:rPr>
          <w:rFonts w:ascii="Times New Roman" w:hAnsi="Times New Roman" w:cs="Times New Roman"/>
          <w:b/>
          <w:sz w:val="24"/>
          <w:szCs w:val="24"/>
          <w:lang w:val="es-419"/>
        </w:rPr>
        <w:t xml:space="preserve"> JA</w:t>
      </w:r>
      <w:r w:rsidRPr="003D1371">
        <w:rPr>
          <w:rFonts w:ascii="Times New Roman" w:hAnsi="Times New Roman" w:cs="Times New Roman"/>
          <w:b/>
          <w:sz w:val="24"/>
          <w:szCs w:val="24"/>
          <w:lang w:val="es-419"/>
        </w:rPr>
        <w:t xml:space="preserve"> &amp; MWAYERA JA</w:t>
      </w:r>
    </w:p>
    <w:p w14:paraId="5E121B3A" w14:textId="6A765DF0" w:rsidR="00074AE7" w:rsidRPr="003D1371" w:rsidRDefault="00074AE7" w:rsidP="003D1371">
      <w:pPr>
        <w:spacing w:after="0"/>
        <w:jc w:val="both"/>
        <w:rPr>
          <w:rFonts w:ascii="Times New Roman" w:hAnsi="Times New Roman" w:cs="Times New Roman"/>
          <w:b/>
          <w:sz w:val="24"/>
          <w:szCs w:val="24"/>
          <w:lang w:val="en-GB"/>
        </w:rPr>
      </w:pPr>
      <w:r w:rsidRPr="003D1371">
        <w:rPr>
          <w:rFonts w:ascii="Times New Roman" w:hAnsi="Times New Roman" w:cs="Times New Roman"/>
          <w:b/>
          <w:sz w:val="24"/>
          <w:szCs w:val="24"/>
          <w:lang w:val="en-GB"/>
        </w:rPr>
        <w:t xml:space="preserve">HARARE: 05 MAY 2025 </w:t>
      </w:r>
    </w:p>
    <w:p w14:paraId="77AB56AF" w14:textId="11740D97" w:rsidR="00074AE7" w:rsidRPr="003D1371" w:rsidRDefault="002D6511" w:rsidP="002D6511">
      <w:pPr>
        <w:tabs>
          <w:tab w:val="left" w:pos="7335"/>
        </w:tabs>
        <w:rPr>
          <w:rFonts w:ascii="Times New Roman" w:hAnsi="Times New Roman" w:cs="Times New Roman"/>
          <w:b/>
          <w:sz w:val="24"/>
          <w:szCs w:val="24"/>
          <w:lang w:val="en-GB"/>
        </w:rPr>
      </w:pPr>
      <w:r>
        <w:rPr>
          <w:rFonts w:ascii="Times New Roman" w:hAnsi="Times New Roman" w:cs="Times New Roman"/>
          <w:b/>
          <w:sz w:val="24"/>
          <w:szCs w:val="24"/>
          <w:lang w:val="en-GB"/>
        </w:rPr>
        <w:tab/>
      </w:r>
    </w:p>
    <w:p w14:paraId="032976E2" w14:textId="6A3C305D" w:rsidR="00074AE7" w:rsidRPr="003D1371" w:rsidRDefault="00074AE7" w:rsidP="004868A2">
      <w:pPr>
        <w:jc w:val="both"/>
        <w:rPr>
          <w:rFonts w:ascii="Times New Roman" w:hAnsi="Times New Roman" w:cs="Times New Roman"/>
          <w:sz w:val="24"/>
          <w:szCs w:val="24"/>
          <w:lang w:val="en-GB"/>
        </w:rPr>
      </w:pPr>
      <w:r w:rsidRPr="003D1371">
        <w:rPr>
          <w:rFonts w:ascii="Times New Roman" w:hAnsi="Times New Roman" w:cs="Times New Roman"/>
          <w:i/>
          <w:iCs/>
          <w:sz w:val="24"/>
          <w:szCs w:val="24"/>
          <w:lang w:val="en-GB"/>
        </w:rPr>
        <w:t xml:space="preserve"> </w:t>
      </w:r>
      <w:r w:rsidR="00AF3C78" w:rsidRPr="00AF3C78">
        <w:rPr>
          <w:rFonts w:ascii="Times New Roman" w:hAnsi="Times New Roman" w:cs="Times New Roman"/>
          <w:iCs/>
          <w:sz w:val="24"/>
          <w:szCs w:val="24"/>
          <w:lang w:val="en-GB"/>
        </w:rPr>
        <w:t xml:space="preserve">Mrs </w:t>
      </w:r>
      <w:r w:rsidRPr="003D1371">
        <w:rPr>
          <w:rFonts w:ascii="Times New Roman" w:hAnsi="Times New Roman" w:cs="Times New Roman"/>
          <w:i/>
          <w:iCs/>
          <w:sz w:val="24"/>
          <w:szCs w:val="24"/>
          <w:lang w:val="en-GB"/>
        </w:rPr>
        <w:t>R. Mabwe</w:t>
      </w:r>
      <w:r w:rsidR="003D1371">
        <w:rPr>
          <w:rFonts w:ascii="Times New Roman" w:hAnsi="Times New Roman" w:cs="Times New Roman"/>
          <w:i/>
          <w:iCs/>
          <w:sz w:val="24"/>
          <w:szCs w:val="24"/>
          <w:lang w:val="en-GB"/>
        </w:rPr>
        <w:t>,</w:t>
      </w:r>
      <w:r w:rsidRPr="003D1371">
        <w:rPr>
          <w:rFonts w:ascii="Times New Roman" w:hAnsi="Times New Roman" w:cs="Times New Roman"/>
          <w:i/>
          <w:iCs/>
          <w:sz w:val="24"/>
          <w:szCs w:val="24"/>
          <w:lang w:val="en-GB"/>
        </w:rPr>
        <w:t xml:space="preserve"> </w:t>
      </w:r>
      <w:r w:rsidRPr="003D1371">
        <w:rPr>
          <w:rFonts w:ascii="Times New Roman" w:hAnsi="Times New Roman" w:cs="Times New Roman"/>
          <w:sz w:val="24"/>
          <w:szCs w:val="24"/>
          <w:lang w:val="en-GB"/>
        </w:rPr>
        <w:t>for the appellant</w:t>
      </w:r>
    </w:p>
    <w:p w14:paraId="68C26097" w14:textId="0E1C9609" w:rsidR="00074AE7" w:rsidRPr="003D1371" w:rsidRDefault="00074AE7" w:rsidP="004868A2">
      <w:pPr>
        <w:jc w:val="both"/>
        <w:rPr>
          <w:rFonts w:ascii="Times New Roman" w:hAnsi="Times New Roman" w:cs="Times New Roman"/>
          <w:sz w:val="24"/>
          <w:szCs w:val="24"/>
          <w:lang w:val="en-GB"/>
        </w:rPr>
      </w:pPr>
      <w:r w:rsidRPr="003D1371">
        <w:rPr>
          <w:rFonts w:ascii="Times New Roman" w:hAnsi="Times New Roman" w:cs="Times New Roman"/>
          <w:i/>
          <w:sz w:val="24"/>
          <w:szCs w:val="24"/>
          <w:lang w:val="en-GB"/>
        </w:rPr>
        <w:t>C. Chibidi</w:t>
      </w:r>
      <w:r w:rsidR="003D1371">
        <w:rPr>
          <w:rFonts w:ascii="Times New Roman" w:hAnsi="Times New Roman" w:cs="Times New Roman"/>
          <w:i/>
          <w:sz w:val="24"/>
          <w:szCs w:val="24"/>
          <w:lang w:val="en-GB"/>
        </w:rPr>
        <w:t>,</w:t>
      </w:r>
      <w:r w:rsidRPr="003D1371">
        <w:rPr>
          <w:rFonts w:ascii="Times New Roman" w:hAnsi="Times New Roman" w:cs="Times New Roman"/>
          <w:i/>
          <w:sz w:val="24"/>
          <w:szCs w:val="24"/>
          <w:lang w:val="en-GB"/>
        </w:rPr>
        <w:t xml:space="preserve"> </w:t>
      </w:r>
      <w:r w:rsidRPr="003D1371">
        <w:rPr>
          <w:rFonts w:ascii="Times New Roman" w:hAnsi="Times New Roman" w:cs="Times New Roman"/>
          <w:sz w:val="24"/>
          <w:szCs w:val="24"/>
          <w:lang w:val="en-GB"/>
        </w:rPr>
        <w:t xml:space="preserve">for the </w:t>
      </w:r>
      <w:r w:rsidR="00724B7E" w:rsidRPr="003D1371">
        <w:rPr>
          <w:rFonts w:ascii="Times New Roman" w:hAnsi="Times New Roman" w:cs="Times New Roman"/>
          <w:sz w:val="24"/>
          <w:szCs w:val="24"/>
          <w:lang w:val="en-GB"/>
        </w:rPr>
        <w:t>second</w:t>
      </w:r>
      <w:r w:rsidRPr="003D1371">
        <w:rPr>
          <w:rFonts w:ascii="Times New Roman" w:hAnsi="Times New Roman" w:cs="Times New Roman"/>
          <w:sz w:val="24"/>
          <w:szCs w:val="24"/>
          <w:lang w:val="en-GB"/>
        </w:rPr>
        <w:t xml:space="preserve"> respondent</w:t>
      </w:r>
    </w:p>
    <w:p w14:paraId="04006C4F" w14:textId="77777777" w:rsidR="00074AE7" w:rsidRPr="003D1371" w:rsidRDefault="00074AE7" w:rsidP="004868A2">
      <w:pPr>
        <w:jc w:val="both"/>
        <w:rPr>
          <w:rFonts w:ascii="Times New Roman" w:hAnsi="Times New Roman" w:cs="Times New Roman"/>
          <w:sz w:val="24"/>
          <w:szCs w:val="24"/>
          <w:lang w:val="en-GB"/>
        </w:rPr>
      </w:pPr>
      <w:r w:rsidRPr="003D1371">
        <w:rPr>
          <w:rFonts w:ascii="Times New Roman" w:hAnsi="Times New Roman" w:cs="Times New Roman"/>
          <w:i/>
          <w:sz w:val="24"/>
          <w:szCs w:val="24"/>
          <w:lang w:val="en-GB"/>
        </w:rPr>
        <w:t xml:space="preserve">F. Nyangani </w:t>
      </w:r>
      <w:r w:rsidRPr="003D1371">
        <w:rPr>
          <w:rFonts w:ascii="Times New Roman" w:hAnsi="Times New Roman" w:cs="Times New Roman"/>
          <w:sz w:val="24"/>
          <w:szCs w:val="24"/>
          <w:lang w:val="en-GB"/>
        </w:rPr>
        <w:t xml:space="preserve">with </w:t>
      </w:r>
      <w:r w:rsidRPr="003D1371">
        <w:rPr>
          <w:rFonts w:ascii="Times New Roman" w:hAnsi="Times New Roman" w:cs="Times New Roman"/>
          <w:i/>
          <w:sz w:val="24"/>
          <w:szCs w:val="24"/>
          <w:lang w:val="en-GB"/>
        </w:rPr>
        <w:t xml:space="preserve">R.I. Musariri </w:t>
      </w:r>
      <w:r w:rsidRPr="003D1371">
        <w:rPr>
          <w:rFonts w:ascii="Times New Roman" w:hAnsi="Times New Roman" w:cs="Times New Roman"/>
          <w:sz w:val="24"/>
          <w:szCs w:val="24"/>
          <w:lang w:val="en-GB"/>
        </w:rPr>
        <w:t>for the third respondent</w:t>
      </w:r>
    </w:p>
    <w:p w14:paraId="1F47C8F3" w14:textId="77777777" w:rsidR="00074AE7" w:rsidRPr="003D1371" w:rsidRDefault="00074AE7" w:rsidP="004868A2">
      <w:pPr>
        <w:jc w:val="both"/>
        <w:rPr>
          <w:rFonts w:ascii="Times New Roman" w:hAnsi="Times New Roman" w:cs="Times New Roman"/>
          <w:sz w:val="24"/>
          <w:szCs w:val="24"/>
          <w:lang w:val="en-GB"/>
        </w:rPr>
      </w:pPr>
      <w:r w:rsidRPr="003D1371">
        <w:rPr>
          <w:rFonts w:ascii="Times New Roman" w:hAnsi="Times New Roman" w:cs="Times New Roman"/>
          <w:sz w:val="24"/>
          <w:szCs w:val="24"/>
          <w:lang w:val="en-GB"/>
        </w:rPr>
        <w:t>No appearance for the first respondent</w:t>
      </w:r>
    </w:p>
    <w:p w14:paraId="1FF4D93D" w14:textId="77777777" w:rsidR="00074AE7" w:rsidRPr="003D1371" w:rsidRDefault="00074AE7" w:rsidP="00074AE7">
      <w:pPr>
        <w:rPr>
          <w:rFonts w:ascii="Times New Roman" w:hAnsi="Times New Roman" w:cs="Times New Roman"/>
          <w:b/>
          <w:sz w:val="24"/>
          <w:szCs w:val="24"/>
          <w:lang w:val="en-GB"/>
        </w:rPr>
      </w:pPr>
    </w:p>
    <w:p w14:paraId="0F3EAD2A" w14:textId="77777777" w:rsidR="00074AE7" w:rsidRDefault="00074AE7" w:rsidP="00074AE7">
      <w:pPr>
        <w:rPr>
          <w:rFonts w:ascii="Times New Roman" w:hAnsi="Times New Roman" w:cs="Times New Roman"/>
          <w:b/>
          <w:sz w:val="24"/>
          <w:szCs w:val="24"/>
          <w:lang w:val="en-GB"/>
        </w:rPr>
      </w:pPr>
      <w:r w:rsidRPr="003D1371">
        <w:rPr>
          <w:rFonts w:ascii="Times New Roman" w:hAnsi="Times New Roman" w:cs="Times New Roman"/>
          <w:b/>
          <w:sz w:val="24"/>
          <w:szCs w:val="24"/>
          <w:lang w:val="en-GB"/>
        </w:rPr>
        <w:t xml:space="preserve">MWAYERA JA: </w:t>
      </w:r>
    </w:p>
    <w:p w14:paraId="209FD784" w14:textId="77777777" w:rsidR="003D1371" w:rsidRPr="003D1371" w:rsidRDefault="003D1371" w:rsidP="003D1371">
      <w:pPr>
        <w:spacing w:after="0"/>
        <w:rPr>
          <w:rFonts w:ascii="Times New Roman" w:hAnsi="Times New Roman" w:cs="Times New Roman"/>
          <w:b/>
          <w:sz w:val="24"/>
          <w:szCs w:val="24"/>
          <w:lang w:val="en-GB"/>
        </w:rPr>
      </w:pPr>
    </w:p>
    <w:p w14:paraId="14085518" w14:textId="79B49AB4" w:rsidR="007E1A22" w:rsidRPr="003D1371" w:rsidRDefault="007E1A22" w:rsidP="00074AE7">
      <w:pPr>
        <w:rPr>
          <w:rFonts w:ascii="Times New Roman" w:hAnsi="Times New Roman" w:cs="Times New Roman"/>
          <w:b/>
          <w:bCs/>
          <w:sz w:val="24"/>
          <w:szCs w:val="24"/>
          <w:u w:val="single"/>
          <w:lang w:val="en-GB"/>
        </w:rPr>
      </w:pPr>
      <w:r w:rsidRPr="003D1371">
        <w:rPr>
          <w:rFonts w:ascii="Times New Roman" w:hAnsi="Times New Roman" w:cs="Times New Roman"/>
          <w:b/>
          <w:bCs/>
          <w:sz w:val="24"/>
          <w:szCs w:val="24"/>
          <w:u w:val="single"/>
          <w:lang w:val="en-GB"/>
        </w:rPr>
        <w:t>INTRODUCTION</w:t>
      </w:r>
    </w:p>
    <w:p w14:paraId="1EB52435" w14:textId="4A3EC696" w:rsidR="004868A2" w:rsidRDefault="004868A2" w:rsidP="00E619C7">
      <w:pPr>
        <w:pStyle w:val="ListParagraph"/>
        <w:numPr>
          <w:ilvl w:val="0"/>
          <w:numId w:val="8"/>
        </w:numPr>
        <w:spacing w:line="480" w:lineRule="auto"/>
        <w:ind w:left="284" w:hanging="284"/>
        <w:jc w:val="both"/>
        <w:rPr>
          <w:rFonts w:ascii="Times New Roman" w:hAnsi="Times New Roman" w:cs="Times New Roman"/>
          <w:sz w:val="24"/>
          <w:szCs w:val="24"/>
          <w:lang w:val="en-GB"/>
        </w:rPr>
      </w:pPr>
      <w:r w:rsidRPr="003D1371">
        <w:rPr>
          <w:rFonts w:ascii="Times New Roman" w:hAnsi="Times New Roman" w:cs="Times New Roman"/>
          <w:sz w:val="24"/>
          <w:szCs w:val="24"/>
          <w:lang w:val="en-GB"/>
        </w:rPr>
        <w:t xml:space="preserve">This is an appeal against the </w:t>
      </w:r>
      <w:r w:rsidR="00905346">
        <w:rPr>
          <w:rFonts w:ascii="Times New Roman" w:hAnsi="Times New Roman" w:cs="Times New Roman"/>
          <w:sz w:val="24"/>
          <w:szCs w:val="24"/>
          <w:lang w:val="en-GB"/>
        </w:rPr>
        <w:t xml:space="preserve">whole </w:t>
      </w:r>
      <w:r w:rsidRPr="003D1371">
        <w:rPr>
          <w:rFonts w:ascii="Times New Roman" w:hAnsi="Times New Roman" w:cs="Times New Roman"/>
          <w:sz w:val="24"/>
          <w:szCs w:val="24"/>
          <w:lang w:val="en-GB"/>
        </w:rPr>
        <w:t xml:space="preserve">judgment of the High Court (“court </w:t>
      </w:r>
      <w:r w:rsidR="009A492D" w:rsidRPr="003D1371">
        <w:rPr>
          <w:rFonts w:ascii="Times New Roman" w:hAnsi="Times New Roman" w:cs="Times New Roman"/>
          <w:i/>
          <w:sz w:val="24"/>
          <w:szCs w:val="24"/>
          <w:lang w:val="en-GB"/>
        </w:rPr>
        <w:t>a quo</w:t>
      </w:r>
      <w:r w:rsidRPr="003D1371">
        <w:rPr>
          <w:rFonts w:ascii="Times New Roman" w:hAnsi="Times New Roman" w:cs="Times New Roman"/>
          <w:sz w:val="24"/>
          <w:szCs w:val="24"/>
          <w:lang w:val="en-GB"/>
        </w:rPr>
        <w:t>”), which dismissed the appellant’s claim and ordered it to pay the first and third respondents’ costs on the legal practitioner and client scale.</w:t>
      </w:r>
      <w:r w:rsidR="007E1A22" w:rsidRPr="003D1371">
        <w:rPr>
          <w:rFonts w:ascii="Times New Roman" w:hAnsi="Times New Roman" w:cs="Times New Roman"/>
          <w:sz w:val="24"/>
          <w:szCs w:val="24"/>
          <w:lang w:val="en-GB"/>
        </w:rPr>
        <w:t xml:space="preserve"> </w:t>
      </w:r>
      <w:r w:rsidR="00881B76">
        <w:rPr>
          <w:rFonts w:ascii="Times New Roman" w:hAnsi="Times New Roman" w:cs="Times New Roman"/>
          <w:sz w:val="24"/>
          <w:szCs w:val="24"/>
          <w:lang w:val="en-GB"/>
        </w:rPr>
        <w:t xml:space="preserve"> </w:t>
      </w:r>
      <w:r w:rsidR="007E1A22" w:rsidRPr="003D1371">
        <w:rPr>
          <w:rFonts w:ascii="Times New Roman" w:hAnsi="Times New Roman" w:cs="Times New Roman"/>
          <w:sz w:val="24"/>
          <w:szCs w:val="24"/>
          <w:lang w:val="en-GB"/>
        </w:rPr>
        <w:t>After he</w:t>
      </w:r>
      <w:r w:rsidR="00D1758F">
        <w:rPr>
          <w:rFonts w:ascii="Times New Roman" w:hAnsi="Times New Roman" w:cs="Times New Roman"/>
          <w:sz w:val="24"/>
          <w:szCs w:val="24"/>
          <w:lang w:val="en-GB"/>
        </w:rPr>
        <w:t>aring submissions from counsel,</w:t>
      </w:r>
      <w:r w:rsidR="007E1A22" w:rsidRPr="003D1371">
        <w:rPr>
          <w:rFonts w:ascii="Times New Roman" w:hAnsi="Times New Roman" w:cs="Times New Roman"/>
          <w:sz w:val="24"/>
          <w:szCs w:val="24"/>
          <w:lang w:val="en-GB"/>
        </w:rPr>
        <w:t xml:space="preserve"> the</w:t>
      </w:r>
      <w:r w:rsidR="00D1758F">
        <w:rPr>
          <w:rFonts w:ascii="Times New Roman" w:hAnsi="Times New Roman" w:cs="Times New Roman"/>
          <w:sz w:val="24"/>
          <w:szCs w:val="24"/>
          <w:lang w:val="en-GB"/>
        </w:rPr>
        <w:t xml:space="preserve"> Court allowed the</w:t>
      </w:r>
      <w:r w:rsidR="007E1A22" w:rsidRPr="003D1371">
        <w:rPr>
          <w:rFonts w:ascii="Times New Roman" w:hAnsi="Times New Roman" w:cs="Times New Roman"/>
          <w:sz w:val="24"/>
          <w:szCs w:val="24"/>
          <w:lang w:val="en-GB"/>
        </w:rPr>
        <w:t xml:space="preserve"> appeal in part and </w:t>
      </w:r>
      <w:r w:rsidR="002960F7" w:rsidRPr="003D1371">
        <w:rPr>
          <w:rFonts w:ascii="Times New Roman" w:hAnsi="Times New Roman" w:cs="Times New Roman"/>
          <w:sz w:val="24"/>
          <w:szCs w:val="24"/>
          <w:lang w:val="en-GB"/>
        </w:rPr>
        <w:t>indicated</w:t>
      </w:r>
      <w:r w:rsidR="007E1A22" w:rsidRPr="003D1371">
        <w:rPr>
          <w:rFonts w:ascii="Times New Roman" w:hAnsi="Times New Roman" w:cs="Times New Roman"/>
          <w:sz w:val="24"/>
          <w:szCs w:val="24"/>
          <w:lang w:val="en-GB"/>
        </w:rPr>
        <w:t xml:space="preserve"> that the reasons for judgment would be availe</w:t>
      </w:r>
      <w:r w:rsidR="00881B76">
        <w:rPr>
          <w:rFonts w:ascii="Times New Roman" w:hAnsi="Times New Roman" w:cs="Times New Roman"/>
          <w:sz w:val="24"/>
          <w:szCs w:val="24"/>
          <w:lang w:val="en-GB"/>
        </w:rPr>
        <w:t>d in due course. These are they:</w:t>
      </w:r>
    </w:p>
    <w:p w14:paraId="3D77FB26" w14:textId="77777777" w:rsidR="00881B76" w:rsidRPr="003D1371" w:rsidRDefault="00881B76" w:rsidP="00905346">
      <w:pPr>
        <w:pStyle w:val="ListParagraph"/>
        <w:spacing w:after="0" w:line="240" w:lineRule="auto"/>
        <w:ind w:left="426"/>
        <w:jc w:val="both"/>
        <w:rPr>
          <w:rFonts w:ascii="Times New Roman" w:hAnsi="Times New Roman" w:cs="Times New Roman"/>
          <w:sz w:val="24"/>
          <w:szCs w:val="24"/>
          <w:lang w:val="en-GB"/>
        </w:rPr>
      </w:pPr>
    </w:p>
    <w:p w14:paraId="263AB85B" w14:textId="77777777" w:rsidR="002960F7" w:rsidRPr="003D1371" w:rsidRDefault="002960F7" w:rsidP="00881B76">
      <w:pPr>
        <w:spacing w:after="0" w:line="480" w:lineRule="auto"/>
        <w:jc w:val="both"/>
        <w:rPr>
          <w:rFonts w:ascii="Times New Roman" w:hAnsi="Times New Roman" w:cs="Times New Roman"/>
          <w:b/>
          <w:sz w:val="24"/>
          <w:szCs w:val="24"/>
          <w:u w:val="single"/>
          <w:lang w:val="en-GB"/>
        </w:rPr>
      </w:pPr>
      <w:r w:rsidRPr="003D1371">
        <w:rPr>
          <w:rFonts w:ascii="Times New Roman" w:hAnsi="Times New Roman" w:cs="Times New Roman"/>
          <w:b/>
          <w:sz w:val="24"/>
          <w:szCs w:val="24"/>
          <w:u w:val="single"/>
          <w:lang w:val="en-GB"/>
        </w:rPr>
        <w:t>FACTUAL BACKGROUND</w:t>
      </w:r>
    </w:p>
    <w:p w14:paraId="35BF5041" w14:textId="1A7317CF" w:rsidR="002960F7" w:rsidRDefault="002960F7" w:rsidP="00E619C7">
      <w:pPr>
        <w:pStyle w:val="ListParagraph"/>
        <w:numPr>
          <w:ilvl w:val="0"/>
          <w:numId w:val="8"/>
        </w:numPr>
        <w:spacing w:line="480" w:lineRule="auto"/>
        <w:ind w:left="284" w:hanging="284"/>
        <w:jc w:val="both"/>
        <w:rPr>
          <w:rFonts w:ascii="Times New Roman" w:hAnsi="Times New Roman" w:cs="Times New Roman"/>
          <w:sz w:val="24"/>
          <w:szCs w:val="24"/>
        </w:rPr>
      </w:pPr>
      <w:r w:rsidRPr="003D1371">
        <w:rPr>
          <w:rFonts w:ascii="Times New Roman" w:hAnsi="Times New Roman" w:cs="Times New Roman"/>
          <w:sz w:val="24"/>
          <w:szCs w:val="24"/>
          <w:lang w:val="en-GB"/>
        </w:rPr>
        <w:t>The appellant is an unincorporated body or association of persons, c</w:t>
      </w:r>
      <w:r w:rsidR="00881B76">
        <w:rPr>
          <w:rFonts w:ascii="Times New Roman" w:hAnsi="Times New Roman" w:cs="Times New Roman"/>
          <w:sz w:val="24"/>
          <w:szCs w:val="24"/>
          <w:lang w:val="en-GB"/>
        </w:rPr>
        <w:t xml:space="preserve">apable of suing and being sued.  </w:t>
      </w:r>
      <w:r w:rsidRPr="003D1371">
        <w:rPr>
          <w:rFonts w:ascii="Times New Roman" w:hAnsi="Times New Roman" w:cs="Times New Roman"/>
          <w:sz w:val="24"/>
          <w:szCs w:val="24"/>
          <w:lang w:val="en-GB"/>
        </w:rPr>
        <w:t xml:space="preserve">The first respondent is a local authority and body corporate, established in terms of the </w:t>
      </w:r>
      <w:r w:rsidRPr="003D1371">
        <w:rPr>
          <w:rFonts w:ascii="Times New Roman" w:hAnsi="Times New Roman" w:cs="Times New Roman"/>
          <w:sz w:val="24"/>
          <w:szCs w:val="24"/>
          <w:lang w:val="en-GB"/>
        </w:rPr>
        <w:lastRenderedPageBreak/>
        <w:t>Urban Councils Act [</w:t>
      </w:r>
      <w:r w:rsidRPr="003D1371">
        <w:rPr>
          <w:rFonts w:ascii="Times New Roman" w:hAnsi="Times New Roman" w:cs="Times New Roman"/>
          <w:i/>
          <w:sz w:val="24"/>
          <w:szCs w:val="24"/>
          <w:lang w:val="en-GB"/>
        </w:rPr>
        <w:t>Chapter 29:15</w:t>
      </w:r>
      <w:r w:rsidRPr="003D1371">
        <w:rPr>
          <w:rFonts w:ascii="Times New Roman" w:hAnsi="Times New Roman" w:cs="Times New Roman"/>
          <w:sz w:val="24"/>
          <w:szCs w:val="24"/>
          <w:lang w:val="en-GB"/>
        </w:rPr>
        <w:t>]</w:t>
      </w:r>
      <w:r w:rsidR="00EC35C8" w:rsidRPr="003D1371">
        <w:rPr>
          <w:rFonts w:ascii="Times New Roman" w:hAnsi="Times New Roman" w:cs="Times New Roman"/>
          <w:sz w:val="24"/>
          <w:szCs w:val="24"/>
          <w:lang w:val="en-GB"/>
        </w:rPr>
        <w:t xml:space="preserve"> (“the Act”)</w:t>
      </w:r>
      <w:r w:rsidR="00E619C7">
        <w:rPr>
          <w:rFonts w:ascii="Times New Roman" w:hAnsi="Times New Roman" w:cs="Times New Roman"/>
          <w:sz w:val="24"/>
          <w:szCs w:val="24"/>
          <w:lang w:val="en-GB"/>
        </w:rPr>
        <w:t xml:space="preserve">.  </w:t>
      </w:r>
      <w:r w:rsidR="00297E4B" w:rsidRPr="003D1371">
        <w:rPr>
          <w:rFonts w:ascii="Times New Roman" w:hAnsi="Times New Roman" w:cs="Times New Roman"/>
          <w:sz w:val="24"/>
          <w:szCs w:val="24"/>
        </w:rPr>
        <w:t>The second respondent,</w:t>
      </w:r>
      <w:r w:rsidRPr="003D1371">
        <w:rPr>
          <w:rFonts w:ascii="Times New Roman" w:hAnsi="Times New Roman" w:cs="Times New Roman"/>
          <w:sz w:val="24"/>
          <w:szCs w:val="24"/>
        </w:rPr>
        <w:t xml:space="preserve"> the Minister of Local Government and Public Works,</w:t>
      </w:r>
      <w:r w:rsidR="00297E4B" w:rsidRPr="003D1371">
        <w:rPr>
          <w:rFonts w:ascii="Times New Roman" w:hAnsi="Times New Roman" w:cs="Times New Roman"/>
          <w:sz w:val="24"/>
          <w:szCs w:val="24"/>
        </w:rPr>
        <w:t xml:space="preserve"> is</w:t>
      </w:r>
      <w:r w:rsidRPr="003D1371">
        <w:rPr>
          <w:rFonts w:ascii="Times New Roman" w:hAnsi="Times New Roman" w:cs="Times New Roman"/>
          <w:sz w:val="24"/>
          <w:szCs w:val="24"/>
        </w:rPr>
        <w:t xml:space="preserve"> </w:t>
      </w:r>
      <w:r w:rsidR="00297E4B" w:rsidRPr="003D1371">
        <w:rPr>
          <w:rFonts w:ascii="Times New Roman" w:hAnsi="Times New Roman" w:cs="Times New Roman"/>
          <w:sz w:val="24"/>
          <w:szCs w:val="24"/>
        </w:rPr>
        <w:t>cited</w:t>
      </w:r>
      <w:r w:rsidR="00593021">
        <w:rPr>
          <w:rFonts w:ascii="Times New Roman" w:hAnsi="Times New Roman" w:cs="Times New Roman"/>
          <w:sz w:val="24"/>
          <w:szCs w:val="24"/>
        </w:rPr>
        <w:t xml:space="preserve"> in</w:t>
      </w:r>
      <w:r w:rsidR="00297E4B" w:rsidRPr="003D1371">
        <w:rPr>
          <w:rFonts w:ascii="Times New Roman" w:hAnsi="Times New Roman" w:cs="Times New Roman"/>
          <w:sz w:val="24"/>
          <w:szCs w:val="24"/>
        </w:rPr>
        <w:t xml:space="preserve"> </w:t>
      </w:r>
      <w:r w:rsidR="00905346">
        <w:rPr>
          <w:rFonts w:ascii="Times New Roman" w:hAnsi="Times New Roman" w:cs="Times New Roman"/>
          <w:sz w:val="24"/>
          <w:szCs w:val="24"/>
        </w:rPr>
        <w:t>his</w:t>
      </w:r>
      <w:r w:rsidR="00E619C7">
        <w:rPr>
          <w:rFonts w:ascii="Times New Roman" w:hAnsi="Times New Roman" w:cs="Times New Roman"/>
          <w:sz w:val="24"/>
          <w:szCs w:val="24"/>
        </w:rPr>
        <w:t xml:space="preserve"> official capacity.  </w:t>
      </w:r>
      <w:r w:rsidR="00DC12E3" w:rsidRPr="003D1371">
        <w:rPr>
          <w:rFonts w:ascii="Times New Roman" w:hAnsi="Times New Roman" w:cs="Times New Roman"/>
          <w:sz w:val="24"/>
          <w:szCs w:val="24"/>
        </w:rPr>
        <w:t>The third respondent is</w:t>
      </w:r>
      <w:r w:rsidRPr="003D1371">
        <w:rPr>
          <w:rFonts w:ascii="Times New Roman" w:hAnsi="Times New Roman" w:cs="Times New Roman"/>
          <w:sz w:val="24"/>
          <w:szCs w:val="24"/>
        </w:rPr>
        <w:t xml:space="preserve"> a duly registered trust in accordance with the laws of Zimbabwe, capable of suing </w:t>
      </w:r>
      <w:r w:rsidR="00507011" w:rsidRPr="003D1371">
        <w:rPr>
          <w:rFonts w:ascii="Times New Roman" w:hAnsi="Times New Roman" w:cs="Times New Roman"/>
          <w:sz w:val="24"/>
          <w:szCs w:val="24"/>
        </w:rPr>
        <w:t>and being sued in its own name.</w:t>
      </w:r>
    </w:p>
    <w:p w14:paraId="7E73B9AB" w14:textId="77777777" w:rsidR="00E619C7" w:rsidRPr="003D1371" w:rsidRDefault="00E619C7" w:rsidP="00E619C7">
      <w:pPr>
        <w:pStyle w:val="ListParagraph"/>
        <w:spacing w:after="0" w:line="240" w:lineRule="auto"/>
        <w:ind w:left="284"/>
        <w:jc w:val="both"/>
        <w:rPr>
          <w:rFonts w:ascii="Times New Roman" w:hAnsi="Times New Roman" w:cs="Times New Roman"/>
          <w:sz w:val="24"/>
          <w:szCs w:val="24"/>
        </w:rPr>
      </w:pPr>
    </w:p>
    <w:p w14:paraId="59A7D270" w14:textId="0D1407CC" w:rsidR="00E619C7" w:rsidRPr="00E619C7" w:rsidRDefault="003B75FF" w:rsidP="00E619C7">
      <w:pPr>
        <w:pStyle w:val="ListParagraph"/>
        <w:numPr>
          <w:ilvl w:val="0"/>
          <w:numId w:val="8"/>
        </w:numPr>
        <w:spacing w:line="480" w:lineRule="auto"/>
        <w:ind w:left="284" w:hanging="284"/>
        <w:jc w:val="both"/>
        <w:rPr>
          <w:rFonts w:ascii="Times New Roman" w:hAnsi="Times New Roman" w:cs="Times New Roman"/>
          <w:sz w:val="24"/>
          <w:szCs w:val="24"/>
        </w:rPr>
      </w:pPr>
      <w:r w:rsidRPr="003D1371">
        <w:rPr>
          <w:rFonts w:ascii="Times New Roman" w:hAnsi="Times New Roman" w:cs="Times New Roman"/>
          <w:sz w:val="24"/>
          <w:szCs w:val="24"/>
        </w:rPr>
        <w:t>The dispute in this case revolves around 100 stands allocated by the first respondent</w:t>
      </w:r>
      <w:r w:rsidR="00891DDB" w:rsidRPr="003D1371">
        <w:rPr>
          <w:rFonts w:ascii="Times New Roman" w:hAnsi="Times New Roman" w:cs="Times New Roman"/>
          <w:sz w:val="24"/>
          <w:szCs w:val="24"/>
        </w:rPr>
        <w:t xml:space="preserve"> to the appellant. </w:t>
      </w:r>
      <w:r w:rsidR="003353C3" w:rsidRPr="003D1371">
        <w:rPr>
          <w:rFonts w:ascii="Times New Roman" w:hAnsi="Times New Roman" w:cs="Times New Roman"/>
          <w:sz w:val="24"/>
          <w:szCs w:val="24"/>
        </w:rPr>
        <w:t>Sometime in 2014, the appellant identified a piece of land within Lot 2 of Subdivision B of Subdivision A of Willowvale, Mufakose, Harare (“th</w:t>
      </w:r>
      <w:r w:rsidR="005200B8" w:rsidRPr="003D1371">
        <w:rPr>
          <w:rFonts w:ascii="Times New Roman" w:hAnsi="Times New Roman" w:cs="Times New Roman"/>
          <w:sz w:val="24"/>
          <w:szCs w:val="24"/>
        </w:rPr>
        <w:t>e land”) and</w:t>
      </w:r>
      <w:r w:rsidR="003353C3" w:rsidRPr="003D1371">
        <w:rPr>
          <w:rFonts w:ascii="Times New Roman" w:hAnsi="Times New Roman" w:cs="Times New Roman"/>
          <w:sz w:val="24"/>
          <w:szCs w:val="24"/>
        </w:rPr>
        <w:t xml:space="preserve"> applied to the first respondent for </w:t>
      </w:r>
      <w:r w:rsidR="00E21A2B">
        <w:rPr>
          <w:rFonts w:ascii="Times New Roman" w:hAnsi="Times New Roman" w:cs="Times New Roman"/>
          <w:sz w:val="24"/>
          <w:szCs w:val="24"/>
        </w:rPr>
        <w:t>authority to create</w:t>
      </w:r>
      <w:r w:rsidR="005200B8" w:rsidRPr="003D1371">
        <w:rPr>
          <w:rFonts w:ascii="Times New Roman" w:hAnsi="Times New Roman" w:cs="Times New Roman"/>
          <w:sz w:val="24"/>
          <w:szCs w:val="24"/>
        </w:rPr>
        <w:t xml:space="preserve"> stands for its members.</w:t>
      </w:r>
      <w:r w:rsidR="00E619C7">
        <w:rPr>
          <w:rFonts w:ascii="Times New Roman" w:hAnsi="Times New Roman" w:cs="Times New Roman"/>
          <w:sz w:val="24"/>
          <w:szCs w:val="24"/>
        </w:rPr>
        <w:t xml:space="preserve">  </w:t>
      </w:r>
      <w:r w:rsidR="003353C3" w:rsidRPr="003D1371">
        <w:rPr>
          <w:rFonts w:ascii="Times New Roman" w:hAnsi="Times New Roman" w:cs="Times New Roman"/>
          <w:sz w:val="24"/>
          <w:szCs w:val="24"/>
        </w:rPr>
        <w:t>The application was granted in 2015</w:t>
      </w:r>
      <w:r w:rsidR="00EF1E3C" w:rsidRPr="003D1371">
        <w:rPr>
          <w:rFonts w:ascii="Times New Roman" w:hAnsi="Times New Roman" w:cs="Times New Roman"/>
          <w:sz w:val="24"/>
          <w:szCs w:val="24"/>
        </w:rPr>
        <w:t>,</w:t>
      </w:r>
      <w:r w:rsidR="003353C3" w:rsidRPr="003D1371">
        <w:rPr>
          <w:rFonts w:ascii="Times New Roman" w:hAnsi="Times New Roman" w:cs="Times New Roman"/>
          <w:sz w:val="24"/>
          <w:szCs w:val="24"/>
        </w:rPr>
        <w:t xml:space="preserve"> and one hundred stands measuring approximately 300 square meters each were created within the land as depicted on Plan Number TPX/WR/07/15 Mufakose T</w:t>
      </w:r>
      <w:r w:rsidR="005200B8" w:rsidRPr="003D1371">
        <w:rPr>
          <w:rFonts w:ascii="Times New Roman" w:hAnsi="Times New Roman" w:cs="Times New Roman"/>
          <w:sz w:val="24"/>
          <w:szCs w:val="24"/>
        </w:rPr>
        <w:t>ownship</w:t>
      </w:r>
      <w:r w:rsidR="00EF1E3C" w:rsidRPr="003D1371">
        <w:rPr>
          <w:rFonts w:ascii="Times New Roman" w:hAnsi="Times New Roman" w:cs="Times New Roman"/>
          <w:sz w:val="24"/>
          <w:szCs w:val="24"/>
        </w:rPr>
        <w:t>,</w:t>
      </w:r>
      <w:r w:rsidR="005200B8" w:rsidRPr="003D1371">
        <w:rPr>
          <w:rFonts w:ascii="Times New Roman" w:hAnsi="Times New Roman" w:cs="Times New Roman"/>
          <w:sz w:val="24"/>
          <w:szCs w:val="24"/>
        </w:rPr>
        <w:t xml:space="preserve"> measuring 49 Hectares. </w:t>
      </w:r>
    </w:p>
    <w:p w14:paraId="493722AD" w14:textId="77777777" w:rsidR="00015E31" w:rsidRDefault="00015E31" w:rsidP="00015E31">
      <w:pPr>
        <w:pStyle w:val="ListParagraph"/>
        <w:spacing w:after="0" w:line="240" w:lineRule="auto"/>
        <w:ind w:left="284"/>
        <w:jc w:val="both"/>
        <w:rPr>
          <w:rFonts w:ascii="Times New Roman" w:hAnsi="Times New Roman" w:cs="Times New Roman"/>
          <w:sz w:val="24"/>
          <w:szCs w:val="24"/>
        </w:rPr>
      </w:pPr>
    </w:p>
    <w:p w14:paraId="357C28C1" w14:textId="18D7CE9D" w:rsidR="00E619C7" w:rsidRPr="00E619C7" w:rsidRDefault="003353C3" w:rsidP="00E619C7">
      <w:pPr>
        <w:pStyle w:val="ListParagraph"/>
        <w:numPr>
          <w:ilvl w:val="0"/>
          <w:numId w:val="8"/>
        </w:numPr>
        <w:spacing w:line="480" w:lineRule="auto"/>
        <w:ind w:left="284" w:hanging="284"/>
        <w:jc w:val="both"/>
        <w:rPr>
          <w:rFonts w:ascii="Times New Roman" w:hAnsi="Times New Roman" w:cs="Times New Roman"/>
          <w:sz w:val="24"/>
          <w:szCs w:val="24"/>
        </w:rPr>
      </w:pPr>
      <w:r w:rsidRPr="003D1371">
        <w:rPr>
          <w:rFonts w:ascii="Times New Roman" w:hAnsi="Times New Roman" w:cs="Times New Roman"/>
          <w:sz w:val="24"/>
          <w:szCs w:val="24"/>
        </w:rPr>
        <w:t>Through its members</w:t>
      </w:r>
      <w:r w:rsidR="005200B8" w:rsidRPr="003D1371">
        <w:rPr>
          <w:rFonts w:ascii="Times New Roman" w:hAnsi="Times New Roman" w:cs="Times New Roman"/>
          <w:sz w:val="24"/>
          <w:szCs w:val="24"/>
        </w:rPr>
        <w:t>,</w:t>
      </w:r>
      <w:r w:rsidR="006B3ECB" w:rsidRPr="003D1371">
        <w:rPr>
          <w:rFonts w:ascii="Times New Roman" w:hAnsi="Times New Roman" w:cs="Times New Roman"/>
          <w:sz w:val="24"/>
          <w:szCs w:val="24"/>
        </w:rPr>
        <w:t xml:space="preserve"> the appellant proceeded to illegally occupy</w:t>
      </w:r>
      <w:r w:rsidRPr="003D1371">
        <w:rPr>
          <w:rFonts w:ascii="Times New Roman" w:hAnsi="Times New Roman" w:cs="Times New Roman"/>
          <w:sz w:val="24"/>
          <w:szCs w:val="24"/>
        </w:rPr>
        <w:t xml:space="preserve"> the stands</w:t>
      </w:r>
      <w:r w:rsidR="006B3ECB" w:rsidRPr="003D1371">
        <w:rPr>
          <w:rFonts w:ascii="Times New Roman" w:hAnsi="Times New Roman" w:cs="Times New Roman"/>
          <w:sz w:val="24"/>
          <w:szCs w:val="24"/>
        </w:rPr>
        <w:t>,</w:t>
      </w:r>
      <w:r w:rsidRPr="003D1371">
        <w:rPr>
          <w:rFonts w:ascii="Times New Roman" w:hAnsi="Times New Roman" w:cs="Times New Roman"/>
          <w:sz w:val="24"/>
          <w:szCs w:val="24"/>
        </w:rPr>
        <w:t xml:space="preserve"> pending the </w:t>
      </w:r>
      <w:r w:rsidR="00EF1E3C" w:rsidRPr="003D1371">
        <w:rPr>
          <w:rFonts w:ascii="Times New Roman" w:hAnsi="Times New Roman" w:cs="Times New Roman"/>
          <w:sz w:val="24"/>
          <w:szCs w:val="24"/>
        </w:rPr>
        <w:t xml:space="preserve">finalisation </w:t>
      </w:r>
      <w:r w:rsidRPr="003D1371">
        <w:rPr>
          <w:rFonts w:ascii="Times New Roman" w:hAnsi="Times New Roman" w:cs="Times New Roman"/>
          <w:sz w:val="24"/>
          <w:szCs w:val="24"/>
        </w:rPr>
        <w:t>of the requisite formali</w:t>
      </w:r>
      <w:r w:rsidR="005200B8" w:rsidRPr="003D1371">
        <w:rPr>
          <w:rFonts w:ascii="Times New Roman" w:hAnsi="Times New Roman" w:cs="Times New Roman"/>
          <w:sz w:val="24"/>
          <w:szCs w:val="24"/>
        </w:rPr>
        <w:t>ties with the first respondent.</w:t>
      </w:r>
      <w:r w:rsidR="006B3ECB" w:rsidRPr="003D1371">
        <w:rPr>
          <w:rFonts w:ascii="Times New Roman" w:hAnsi="Times New Roman" w:cs="Times New Roman"/>
          <w:sz w:val="24"/>
          <w:szCs w:val="24"/>
        </w:rPr>
        <w:t xml:space="preserve"> </w:t>
      </w:r>
      <w:r w:rsidR="00E619C7">
        <w:rPr>
          <w:rFonts w:ascii="Times New Roman" w:hAnsi="Times New Roman" w:cs="Times New Roman"/>
          <w:sz w:val="24"/>
          <w:szCs w:val="24"/>
        </w:rPr>
        <w:t xml:space="preserve"> </w:t>
      </w:r>
      <w:r w:rsidR="006B3ECB" w:rsidRPr="003D1371">
        <w:rPr>
          <w:rFonts w:ascii="Times New Roman" w:hAnsi="Times New Roman" w:cs="Times New Roman"/>
          <w:sz w:val="24"/>
          <w:szCs w:val="24"/>
        </w:rPr>
        <w:t>In May 2017</w:t>
      </w:r>
      <w:r w:rsidR="00015E31">
        <w:rPr>
          <w:rFonts w:ascii="Times New Roman" w:hAnsi="Times New Roman" w:cs="Times New Roman"/>
          <w:sz w:val="24"/>
          <w:szCs w:val="24"/>
        </w:rPr>
        <w:t>,</w:t>
      </w:r>
      <w:r w:rsidR="006B3ECB" w:rsidRPr="003D1371">
        <w:rPr>
          <w:rFonts w:ascii="Times New Roman" w:hAnsi="Times New Roman" w:cs="Times New Roman"/>
          <w:sz w:val="24"/>
          <w:szCs w:val="24"/>
        </w:rPr>
        <w:t xml:space="preserve"> and</w:t>
      </w:r>
      <w:r w:rsidRPr="003D1371">
        <w:rPr>
          <w:rFonts w:ascii="Times New Roman" w:hAnsi="Times New Roman" w:cs="Times New Roman"/>
          <w:sz w:val="24"/>
          <w:szCs w:val="24"/>
        </w:rPr>
        <w:t xml:space="preserve"> by a council resolution, the first respondent </w:t>
      </w:r>
      <w:r w:rsidR="00873E6A">
        <w:rPr>
          <w:rFonts w:ascii="Times New Roman" w:hAnsi="Times New Roman" w:cs="Times New Roman"/>
          <w:sz w:val="24"/>
          <w:szCs w:val="24"/>
        </w:rPr>
        <w:t>regulariz</w:t>
      </w:r>
      <w:r w:rsidR="00EF1E3C" w:rsidRPr="003D1371">
        <w:rPr>
          <w:rFonts w:ascii="Times New Roman" w:hAnsi="Times New Roman" w:cs="Times New Roman"/>
          <w:sz w:val="24"/>
          <w:szCs w:val="24"/>
        </w:rPr>
        <w:t xml:space="preserve">ed </w:t>
      </w:r>
      <w:r w:rsidRPr="003D1371">
        <w:rPr>
          <w:rFonts w:ascii="Times New Roman" w:hAnsi="Times New Roman" w:cs="Times New Roman"/>
          <w:sz w:val="24"/>
          <w:szCs w:val="24"/>
        </w:rPr>
        <w:t>the occupation of the stands</w:t>
      </w:r>
      <w:r w:rsidR="00EF1E3C" w:rsidRPr="003D1371">
        <w:rPr>
          <w:rFonts w:ascii="Times New Roman" w:hAnsi="Times New Roman" w:cs="Times New Roman"/>
          <w:sz w:val="24"/>
          <w:szCs w:val="24"/>
        </w:rPr>
        <w:t>,</w:t>
      </w:r>
      <w:r w:rsidRPr="003D1371">
        <w:rPr>
          <w:rFonts w:ascii="Times New Roman" w:hAnsi="Times New Roman" w:cs="Times New Roman"/>
          <w:sz w:val="24"/>
          <w:szCs w:val="24"/>
        </w:rPr>
        <w:t xml:space="preserve"> thereby formally allocating th</w:t>
      </w:r>
      <w:r w:rsidR="005200B8" w:rsidRPr="003D1371">
        <w:rPr>
          <w:rFonts w:ascii="Times New Roman" w:hAnsi="Times New Roman" w:cs="Times New Roman"/>
          <w:sz w:val="24"/>
          <w:szCs w:val="24"/>
        </w:rPr>
        <w:t>e said stands to the appellant</w:t>
      </w:r>
      <w:r w:rsidR="00AF7593" w:rsidRPr="003D1371">
        <w:rPr>
          <w:rFonts w:ascii="Times New Roman" w:hAnsi="Times New Roman" w:cs="Times New Roman"/>
          <w:sz w:val="24"/>
          <w:szCs w:val="24"/>
        </w:rPr>
        <w:t>, since the land was already zoned for residential purposes</w:t>
      </w:r>
      <w:r w:rsidR="005200B8" w:rsidRPr="003D1371">
        <w:rPr>
          <w:rFonts w:ascii="Times New Roman" w:hAnsi="Times New Roman" w:cs="Times New Roman"/>
          <w:sz w:val="24"/>
          <w:szCs w:val="24"/>
        </w:rPr>
        <w:t>.</w:t>
      </w:r>
      <w:r w:rsidR="00E619C7">
        <w:rPr>
          <w:rFonts w:ascii="Times New Roman" w:hAnsi="Times New Roman" w:cs="Times New Roman"/>
          <w:sz w:val="24"/>
          <w:szCs w:val="24"/>
        </w:rPr>
        <w:t xml:space="preserve">  </w:t>
      </w:r>
      <w:r w:rsidRPr="003D1371">
        <w:rPr>
          <w:rFonts w:ascii="Times New Roman" w:hAnsi="Times New Roman" w:cs="Times New Roman"/>
          <w:sz w:val="24"/>
          <w:szCs w:val="24"/>
        </w:rPr>
        <w:t>Upon request by the first respondent, the appellant paid US$120 000.00 as land intrinsic value and US$18 000.00 for Value Added Tax, thereby legal</w:t>
      </w:r>
      <w:r w:rsidR="005200B8" w:rsidRPr="003D1371">
        <w:rPr>
          <w:rFonts w:ascii="Times New Roman" w:hAnsi="Times New Roman" w:cs="Times New Roman"/>
          <w:sz w:val="24"/>
          <w:szCs w:val="24"/>
        </w:rPr>
        <w:t>ly purchasing the said stands.</w:t>
      </w:r>
    </w:p>
    <w:p w14:paraId="3DDBD4B6" w14:textId="77777777" w:rsidR="00E619C7" w:rsidRPr="00E619C7" w:rsidRDefault="00E619C7" w:rsidP="00E619C7">
      <w:pPr>
        <w:pStyle w:val="ListParagraph"/>
        <w:spacing w:after="0" w:line="240" w:lineRule="auto"/>
        <w:ind w:left="284"/>
        <w:jc w:val="both"/>
        <w:rPr>
          <w:rFonts w:ascii="Times New Roman" w:hAnsi="Times New Roman" w:cs="Times New Roman"/>
          <w:sz w:val="24"/>
          <w:szCs w:val="24"/>
        </w:rPr>
      </w:pPr>
    </w:p>
    <w:p w14:paraId="52542785" w14:textId="4F7C2361" w:rsidR="00AF41FB" w:rsidRDefault="00050B06" w:rsidP="0040692A">
      <w:pPr>
        <w:pStyle w:val="ListParagraph"/>
        <w:numPr>
          <w:ilvl w:val="0"/>
          <w:numId w:val="8"/>
        </w:numPr>
        <w:spacing w:line="480" w:lineRule="auto"/>
        <w:ind w:left="284" w:hanging="284"/>
        <w:jc w:val="both"/>
        <w:rPr>
          <w:rFonts w:ascii="Times New Roman" w:hAnsi="Times New Roman" w:cs="Times New Roman"/>
          <w:sz w:val="24"/>
          <w:szCs w:val="24"/>
        </w:rPr>
      </w:pPr>
      <w:r w:rsidRPr="003D1371">
        <w:rPr>
          <w:rFonts w:ascii="Times New Roman" w:hAnsi="Times New Roman" w:cs="Times New Roman"/>
          <w:sz w:val="24"/>
          <w:szCs w:val="24"/>
        </w:rPr>
        <w:t xml:space="preserve">On 5 June 2020, the first respondent instructed the appellant to contract S. Mupedza Land Surveyors </w:t>
      </w:r>
      <w:r w:rsidR="00AF41FB" w:rsidRPr="003D1371">
        <w:rPr>
          <w:rFonts w:ascii="Times New Roman" w:hAnsi="Times New Roman" w:cs="Times New Roman"/>
          <w:sz w:val="24"/>
          <w:szCs w:val="24"/>
        </w:rPr>
        <w:t>for survey work on the stands.</w:t>
      </w:r>
      <w:r w:rsidR="00E619C7">
        <w:rPr>
          <w:rFonts w:ascii="Times New Roman" w:hAnsi="Times New Roman" w:cs="Times New Roman"/>
          <w:sz w:val="24"/>
          <w:szCs w:val="24"/>
        </w:rPr>
        <w:t xml:space="preserve">  </w:t>
      </w:r>
      <w:r w:rsidRPr="003D1371">
        <w:rPr>
          <w:rFonts w:ascii="Times New Roman" w:hAnsi="Times New Roman" w:cs="Times New Roman"/>
          <w:sz w:val="24"/>
          <w:szCs w:val="24"/>
        </w:rPr>
        <w:t>The land surveyor cha</w:t>
      </w:r>
      <w:r w:rsidR="00415096" w:rsidRPr="003D1371">
        <w:rPr>
          <w:rFonts w:ascii="Times New Roman" w:hAnsi="Times New Roman" w:cs="Times New Roman"/>
          <w:sz w:val="24"/>
          <w:szCs w:val="24"/>
        </w:rPr>
        <w:t>rged the appellant US</w:t>
      </w:r>
      <w:r w:rsidR="00E619C7">
        <w:rPr>
          <w:rFonts w:ascii="Times New Roman" w:hAnsi="Times New Roman" w:cs="Times New Roman"/>
          <w:sz w:val="24"/>
          <w:szCs w:val="24"/>
        </w:rPr>
        <w:t xml:space="preserve">                            $92 520.00.  </w:t>
      </w:r>
      <w:r w:rsidR="00415096" w:rsidRPr="003D1371">
        <w:rPr>
          <w:rFonts w:ascii="Times New Roman" w:hAnsi="Times New Roman" w:cs="Times New Roman"/>
          <w:sz w:val="24"/>
          <w:szCs w:val="24"/>
        </w:rPr>
        <w:t>However, the appellant</w:t>
      </w:r>
      <w:r w:rsidRPr="003D1371">
        <w:rPr>
          <w:rFonts w:ascii="Times New Roman" w:hAnsi="Times New Roman" w:cs="Times New Roman"/>
          <w:sz w:val="24"/>
          <w:szCs w:val="24"/>
        </w:rPr>
        <w:t xml:space="preserve"> </w:t>
      </w:r>
      <w:r w:rsidR="006B3ECB" w:rsidRPr="003D1371">
        <w:rPr>
          <w:rFonts w:ascii="Times New Roman" w:hAnsi="Times New Roman" w:cs="Times New Roman"/>
          <w:sz w:val="24"/>
          <w:szCs w:val="24"/>
        </w:rPr>
        <w:t xml:space="preserve">only </w:t>
      </w:r>
      <w:r w:rsidRPr="003D1371">
        <w:rPr>
          <w:rFonts w:ascii="Times New Roman" w:hAnsi="Times New Roman" w:cs="Times New Roman"/>
          <w:sz w:val="24"/>
          <w:szCs w:val="24"/>
        </w:rPr>
        <w:t>managed to pay US$45 000.00, leav</w:t>
      </w:r>
      <w:r w:rsidR="00AF41FB" w:rsidRPr="003D1371">
        <w:rPr>
          <w:rFonts w:ascii="Times New Roman" w:hAnsi="Times New Roman" w:cs="Times New Roman"/>
          <w:sz w:val="24"/>
          <w:szCs w:val="24"/>
        </w:rPr>
        <w:t xml:space="preserve">ing a balance of </w:t>
      </w:r>
      <w:r w:rsidR="00AF41FB" w:rsidRPr="003D1371">
        <w:rPr>
          <w:rFonts w:ascii="Times New Roman" w:hAnsi="Times New Roman" w:cs="Times New Roman"/>
          <w:sz w:val="24"/>
          <w:szCs w:val="24"/>
        </w:rPr>
        <w:lastRenderedPageBreak/>
        <w:t>US$47 520.00.</w:t>
      </w:r>
      <w:r w:rsidR="00E619C7">
        <w:rPr>
          <w:rFonts w:ascii="Times New Roman" w:hAnsi="Times New Roman" w:cs="Times New Roman"/>
          <w:sz w:val="24"/>
          <w:szCs w:val="24"/>
        </w:rPr>
        <w:t xml:space="preserve">  </w:t>
      </w:r>
      <w:r w:rsidR="007071E3" w:rsidRPr="003D1371">
        <w:rPr>
          <w:rFonts w:ascii="Times New Roman" w:hAnsi="Times New Roman" w:cs="Times New Roman"/>
          <w:sz w:val="24"/>
          <w:szCs w:val="24"/>
        </w:rPr>
        <w:t>In addition, the</w:t>
      </w:r>
      <w:r w:rsidRPr="003D1371">
        <w:rPr>
          <w:rFonts w:ascii="Times New Roman" w:hAnsi="Times New Roman" w:cs="Times New Roman"/>
          <w:sz w:val="24"/>
          <w:szCs w:val="24"/>
        </w:rPr>
        <w:t xml:space="preserve"> appellant acquired an Environmental Management Agen</w:t>
      </w:r>
      <w:r w:rsidR="00AF41FB" w:rsidRPr="003D1371">
        <w:rPr>
          <w:rFonts w:ascii="Times New Roman" w:hAnsi="Times New Roman" w:cs="Times New Roman"/>
          <w:sz w:val="24"/>
          <w:szCs w:val="24"/>
        </w:rPr>
        <w:t xml:space="preserve">cy certificate for the </w:t>
      </w:r>
      <w:r w:rsidR="007071E3" w:rsidRPr="003D1371">
        <w:rPr>
          <w:rFonts w:ascii="Times New Roman" w:hAnsi="Times New Roman" w:cs="Times New Roman"/>
          <w:sz w:val="24"/>
          <w:szCs w:val="24"/>
        </w:rPr>
        <w:t xml:space="preserve">said </w:t>
      </w:r>
      <w:r w:rsidR="00AF41FB" w:rsidRPr="003D1371">
        <w:rPr>
          <w:rFonts w:ascii="Times New Roman" w:hAnsi="Times New Roman" w:cs="Times New Roman"/>
          <w:sz w:val="24"/>
          <w:szCs w:val="24"/>
        </w:rPr>
        <w:t>stands.</w:t>
      </w:r>
    </w:p>
    <w:p w14:paraId="68660E29" w14:textId="77777777" w:rsidR="00E619C7" w:rsidRPr="00E619C7" w:rsidRDefault="00E619C7" w:rsidP="00E619C7">
      <w:pPr>
        <w:spacing w:after="0" w:line="240" w:lineRule="auto"/>
        <w:jc w:val="both"/>
        <w:rPr>
          <w:rFonts w:ascii="Times New Roman" w:hAnsi="Times New Roman" w:cs="Times New Roman"/>
          <w:sz w:val="24"/>
          <w:szCs w:val="24"/>
        </w:rPr>
      </w:pPr>
    </w:p>
    <w:p w14:paraId="017CFFBF" w14:textId="77777777" w:rsidR="00000864" w:rsidRPr="003D1371" w:rsidRDefault="00000864" w:rsidP="00E619C7">
      <w:pPr>
        <w:spacing w:after="0" w:line="480" w:lineRule="auto"/>
        <w:jc w:val="both"/>
        <w:rPr>
          <w:rFonts w:ascii="Times New Roman" w:hAnsi="Times New Roman" w:cs="Times New Roman"/>
          <w:b/>
          <w:i/>
          <w:sz w:val="24"/>
          <w:szCs w:val="24"/>
          <w:u w:val="single"/>
        </w:rPr>
      </w:pPr>
      <w:r w:rsidRPr="003D1371">
        <w:rPr>
          <w:rFonts w:ascii="Times New Roman" w:hAnsi="Times New Roman" w:cs="Times New Roman"/>
          <w:b/>
          <w:sz w:val="24"/>
          <w:szCs w:val="24"/>
          <w:u w:val="single"/>
        </w:rPr>
        <w:t xml:space="preserve">PROCEEDINGS BEFORE THE COURT </w:t>
      </w:r>
      <w:r w:rsidR="009A492D" w:rsidRPr="003D1371">
        <w:rPr>
          <w:rFonts w:ascii="Times New Roman" w:hAnsi="Times New Roman" w:cs="Times New Roman"/>
          <w:b/>
          <w:i/>
          <w:sz w:val="24"/>
          <w:szCs w:val="24"/>
          <w:u w:val="single"/>
        </w:rPr>
        <w:t>A QUO</w:t>
      </w:r>
    </w:p>
    <w:p w14:paraId="336C017A" w14:textId="56C68925" w:rsidR="00050B06" w:rsidRDefault="00050B06" w:rsidP="0040692A">
      <w:pPr>
        <w:pStyle w:val="ListParagraph"/>
        <w:numPr>
          <w:ilvl w:val="0"/>
          <w:numId w:val="8"/>
        </w:numPr>
        <w:spacing w:line="480" w:lineRule="auto"/>
        <w:ind w:left="284" w:hanging="284"/>
        <w:jc w:val="both"/>
        <w:rPr>
          <w:rFonts w:ascii="Times New Roman" w:hAnsi="Times New Roman" w:cs="Times New Roman"/>
          <w:sz w:val="24"/>
          <w:szCs w:val="24"/>
        </w:rPr>
      </w:pPr>
      <w:r w:rsidRPr="003D1371">
        <w:rPr>
          <w:rFonts w:ascii="Times New Roman" w:hAnsi="Times New Roman" w:cs="Times New Roman"/>
          <w:sz w:val="24"/>
          <w:szCs w:val="24"/>
        </w:rPr>
        <w:t xml:space="preserve">On 22 June 2022, the appellant issued out summons against </w:t>
      </w:r>
      <w:r w:rsidR="00B6144A" w:rsidRPr="003D1371">
        <w:rPr>
          <w:rFonts w:ascii="Times New Roman" w:hAnsi="Times New Roman" w:cs="Times New Roman"/>
          <w:sz w:val="24"/>
          <w:szCs w:val="24"/>
        </w:rPr>
        <w:t xml:space="preserve">the </w:t>
      </w:r>
      <w:r w:rsidR="00AF41FB" w:rsidRPr="003D1371">
        <w:rPr>
          <w:rFonts w:ascii="Times New Roman" w:hAnsi="Times New Roman" w:cs="Times New Roman"/>
          <w:sz w:val="24"/>
          <w:szCs w:val="24"/>
        </w:rPr>
        <w:t xml:space="preserve">respondents under </w:t>
      </w:r>
      <w:r w:rsidR="00992B89">
        <w:rPr>
          <w:rFonts w:ascii="Times New Roman" w:hAnsi="Times New Roman" w:cs="Times New Roman"/>
          <w:sz w:val="24"/>
          <w:szCs w:val="24"/>
        </w:rPr>
        <w:t xml:space="preserve">                           </w:t>
      </w:r>
      <w:r w:rsidR="00AF41FB" w:rsidRPr="003D1371">
        <w:rPr>
          <w:rFonts w:ascii="Times New Roman" w:hAnsi="Times New Roman" w:cs="Times New Roman"/>
          <w:sz w:val="24"/>
          <w:szCs w:val="24"/>
        </w:rPr>
        <w:t>HC 4131/22</w:t>
      </w:r>
      <w:r w:rsidR="007C4BF1" w:rsidRPr="003D1371">
        <w:rPr>
          <w:rFonts w:ascii="Times New Roman" w:hAnsi="Times New Roman" w:cs="Times New Roman"/>
          <w:sz w:val="24"/>
          <w:szCs w:val="24"/>
        </w:rPr>
        <w:t xml:space="preserve"> in the court </w:t>
      </w:r>
      <w:r w:rsidR="009A492D" w:rsidRPr="003D1371">
        <w:rPr>
          <w:rFonts w:ascii="Times New Roman" w:hAnsi="Times New Roman" w:cs="Times New Roman"/>
          <w:i/>
          <w:sz w:val="24"/>
          <w:szCs w:val="24"/>
        </w:rPr>
        <w:t>a quo</w:t>
      </w:r>
      <w:r w:rsidR="00AF41FB" w:rsidRPr="003D1371">
        <w:rPr>
          <w:rFonts w:ascii="Times New Roman" w:hAnsi="Times New Roman" w:cs="Times New Roman"/>
          <w:sz w:val="24"/>
          <w:szCs w:val="24"/>
        </w:rPr>
        <w:t>.</w:t>
      </w:r>
      <w:r w:rsidR="003A5DBC" w:rsidRPr="003D1371">
        <w:rPr>
          <w:rFonts w:ascii="Times New Roman" w:hAnsi="Times New Roman" w:cs="Times New Roman"/>
          <w:sz w:val="24"/>
          <w:szCs w:val="24"/>
        </w:rPr>
        <w:t xml:space="preserve"> </w:t>
      </w:r>
      <w:r w:rsidR="00E619C7">
        <w:rPr>
          <w:rFonts w:ascii="Times New Roman" w:hAnsi="Times New Roman" w:cs="Times New Roman"/>
          <w:sz w:val="24"/>
          <w:szCs w:val="24"/>
        </w:rPr>
        <w:t xml:space="preserve"> </w:t>
      </w:r>
      <w:r w:rsidR="003A5DBC" w:rsidRPr="003D1371">
        <w:rPr>
          <w:rFonts w:ascii="Times New Roman" w:hAnsi="Times New Roman" w:cs="Times New Roman"/>
          <w:sz w:val="24"/>
          <w:szCs w:val="24"/>
        </w:rPr>
        <w:t xml:space="preserve">The appellant averred </w:t>
      </w:r>
      <w:r w:rsidR="008375A2" w:rsidRPr="003D1371">
        <w:rPr>
          <w:rFonts w:ascii="Times New Roman" w:hAnsi="Times New Roman" w:cs="Times New Roman"/>
          <w:sz w:val="24"/>
          <w:szCs w:val="24"/>
        </w:rPr>
        <w:t>that</w:t>
      </w:r>
      <w:r w:rsidRPr="003D1371">
        <w:rPr>
          <w:rFonts w:ascii="Times New Roman" w:hAnsi="Times New Roman" w:cs="Times New Roman"/>
          <w:sz w:val="24"/>
          <w:szCs w:val="24"/>
        </w:rPr>
        <w:t xml:space="preserve"> the first respondent reneged on its obligations and instructed the land surveyor to stop the work</w:t>
      </w:r>
      <w:r w:rsidR="005C2229" w:rsidRPr="003D1371">
        <w:rPr>
          <w:rFonts w:ascii="Times New Roman" w:hAnsi="Times New Roman" w:cs="Times New Roman"/>
          <w:sz w:val="24"/>
          <w:szCs w:val="24"/>
        </w:rPr>
        <w:t>s which had already commenced.</w:t>
      </w:r>
      <w:r w:rsidR="00E619C7">
        <w:rPr>
          <w:rFonts w:ascii="Times New Roman" w:hAnsi="Times New Roman" w:cs="Times New Roman"/>
          <w:sz w:val="24"/>
          <w:szCs w:val="24"/>
        </w:rPr>
        <w:t xml:space="preserve"> </w:t>
      </w:r>
      <w:r w:rsidRPr="003D1371">
        <w:rPr>
          <w:rFonts w:ascii="Times New Roman" w:hAnsi="Times New Roman" w:cs="Times New Roman"/>
          <w:sz w:val="24"/>
          <w:szCs w:val="24"/>
        </w:rPr>
        <w:t xml:space="preserve"> Fu</w:t>
      </w:r>
      <w:r w:rsidR="005C2229" w:rsidRPr="003D1371">
        <w:rPr>
          <w:rFonts w:ascii="Times New Roman" w:hAnsi="Times New Roman" w:cs="Times New Roman"/>
          <w:sz w:val="24"/>
          <w:szCs w:val="24"/>
        </w:rPr>
        <w:t xml:space="preserve">rther, the third respondent made a claim regarding the stands, </w:t>
      </w:r>
      <w:r w:rsidRPr="003D1371">
        <w:rPr>
          <w:rFonts w:ascii="Times New Roman" w:hAnsi="Times New Roman" w:cs="Times New Roman"/>
          <w:sz w:val="24"/>
          <w:szCs w:val="24"/>
        </w:rPr>
        <w:t xml:space="preserve">purporting that the second respondent had </w:t>
      </w:r>
      <w:r w:rsidR="004B1B2B" w:rsidRPr="003D1371">
        <w:rPr>
          <w:rFonts w:ascii="Times New Roman" w:hAnsi="Times New Roman" w:cs="Times New Roman"/>
          <w:sz w:val="24"/>
          <w:szCs w:val="24"/>
        </w:rPr>
        <w:t>allocated the</w:t>
      </w:r>
      <w:r w:rsidR="00E619C7">
        <w:rPr>
          <w:rFonts w:ascii="Times New Roman" w:hAnsi="Times New Roman" w:cs="Times New Roman"/>
          <w:sz w:val="24"/>
          <w:szCs w:val="24"/>
        </w:rPr>
        <w:t xml:space="preserve"> same</w:t>
      </w:r>
      <w:r w:rsidR="00CB279B">
        <w:rPr>
          <w:rFonts w:ascii="Times New Roman" w:hAnsi="Times New Roman" w:cs="Times New Roman"/>
          <w:sz w:val="24"/>
          <w:szCs w:val="24"/>
        </w:rPr>
        <w:t xml:space="preserve"> to it</w:t>
      </w:r>
      <w:r w:rsidR="00E619C7">
        <w:rPr>
          <w:rFonts w:ascii="Times New Roman" w:hAnsi="Times New Roman" w:cs="Times New Roman"/>
          <w:sz w:val="24"/>
          <w:szCs w:val="24"/>
        </w:rPr>
        <w:t xml:space="preserve">. </w:t>
      </w:r>
      <w:r w:rsidR="005C2229" w:rsidRPr="003D1371">
        <w:rPr>
          <w:rFonts w:ascii="Times New Roman" w:hAnsi="Times New Roman" w:cs="Times New Roman"/>
          <w:sz w:val="24"/>
          <w:szCs w:val="24"/>
        </w:rPr>
        <w:t>In respect of the claim made by the third respondent, t</w:t>
      </w:r>
      <w:r w:rsidRPr="003D1371">
        <w:rPr>
          <w:rFonts w:ascii="Times New Roman" w:hAnsi="Times New Roman" w:cs="Times New Roman"/>
          <w:sz w:val="24"/>
          <w:szCs w:val="24"/>
        </w:rPr>
        <w:t>he appellant alleged that it was the lawful owner of the said stands and</w:t>
      </w:r>
      <w:r w:rsidR="005C2229" w:rsidRPr="003D1371">
        <w:rPr>
          <w:rFonts w:ascii="Times New Roman" w:hAnsi="Times New Roman" w:cs="Times New Roman"/>
          <w:sz w:val="24"/>
          <w:szCs w:val="24"/>
        </w:rPr>
        <w:t xml:space="preserve"> that</w:t>
      </w:r>
      <w:r w:rsidRPr="003D1371">
        <w:rPr>
          <w:rFonts w:ascii="Times New Roman" w:hAnsi="Times New Roman" w:cs="Times New Roman"/>
          <w:sz w:val="24"/>
          <w:szCs w:val="24"/>
        </w:rPr>
        <w:t xml:space="preserve"> the allocation of the stands to the third</w:t>
      </w:r>
      <w:r w:rsidR="005C2229" w:rsidRPr="003D1371">
        <w:rPr>
          <w:rFonts w:ascii="Times New Roman" w:hAnsi="Times New Roman" w:cs="Times New Roman"/>
          <w:sz w:val="24"/>
          <w:szCs w:val="24"/>
        </w:rPr>
        <w:t xml:space="preserve"> respondent was null and void.</w:t>
      </w:r>
      <w:r w:rsidR="00E619C7">
        <w:rPr>
          <w:rFonts w:ascii="Times New Roman" w:hAnsi="Times New Roman" w:cs="Times New Roman"/>
          <w:sz w:val="24"/>
          <w:szCs w:val="24"/>
        </w:rPr>
        <w:t xml:space="preserve">  </w:t>
      </w:r>
      <w:r w:rsidRPr="003D1371">
        <w:rPr>
          <w:rFonts w:ascii="Times New Roman" w:hAnsi="Times New Roman" w:cs="Times New Roman"/>
          <w:sz w:val="24"/>
          <w:szCs w:val="24"/>
        </w:rPr>
        <w:t xml:space="preserve">The appellant sought an order for specific performance against the first respondent, and if specific performance could not be granted, </w:t>
      </w:r>
      <w:r w:rsidR="005C2229" w:rsidRPr="003D1371">
        <w:rPr>
          <w:rFonts w:ascii="Times New Roman" w:hAnsi="Times New Roman" w:cs="Times New Roman"/>
          <w:sz w:val="24"/>
          <w:szCs w:val="24"/>
        </w:rPr>
        <w:t>damages.</w:t>
      </w:r>
    </w:p>
    <w:p w14:paraId="0D29C68E" w14:textId="77777777" w:rsidR="00E619C7" w:rsidRPr="003D1371" w:rsidRDefault="00E619C7" w:rsidP="00E619C7">
      <w:pPr>
        <w:pStyle w:val="ListParagraph"/>
        <w:spacing w:after="0" w:line="240" w:lineRule="auto"/>
        <w:ind w:left="426"/>
        <w:jc w:val="both"/>
        <w:rPr>
          <w:rFonts w:ascii="Times New Roman" w:hAnsi="Times New Roman" w:cs="Times New Roman"/>
          <w:sz w:val="24"/>
          <w:szCs w:val="24"/>
        </w:rPr>
      </w:pPr>
    </w:p>
    <w:p w14:paraId="64F6E916" w14:textId="02D2EF67" w:rsidR="00E619C7" w:rsidRDefault="00000864" w:rsidP="00992B89">
      <w:pPr>
        <w:pStyle w:val="ListParagraph"/>
        <w:numPr>
          <w:ilvl w:val="0"/>
          <w:numId w:val="8"/>
        </w:numPr>
        <w:spacing w:after="0" w:line="480" w:lineRule="auto"/>
        <w:ind w:left="284" w:hanging="284"/>
        <w:jc w:val="both"/>
        <w:rPr>
          <w:rFonts w:ascii="Times New Roman" w:hAnsi="Times New Roman" w:cs="Times New Roman"/>
          <w:sz w:val="24"/>
          <w:szCs w:val="24"/>
        </w:rPr>
      </w:pPr>
      <w:r w:rsidRPr="003D1371">
        <w:rPr>
          <w:rFonts w:ascii="Times New Roman" w:hAnsi="Times New Roman" w:cs="Times New Roman"/>
          <w:sz w:val="24"/>
          <w:szCs w:val="24"/>
        </w:rPr>
        <w:t>In response</w:t>
      </w:r>
      <w:r w:rsidR="003D7678" w:rsidRPr="003D1371">
        <w:rPr>
          <w:rFonts w:ascii="Times New Roman" w:hAnsi="Times New Roman" w:cs="Times New Roman"/>
          <w:sz w:val="24"/>
          <w:szCs w:val="24"/>
        </w:rPr>
        <w:t>, the first respondent averred that it erroneously allocated the land which belonged to the Government of Zimbabwe</w:t>
      </w:r>
      <w:r w:rsidR="00EF1E3C" w:rsidRPr="003D1371">
        <w:rPr>
          <w:rFonts w:ascii="Times New Roman" w:hAnsi="Times New Roman" w:cs="Times New Roman"/>
          <w:sz w:val="24"/>
          <w:szCs w:val="24"/>
        </w:rPr>
        <w:t xml:space="preserve">; </w:t>
      </w:r>
      <w:r w:rsidR="003D7678" w:rsidRPr="003D1371">
        <w:rPr>
          <w:rFonts w:ascii="Times New Roman" w:hAnsi="Times New Roman" w:cs="Times New Roman"/>
          <w:sz w:val="24"/>
          <w:szCs w:val="24"/>
        </w:rPr>
        <w:t>thus</w:t>
      </w:r>
      <w:r w:rsidR="006A731F" w:rsidRPr="003D1371">
        <w:rPr>
          <w:rFonts w:ascii="Times New Roman" w:hAnsi="Times New Roman" w:cs="Times New Roman"/>
          <w:sz w:val="24"/>
          <w:szCs w:val="24"/>
        </w:rPr>
        <w:t xml:space="preserve">, the allocation was unlawful. </w:t>
      </w:r>
      <w:r w:rsidR="00E619C7">
        <w:rPr>
          <w:rFonts w:ascii="Times New Roman" w:hAnsi="Times New Roman" w:cs="Times New Roman"/>
          <w:sz w:val="24"/>
          <w:szCs w:val="24"/>
        </w:rPr>
        <w:t xml:space="preserve"> </w:t>
      </w:r>
      <w:r w:rsidR="006A731F" w:rsidRPr="003D1371">
        <w:rPr>
          <w:rFonts w:ascii="Times New Roman" w:hAnsi="Times New Roman" w:cs="Times New Roman"/>
          <w:sz w:val="24"/>
          <w:szCs w:val="24"/>
        </w:rPr>
        <w:t>T</w:t>
      </w:r>
      <w:r w:rsidR="003D7678" w:rsidRPr="003D1371">
        <w:rPr>
          <w:rFonts w:ascii="Times New Roman" w:hAnsi="Times New Roman" w:cs="Times New Roman"/>
          <w:sz w:val="24"/>
          <w:szCs w:val="24"/>
        </w:rPr>
        <w:t xml:space="preserve">he first respondent </w:t>
      </w:r>
      <w:r w:rsidR="006A731F" w:rsidRPr="003D1371">
        <w:rPr>
          <w:rFonts w:ascii="Times New Roman" w:hAnsi="Times New Roman" w:cs="Times New Roman"/>
          <w:sz w:val="24"/>
          <w:szCs w:val="24"/>
        </w:rPr>
        <w:t xml:space="preserve">took the position that </w:t>
      </w:r>
      <w:r w:rsidR="003D7678" w:rsidRPr="003D1371">
        <w:rPr>
          <w:rFonts w:ascii="Times New Roman" w:hAnsi="Times New Roman" w:cs="Times New Roman"/>
          <w:sz w:val="24"/>
          <w:szCs w:val="24"/>
        </w:rPr>
        <w:t>the survey and servicing of the land was stopped due to the fact that the approval of t</w:t>
      </w:r>
      <w:r w:rsidR="00E619C7">
        <w:rPr>
          <w:rFonts w:ascii="Times New Roman" w:hAnsi="Times New Roman" w:cs="Times New Roman"/>
          <w:sz w:val="24"/>
          <w:szCs w:val="24"/>
        </w:rPr>
        <w:t xml:space="preserve">he layout plan was erroneous.  </w:t>
      </w:r>
      <w:r w:rsidR="003D7678" w:rsidRPr="003D1371">
        <w:rPr>
          <w:rFonts w:ascii="Times New Roman" w:hAnsi="Times New Roman" w:cs="Times New Roman"/>
          <w:sz w:val="24"/>
          <w:szCs w:val="24"/>
        </w:rPr>
        <w:t xml:space="preserve">The first respondent </w:t>
      </w:r>
      <w:r w:rsidR="00656773" w:rsidRPr="003D1371">
        <w:rPr>
          <w:rFonts w:ascii="Times New Roman" w:hAnsi="Times New Roman" w:cs="Times New Roman"/>
          <w:sz w:val="24"/>
          <w:szCs w:val="24"/>
        </w:rPr>
        <w:t xml:space="preserve">also </w:t>
      </w:r>
      <w:r w:rsidR="003D7678" w:rsidRPr="003D1371">
        <w:rPr>
          <w:rFonts w:ascii="Times New Roman" w:hAnsi="Times New Roman" w:cs="Times New Roman"/>
          <w:sz w:val="24"/>
          <w:szCs w:val="24"/>
        </w:rPr>
        <w:t xml:space="preserve">averred that the land had been allocated to the </w:t>
      </w:r>
      <w:r w:rsidRPr="003D1371">
        <w:rPr>
          <w:rFonts w:ascii="Times New Roman" w:hAnsi="Times New Roman" w:cs="Times New Roman"/>
          <w:sz w:val="24"/>
          <w:szCs w:val="24"/>
        </w:rPr>
        <w:t>third respondent by the State.</w:t>
      </w:r>
    </w:p>
    <w:p w14:paraId="7136EE19" w14:textId="77777777" w:rsidR="00E619C7" w:rsidRPr="00E619C7" w:rsidRDefault="00E619C7" w:rsidP="00E619C7">
      <w:pPr>
        <w:spacing w:after="0" w:line="240" w:lineRule="auto"/>
        <w:jc w:val="both"/>
        <w:rPr>
          <w:rFonts w:ascii="Times New Roman" w:hAnsi="Times New Roman" w:cs="Times New Roman"/>
          <w:sz w:val="24"/>
          <w:szCs w:val="24"/>
        </w:rPr>
      </w:pPr>
    </w:p>
    <w:p w14:paraId="6FA1E8F2" w14:textId="1BD643DA" w:rsidR="0082069C" w:rsidRPr="003D1371" w:rsidRDefault="00C34676" w:rsidP="00992B89">
      <w:pPr>
        <w:pStyle w:val="ListParagraph"/>
        <w:numPr>
          <w:ilvl w:val="0"/>
          <w:numId w:val="8"/>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The case</w:t>
      </w:r>
      <w:r w:rsidR="0082069C" w:rsidRPr="003D1371">
        <w:rPr>
          <w:rFonts w:ascii="Times New Roman" w:hAnsi="Times New Roman" w:cs="Times New Roman"/>
          <w:sz w:val="24"/>
          <w:szCs w:val="24"/>
        </w:rPr>
        <w:t xml:space="preserve"> went to trial, wh</w:t>
      </w:r>
      <w:r w:rsidR="002377C7">
        <w:rPr>
          <w:rFonts w:ascii="Times New Roman" w:hAnsi="Times New Roman" w:cs="Times New Roman"/>
          <w:sz w:val="24"/>
          <w:szCs w:val="24"/>
        </w:rPr>
        <w:t>ere the appellant’s witness, Mr</w:t>
      </w:r>
      <w:r w:rsidR="0082069C" w:rsidRPr="003D1371">
        <w:rPr>
          <w:rFonts w:ascii="Times New Roman" w:hAnsi="Times New Roman" w:cs="Times New Roman"/>
          <w:sz w:val="24"/>
          <w:szCs w:val="24"/>
        </w:rPr>
        <w:t xml:space="preserve"> Ruzvidzo Chatima, testified that although the appellant initially occupied the land illegally, it was later legally allocated to it by the first respondent</w:t>
      </w:r>
      <w:r w:rsidR="006446C3" w:rsidRPr="003D1371">
        <w:rPr>
          <w:rFonts w:ascii="Times New Roman" w:hAnsi="Times New Roman" w:cs="Times New Roman"/>
          <w:sz w:val="24"/>
          <w:szCs w:val="24"/>
        </w:rPr>
        <w:t xml:space="preserve"> through a council resolution.</w:t>
      </w:r>
      <w:r w:rsidR="0082069C" w:rsidRPr="003D1371">
        <w:rPr>
          <w:rFonts w:ascii="Times New Roman" w:hAnsi="Times New Roman" w:cs="Times New Roman"/>
          <w:sz w:val="24"/>
          <w:szCs w:val="24"/>
        </w:rPr>
        <w:t xml:space="preserve"> </w:t>
      </w:r>
      <w:r w:rsidR="00B03867">
        <w:rPr>
          <w:rFonts w:ascii="Times New Roman" w:hAnsi="Times New Roman" w:cs="Times New Roman"/>
          <w:sz w:val="24"/>
          <w:szCs w:val="24"/>
        </w:rPr>
        <w:t xml:space="preserve"> </w:t>
      </w:r>
      <w:r w:rsidR="0082069C" w:rsidRPr="003D1371">
        <w:rPr>
          <w:rFonts w:ascii="Times New Roman" w:hAnsi="Times New Roman" w:cs="Times New Roman"/>
          <w:sz w:val="24"/>
          <w:szCs w:val="24"/>
        </w:rPr>
        <w:t>He conceded that the land is now state-owned</w:t>
      </w:r>
      <w:r w:rsidR="006B3ECB" w:rsidRPr="003D1371">
        <w:rPr>
          <w:rFonts w:ascii="Times New Roman" w:hAnsi="Times New Roman" w:cs="Times New Roman"/>
          <w:sz w:val="24"/>
          <w:szCs w:val="24"/>
        </w:rPr>
        <w:t>,</w:t>
      </w:r>
      <w:r w:rsidR="0082069C" w:rsidRPr="003D1371">
        <w:rPr>
          <w:rFonts w:ascii="Times New Roman" w:hAnsi="Times New Roman" w:cs="Times New Roman"/>
          <w:sz w:val="24"/>
          <w:szCs w:val="24"/>
        </w:rPr>
        <w:t xml:space="preserve"> as there is a title deed for the land which indicates that the owner of the land is the Governor of the colony of Southern Rhodesia and his successors in office, who is </w:t>
      </w:r>
      <w:r w:rsidR="00F23E73" w:rsidRPr="003D1371">
        <w:rPr>
          <w:rFonts w:ascii="Times New Roman" w:hAnsi="Times New Roman" w:cs="Times New Roman"/>
          <w:sz w:val="24"/>
          <w:szCs w:val="24"/>
        </w:rPr>
        <w:t xml:space="preserve">now the President of </w:t>
      </w:r>
      <w:r w:rsidR="00F23E73" w:rsidRPr="003D1371">
        <w:rPr>
          <w:rFonts w:ascii="Times New Roman" w:hAnsi="Times New Roman" w:cs="Times New Roman"/>
          <w:sz w:val="24"/>
          <w:szCs w:val="24"/>
        </w:rPr>
        <w:lastRenderedPageBreak/>
        <w:t>Zimbabwe.</w:t>
      </w:r>
      <w:r w:rsidR="00B03867">
        <w:rPr>
          <w:rFonts w:ascii="Times New Roman" w:hAnsi="Times New Roman" w:cs="Times New Roman"/>
          <w:sz w:val="24"/>
          <w:szCs w:val="24"/>
        </w:rPr>
        <w:t xml:space="preserve">  </w:t>
      </w:r>
      <w:r w:rsidR="0082069C" w:rsidRPr="003D1371">
        <w:rPr>
          <w:rFonts w:ascii="Times New Roman" w:hAnsi="Times New Roman" w:cs="Times New Roman"/>
          <w:sz w:val="24"/>
          <w:szCs w:val="24"/>
        </w:rPr>
        <w:t xml:space="preserve">According to the witness, there was no council resolution revoking the </w:t>
      </w:r>
      <w:r w:rsidR="00F23E73" w:rsidRPr="003D1371">
        <w:rPr>
          <w:rFonts w:ascii="Times New Roman" w:hAnsi="Times New Roman" w:cs="Times New Roman"/>
          <w:sz w:val="24"/>
          <w:szCs w:val="24"/>
        </w:rPr>
        <w:t>allocation of the said stands.</w:t>
      </w:r>
      <w:r w:rsidR="0082069C" w:rsidRPr="003D1371">
        <w:rPr>
          <w:rFonts w:ascii="Times New Roman" w:hAnsi="Times New Roman" w:cs="Times New Roman"/>
          <w:sz w:val="24"/>
          <w:szCs w:val="24"/>
        </w:rPr>
        <w:t xml:space="preserve"> </w:t>
      </w:r>
      <w:r w:rsidR="00B03867">
        <w:rPr>
          <w:rFonts w:ascii="Times New Roman" w:hAnsi="Times New Roman" w:cs="Times New Roman"/>
          <w:sz w:val="24"/>
          <w:szCs w:val="24"/>
        </w:rPr>
        <w:t xml:space="preserve"> </w:t>
      </w:r>
      <w:r w:rsidR="0082069C" w:rsidRPr="003D1371">
        <w:rPr>
          <w:rFonts w:ascii="Times New Roman" w:hAnsi="Times New Roman" w:cs="Times New Roman"/>
          <w:sz w:val="24"/>
          <w:szCs w:val="24"/>
        </w:rPr>
        <w:t>He testified that it was the first respondent’s duty to allocate the land under its jurisdicti</w:t>
      </w:r>
      <w:r w:rsidR="00F23E73" w:rsidRPr="003D1371">
        <w:rPr>
          <w:rFonts w:ascii="Times New Roman" w:hAnsi="Times New Roman" w:cs="Times New Roman"/>
          <w:sz w:val="24"/>
          <w:szCs w:val="24"/>
        </w:rPr>
        <w:t xml:space="preserve">on, whether </w:t>
      </w:r>
      <w:r w:rsidR="00023293">
        <w:rPr>
          <w:rFonts w:ascii="Times New Roman" w:hAnsi="Times New Roman" w:cs="Times New Roman"/>
          <w:sz w:val="24"/>
          <w:szCs w:val="24"/>
        </w:rPr>
        <w:t>S</w:t>
      </w:r>
      <w:r w:rsidR="00F23E73" w:rsidRPr="003D1371">
        <w:rPr>
          <w:rFonts w:ascii="Times New Roman" w:hAnsi="Times New Roman" w:cs="Times New Roman"/>
          <w:sz w:val="24"/>
          <w:szCs w:val="24"/>
        </w:rPr>
        <w:t>tate land or not.</w:t>
      </w:r>
    </w:p>
    <w:p w14:paraId="4C5F8831" w14:textId="77777777" w:rsidR="005F5147" w:rsidRDefault="005F5147" w:rsidP="005F5147">
      <w:pPr>
        <w:pStyle w:val="ListParagraph"/>
        <w:spacing w:after="0" w:line="240" w:lineRule="auto"/>
        <w:ind w:left="426"/>
        <w:jc w:val="both"/>
        <w:rPr>
          <w:rFonts w:ascii="Times New Roman" w:hAnsi="Times New Roman" w:cs="Times New Roman"/>
          <w:sz w:val="24"/>
          <w:szCs w:val="24"/>
        </w:rPr>
      </w:pPr>
    </w:p>
    <w:p w14:paraId="31727C75" w14:textId="36FBB802" w:rsidR="00795374" w:rsidRDefault="00872FF5" w:rsidP="005F5147">
      <w:pPr>
        <w:pStyle w:val="ListParagraph"/>
        <w:numPr>
          <w:ilvl w:val="0"/>
          <w:numId w:val="8"/>
        </w:numPr>
        <w:spacing w:line="480" w:lineRule="auto"/>
        <w:ind w:left="284" w:hanging="284"/>
        <w:jc w:val="both"/>
        <w:rPr>
          <w:rFonts w:ascii="Times New Roman" w:hAnsi="Times New Roman" w:cs="Times New Roman"/>
          <w:sz w:val="24"/>
          <w:szCs w:val="24"/>
        </w:rPr>
      </w:pPr>
      <w:r w:rsidRPr="003D1371">
        <w:rPr>
          <w:rFonts w:ascii="Times New Roman" w:hAnsi="Times New Roman" w:cs="Times New Roman"/>
          <w:sz w:val="24"/>
          <w:szCs w:val="24"/>
        </w:rPr>
        <w:t>The first respondent, through its witness</w:t>
      </w:r>
      <w:r w:rsidR="001032A3" w:rsidRPr="003D1371">
        <w:rPr>
          <w:rFonts w:ascii="Times New Roman" w:hAnsi="Times New Roman" w:cs="Times New Roman"/>
          <w:sz w:val="24"/>
          <w:szCs w:val="24"/>
        </w:rPr>
        <w:t>, one</w:t>
      </w:r>
      <w:r w:rsidRPr="003D1371">
        <w:rPr>
          <w:rFonts w:ascii="Times New Roman" w:hAnsi="Times New Roman" w:cs="Times New Roman"/>
          <w:sz w:val="24"/>
          <w:szCs w:val="24"/>
        </w:rPr>
        <w:t xml:space="preserve"> Moreblessing Mudumo, testified that the land is registered under the Government of Zimbabwe</w:t>
      </w:r>
      <w:r w:rsidR="00EF1E3C" w:rsidRPr="003D1371">
        <w:rPr>
          <w:rFonts w:ascii="Times New Roman" w:hAnsi="Times New Roman" w:cs="Times New Roman"/>
          <w:sz w:val="24"/>
          <w:szCs w:val="24"/>
        </w:rPr>
        <w:t xml:space="preserve">; </w:t>
      </w:r>
      <w:r w:rsidRPr="003D1371">
        <w:rPr>
          <w:rFonts w:ascii="Times New Roman" w:hAnsi="Times New Roman" w:cs="Times New Roman"/>
          <w:sz w:val="24"/>
          <w:szCs w:val="24"/>
        </w:rPr>
        <w:t>thus, it did not have the authority to dispose of or alienate State land without authorit</w:t>
      </w:r>
      <w:r w:rsidR="00EC35C8" w:rsidRPr="003D1371">
        <w:rPr>
          <w:rFonts w:ascii="Times New Roman" w:hAnsi="Times New Roman" w:cs="Times New Roman"/>
          <w:sz w:val="24"/>
          <w:szCs w:val="24"/>
        </w:rPr>
        <w:t>y from the requisite Ministry.</w:t>
      </w:r>
      <w:r w:rsidRPr="003D1371">
        <w:rPr>
          <w:rFonts w:ascii="Times New Roman" w:hAnsi="Times New Roman" w:cs="Times New Roman"/>
          <w:sz w:val="24"/>
          <w:szCs w:val="24"/>
        </w:rPr>
        <w:t xml:space="preserve"> </w:t>
      </w:r>
      <w:r w:rsidR="00B03867">
        <w:rPr>
          <w:rFonts w:ascii="Times New Roman" w:hAnsi="Times New Roman" w:cs="Times New Roman"/>
          <w:sz w:val="24"/>
          <w:szCs w:val="24"/>
        </w:rPr>
        <w:t xml:space="preserve"> </w:t>
      </w:r>
      <w:r w:rsidRPr="003D1371">
        <w:rPr>
          <w:rFonts w:ascii="Times New Roman" w:hAnsi="Times New Roman" w:cs="Times New Roman"/>
          <w:sz w:val="24"/>
          <w:szCs w:val="24"/>
        </w:rPr>
        <w:t xml:space="preserve">He stated that in terms of s 205 of the </w:t>
      </w:r>
      <w:r w:rsidR="008F3DD8" w:rsidRPr="003D1371">
        <w:rPr>
          <w:rFonts w:ascii="Times New Roman" w:hAnsi="Times New Roman" w:cs="Times New Roman"/>
          <w:sz w:val="24"/>
          <w:szCs w:val="24"/>
        </w:rPr>
        <w:t xml:space="preserve">Act, </w:t>
      </w:r>
      <w:r w:rsidRPr="003D1371">
        <w:rPr>
          <w:rFonts w:ascii="Times New Roman" w:hAnsi="Times New Roman" w:cs="Times New Roman"/>
          <w:sz w:val="24"/>
          <w:szCs w:val="24"/>
        </w:rPr>
        <w:t xml:space="preserve">the first respondent has the power over State land to sell, </w:t>
      </w:r>
      <w:r w:rsidR="005F5147">
        <w:rPr>
          <w:rFonts w:ascii="Times New Roman" w:hAnsi="Times New Roman" w:cs="Times New Roman"/>
          <w:sz w:val="24"/>
          <w:szCs w:val="24"/>
        </w:rPr>
        <w:t xml:space="preserve">and </w:t>
      </w:r>
      <w:r w:rsidRPr="003D1371">
        <w:rPr>
          <w:rFonts w:ascii="Times New Roman" w:hAnsi="Times New Roman" w:cs="Times New Roman"/>
          <w:sz w:val="24"/>
          <w:szCs w:val="24"/>
        </w:rPr>
        <w:t>dispose of land that belong</w:t>
      </w:r>
      <w:r w:rsidR="00B03867">
        <w:rPr>
          <w:rFonts w:ascii="Times New Roman" w:hAnsi="Times New Roman" w:cs="Times New Roman"/>
          <w:sz w:val="24"/>
          <w:szCs w:val="24"/>
        </w:rPr>
        <w:t xml:space="preserve">s to the State.  </w:t>
      </w:r>
      <w:r w:rsidRPr="003D1371">
        <w:rPr>
          <w:rFonts w:ascii="Times New Roman" w:hAnsi="Times New Roman" w:cs="Times New Roman"/>
          <w:sz w:val="24"/>
          <w:szCs w:val="24"/>
        </w:rPr>
        <w:t>He further testified that he was not aware of any other plan used in the allocation of the s</w:t>
      </w:r>
      <w:r w:rsidR="00B41C46" w:rsidRPr="003D1371">
        <w:rPr>
          <w:rFonts w:ascii="Times New Roman" w:hAnsi="Times New Roman" w:cs="Times New Roman"/>
          <w:sz w:val="24"/>
          <w:szCs w:val="24"/>
        </w:rPr>
        <w:t>tands to the third respondent.</w:t>
      </w:r>
      <w:r w:rsidR="006B3ECB" w:rsidRPr="003D1371">
        <w:rPr>
          <w:rFonts w:ascii="Times New Roman" w:hAnsi="Times New Roman" w:cs="Times New Roman"/>
          <w:sz w:val="24"/>
          <w:szCs w:val="24"/>
        </w:rPr>
        <w:t xml:space="preserve"> </w:t>
      </w:r>
    </w:p>
    <w:p w14:paraId="36FA9CF3" w14:textId="77777777" w:rsidR="00B03867" w:rsidRPr="003D1371" w:rsidRDefault="00B03867" w:rsidP="00B03867">
      <w:pPr>
        <w:pStyle w:val="ListParagraph"/>
        <w:spacing w:after="0" w:line="240" w:lineRule="auto"/>
        <w:ind w:left="284"/>
        <w:jc w:val="both"/>
        <w:rPr>
          <w:rFonts w:ascii="Times New Roman" w:hAnsi="Times New Roman" w:cs="Times New Roman"/>
          <w:sz w:val="24"/>
          <w:szCs w:val="24"/>
        </w:rPr>
      </w:pPr>
    </w:p>
    <w:p w14:paraId="101D67C1" w14:textId="4B11E93F" w:rsidR="004868A2" w:rsidRDefault="00795374" w:rsidP="00B03867">
      <w:pPr>
        <w:pStyle w:val="ListParagraph"/>
        <w:numPr>
          <w:ilvl w:val="0"/>
          <w:numId w:val="8"/>
        </w:numPr>
        <w:spacing w:line="480" w:lineRule="auto"/>
        <w:ind w:left="426" w:hanging="426"/>
        <w:jc w:val="both"/>
        <w:rPr>
          <w:rFonts w:ascii="Times New Roman" w:hAnsi="Times New Roman" w:cs="Times New Roman"/>
          <w:sz w:val="24"/>
          <w:szCs w:val="24"/>
        </w:rPr>
      </w:pPr>
      <w:r w:rsidRPr="003D1371">
        <w:rPr>
          <w:rFonts w:ascii="Times New Roman" w:hAnsi="Times New Roman" w:cs="Times New Roman"/>
          <w:sz w:val="24"/>
          <w:szCs w:val="24"/>
        </w:rPr>
        <w:t>The witness</w:t>
      </w:r>
      <w:r w:rsidR="006B3ECB" w:rsidRPr="003D1371">
        <w:rPr>
          <w:rFonts w:ascii="Times New Roman" w:hAnsi="Times New Roman" w:cs="Times New Roman"/>
          <w:sz w:val="24"/>
          <w:szCs w:val="24"/>
        </w:rPr>
        <w:t xml:space="preserve"> conceded that the </w:t>
      </w:r>
      <w:r w:rsidR="00C717F6" w:rsidRPr="003D1371">
        <w:rPr>
          <w:rFonts w:ascii="Times New Roman" w:hAnsi="Times New Roman" w:cs="Times New Roman"/>
          <w:sz w:val="24"/>
          <w:szCs w:val="24"/>
        </w:rPr>
        <w:t xml:space="preserve">defence </w:t>
      </w:r>
      <w:r w:rsidR="00872FF5" w:rsidRPr="003D1371">
        <w:rPr>
          <w:rFonts w:ascii="Times New Roman" w:hAnsi="Times New Roman" w:cs="Times New Roman"/>
          <w:sz w:val="24"/>
          <w:szCs w:val="24"/>
        </w:rPr>
        <w:t xml:space="preserve">given that the first respondent has the power to allocate </w:t>
      </w:r>
      <w:r w:rsidR="00023293">
        <w:rPr>
          <w:rFonts w:ascii="Times New Roman" w:hAnsi="Times New Roman" w:cs="Times New Roman"/>
          <w:sz w:val="24"/>
          <w:szCs w:val="24"/>
        </w:rPr>
        <w:t>S</w:t>
      </w:r>
      <w:r w:rsidR="00872FF5" w:rsidRPr="003D1371">
        <w:rPr>
          <w:rFonts w:ascii="Times New Roman" w:hAnsi="Times New Roman" w:cs="Times New Roman"/>
          <w:sz w:val="24"/>
          <w:szCs w:val="24"/>
        </w:rPr>
        <w:t>tate land contradicted its earlier defenc</w:t>
      </w:r>
      <w:r w:rsidR="009E3D49" w:rsidRPr="003D1371">
        <w:rPr>
          <w:rFonts w:ascii="Times New Roman" w:hAnsi="Times New Roman" w:cs="Times New Roman"/>
          <w:sz w:val="24"/>
          <w:szCs w:val="24"/>
        </w:rPr>
        <w:t>e that it has no power at all.</w:t>
      </w:r>
      <w:r w:rsidR="00B03867">
        <w:rPr>
          <w:rFonts w:ascii="Times New Roman" w:hAnsi="Times New Roman" w:cs="Times New Roman"/>
          <w:sz w:val="24"/>
          <w:szCs w:val="24"/>
        </w:rPr>
        <w:t xml:space="preserve">  </w:t>
      </w:r>
      <w:r w:rsidR="00872FF5" w:rsidRPr="003D1371">
        <w:rPr>
          <w:rFonts w:ascii="Times New Roman" w:hAnsi="Times New Roman" w:cs="Times New Roman"/>
          <w:sz w:val="24"/>
          <w:szCs w:val="24"/>
        </w:rPr>
        <w:t>He further accepted that the piece of land falls under the jurisdic</w:t>
      </w:r>
      <w:r w:rsidR="009E3D49" w:rsidRPr="003D1371">
        <w:rPr>
          <w:rFonts w:ascii="Times New Roman" w:hAnsi="Times New Roman" w:cs="Times New Roman"/>
          <w:sz w:val="24"/>
          <w:szCs w:val="24"/>
        </w:rPr>
        <w:t xml:space="preserve">tion of the first respondent. </w:t>
      </w:r>
      <w:r w:rsidR="00872FF5" w:rsidRPr="003D1371">
        <w:rPr>
          <w:rFonts w:ascii="Times New Roman" w:hAnsi="Times New Roman" w:cs="Times New Roman"/>
          <w:sz w:val="24"/>
          <w:szCs w:val="24"/>
        </w:rPr>
        <w:t xml:space="preserve">He also stated that the appellant was not formally allocated the stand as the </w:t>
      </w:r>
      <w:r w:rsidR="00EF1E3C" w:rsidRPr="003D1371">
        <w:rPr>
          <w:rFonts w:ascii="Times New Roman" w:hAnsi="Times New Roman" w:cs="Times New Roman"/>
          <w:sz w:val="24"/>
          <w:szCs w:val="24"/>
        </w:rPr>
        <w:t xml:space="preserve">regularisation </w:t>
      </w:r>
      <w:r w:rsidR="009E3D49" w:rsidRPr="003D1371">
        <w:rPr>
          <w:rFonts w:ascii="Times New Roman" w:hAnsi="Times New Roman" w:cs="Times New Roman"/>
          <w:sz w:val="24"/>
          <w:szCs w:val="24"/>
        </w:rPr>
        <w:t>process was not completed.</w:t>
      </w:r>
      <w:r w:rsidR="00872FF5" w:rsidRPr="003D1371">
        <w:rPr>
          <w:rFonts w:ascii="Times New Roman" w:hAnsi="Times New Roman" w:cs="Times New Roman"/>
          <w:sz w:val="24"/>
          <w:szCs w:val="24"/>
        </w:rPr>
        <w:t xml:space="preserve"> The witness could not dispute that the Government has allocated the land in que</w:t>
      </w:r>
      <w:r w:rsidR="009E3D49" w:rsidRPr="003D1371">
        <w:rPr>
          <w:rFonts w:ascii="Times New Roman" w:hAnsi="Times New Roman" w:cs="Times New Roman"/>
          <w:sz w:val="24"/>
          <w:szCs w:val="24"/>
        </w:rPr>
        <w:t xml:space="preserve">stion </w:t>
      </w:r>
      <w:r w:rsidR="00B03867">
        <w:rPr>
          <w:rFonts w:ascii="Times New Roman" w:hAnsi="Times New Roman" w:cs="Times New Roman"/>
          <w:sz w:val="24"/>
          <w:szCs w:val="24"/>
        </w:rPr>
        <w:t>to the third respondent.</w:t>
      </w:r>
    </w:p>
    <w:p w14:paraId="502DC44B" w14:textId="77777777" w:rsidR="00B03867" w:rsidRPr="00B03867" w:rsidRDefault="00B03867" w:rsidP="00B03867">
      <w:pPr>
        <w:spacing w:after="0" w:line="240" w:lineRule="auto"/>
        <w:jc w:val="both"/>
        <w:rPr>
          <w:rFonts w:ascii="Times New Roman" w:hAnsi="Times New Roman" w:cs="Times New Roman"/>
          <w:sz w:val="24"/>
          <w:szCs w:val="24"/>
        </w:rPr>
      </w:pPr>
    </w:p>
    <w:p w14:paraId="53220305" w14:textId="12FCC472" w:rsidR="007249C4" w:rsidRDefault="0099295B" w:rsidP="00B03867">
      <w:pPr>
        <w:pStyle w:val="ListParagraph"/>
        <w:numPr>
          <w:ilvl w:val="0"/>
          <w:numId w:val="8"/>
        </w:numPr>
        <w:spacing w:line="480" w:lineRule="auto"/>
        <w:ind w:left="426" w:hanging="426"/>
        <w:jc w:val="both"/>
        <w:rPr>
          <w:rFonts w:ascii="Times New Roman" w:hAnsi="Times New Roman" w:cs="Times New Roman"/>
          <w:sz w:val="24"/>
          <w:szCs w:val="24"/>
        </w:rPr>
      </w:pPr>
      <w:r w:rsidRPr="003D1371">
        <w:rPr>
          <w:rFonts w:ascii="Times New Roman" w:hAnsi="Times New Roman" w:cs="Times New Roman"/>
          <w:sz w:val="24"/>
          <w:szCs w:val="24"/>
        </w:rPr>
        <w:t>T</w:t>
      </w:r>
      <w:r w:rsidR="00C61650" w:rsidRPr="003D1371">
        <w:rPr>
          <w:rFonts w:ascii="Times New Roman" w:hAnsi="Times New Roman" w:cs="Times New Roman"/>
          <w:sz w:val="24"/>
          <w:szCs w:val="24"/>
        </w:rPr>
        <w:t>he third respondent, through its witness N. Chasakara, led evidence that it was allocated the land by the State</w:t>
      </w:r>
      <w:r w:rsidR="00EF1E3C" w:rsidRPr="003D1371">
        <w:rPr>
          <w:rFonts w:ascii="Times New Roman" w:hAnsi="Times New Roman" w:cs="Times New Roman"/>
          <w:sz w:val="24"/>
          <w:szCs w:val="24"/>
        </w:rPr>
        <w:t>,</w:t>
      </w:r>
      <w:r w:rsidR="00C61650" w:rsidRPr="003D1371">
        <w:rPr>
          <w:rFonts w:ascii="Times New Roman" w:hAnsi="Times New Roman" w:cs="Times New Roman"/>
          <w:sz w:val="24"/>
          <w:szCs w:val="24"/>
        </w:rPr>
        <w:t xml:space="preserve"> which is the righ</w:t>
      </w:r>
      <w:r w:rsidR="00B03867">
        <w:rPr>
          <w:rFonts w:ascii="Times New Roman" w:hAnsi="Times New Roman" w:cs="Times New Roman"/>
          <w:sz w:val="24"/>
          <w:szCs w:val="24"/>
        </w:rPr>
        <w:t xml:space="preserve">tful owner of the property.  </w:t>
      </w:r>
      <w:r w:rsidR="00B54E03" w:rsidRPr="003D1371">
        <w:rPr>
          <w:rFonts w:ascii="Times New Roman" w:hAnsi="Times New Roman" w:cs="Times New Roman"/>
          <w:sz w:val="24"/>
          <w:szCs w:val="24"/>
        </w:rPr>
        <w:t xml:space="preserve">The </w:t>
      </w:r>
      <w:r w:rsidR="007249C4" w:rsidRPr="003D1371">
        <w:rPr>
          <w:rFonts w:ascii="Times New Roman" w:hAnsi="Times New Roman" w:cs="Times New Roman"/>
          <w:sz w:val="24"/>
          <w:szCs w:val="24"/>
        </w:rPr>
        <w:t xml:space="preserve">witness </w:t>
      </w:r>
      <w:r w:rsidR="00B6144A">
        <w:rPr>
          <w:rFonts w:ascii="Times New Roman" w:hAnsi="Times New Roman" w:cs="Times New Roman"/>
          <w:sz w:val="24"/>
          <w:szCs w:val="24"/>
        </w:rPr>
        <w:t>testified</w:t>
      </w:r>
      <w:r w:rsidR="007249C4" w:rsidRPr="003D1371">
        <w:rPr>
          <w:rFonts w:ascii="Times New Roman" w:hAnsi="Times New Roman" w:cs="Times New Roman"/>
          <w:sz w:val="24"/>
          <w:szCs w:val="24"/>
        </w:rPr>
        <w:t xml:space="preserve"> that the</w:t>
      </w:r>
      <w:r w:rsidR="00780685">
        <w:rPr>
          <w:rFonts w:ascii="Times New Roman" w:hAnsi="Times New Roman" w:cs="Times New Roman"/>
          <w:sz w:val="24"/>
          <w:szCs w:val="24"/>
        </w:rPr>
        <w:t xml:space="preserve"> third r</w:t>
      </w:r>
      <w:r w:rsidR="00B54E03" w:rsidRPr="003D1371">
        <w:rPr>
          <w:rFonts w:ascii="Times New Roman" w:hAnsi="Times New Roman" w:cs="Times New Roman"/>
          <w:sz w:val="24"/>
          <w:szCs w:val="24"/>
        </w:rPr>
        <w:t xml:space="preserve">espondent </w:t>
      </w:r>
      <w:r w:rsidR="00C61650" w:rsidRPr="003D1371">
        <w:rPr>
          <w:rFonts w:ascii="Times New Roman" w:hAnsi="Times New Roman" w:cs="Times New Roman"/>
          <w:sz w:val="24"/>
          <w:szCs w:val="24"/>
        </w:rPr>
        <w:t>in 2013</w:t>
      </w:r>
      <w:r w:rsidR="00D35991" w:rsidRPr="003D1371">
        <w:rPr>
          <w:rFonts w:ascii="Times New Roman" w:hAnsi="Times New Roman" w:cs="Times New Roman"/>
          <w:sz w:val="24"/>
          <w:szCs w:val="24"/>
        </w:rPr>
        <w:t xml:space="preserve"> </w:t>
      </w:r>
      <w:r w:rsidR="00C61650" w:rsidRPr="003D1371">
        <w:rPr>
          <w:rFonts w:ascii="Times New Roman" w:hAnsi="Times New Roman" w:cs="Times New Roman"/>
          <w:sz w:val="24"/>
          <w:szCs w:val="24"/>
        </w:rPr>
        <w:t xml:space="preserve">applied </w:t>
      </w:r>
      <w:r w:rsidR="00B6144A">
        <w:rPr>
          <w:rFonts w:ascii="Times New Roman" w:hAnsi="Times New Roman" w:cs="Times New Roman"/>
          <w:sz w:val="24"/>
          <w:szCs w:val="24"/>
        </w:rPr>
        <w:t xml:space="preserve">to the Ministry </w:t>
      </w:r>
      <w:r w:rsidR="0057023B">
        <w:rPr>
          <w:rFonts w:ascii="Times New Roman" w:hAnsi="Times New Roman" w:cs="Times New Roman"/>
          <w:sz w:val="24"/>
          <w:szCs w:val="24"/>
        </w:rPr>
        <w:t xml:space="preserve">of Local Government Public Works and National Housing </w:t>
      </w:r>
      <w:r w:rsidR="00C61650" w:rsidRPr="003D1371">
        <w:rPr>
          <w:rFonts w:ascii="Times New Roman" w:hAnsi="Times New Roman" w:cs="Times New Roman"/>
          <w:sz w:val="24"/>
          <w:szCs w:val="24"/>
        </w:rPr>
        <w:t>f</w:t>
      </w:r>
      <w:r w:rsidR="007E0EAD" w:rsidRPr="003D1371">
        <w:rPr>
          <w:rFonts w:ascii="Times New Roman" w:hAnsi="Times New Roman" w:cs="Times New Roman"/>
          <w:sz w:val="24"/>
          <w:szCs w:val="24"/>
        </w:rPr>
        <w:t>or residential stands on State l</w:t>
      </w:r>
      <w:r w:rsidR="00C61650" w:rsidRPr="003D1371">
        <w:rPr>
          <w:rFonts w:ascii="Times New Roman" w:hAnsi="Times New Roman" w:cs="Times New Roman"/>
          <w:sz w:val="24"/>
          <w:szCs w:val="24"/>
        </w:rPr>
        <w:t>and in Mufakose</w:t>
      </w:r>
      <w:r w:rsidR="00EF1E3C" w:rsidRPr="003D1371">
        <w:rPr>
          <w:rFonts w:ascii="Times New Roman" w:hAnsi="Times New Roman" w:cs="Times New Roman"/>
          <w:sz w:val="24"/>
          <w:szCs w:val="24"/>
        </w:rPr>
        <w:t>,</w:t>
      </w:r>
      <w:r w:rsidR="007E0EAD" w:rsidRPr="003D1371">
        <w:rPr>
          <w:rFonts w:ascii="Times New Roman" w:hAnsi="Times New Roman" w:cs="Times New Roman"/>
          <w:sz w:val="24"/>
          <w:szCs w:val="24"/>
        </w:rPr>
        <w:t xml:space="preserve"> but </w:t>
      </w:r>
      <w:r w:rsidR="00A56D0D">
        <w:rPr>
          <w:rFonts w:ascii="Times New Roman" w:hAnsi="Times New Roman" w:cs="Times New Roman"/>
          <w:sz w:val="24"/>
          <w:szCs w:val="24"/>
        </w:rPr>
        <w:t xml:space="preserve">however </w:t>
      </w:r>
      <w:r w:rsidR="00C61650" w:rsidRPr="003D1371">
        <w:rPr>
          <w:rFonts w:ascii="Times New Roman" w:hAnsi="Times New Roman" w:cs="Times New Roman"/>
          <w:sz w:val="24"/>
          <w:szCs w:val="24"/>
        </w:rPr>
        <w:t>was referred to another piece of land w</w:t>
      </w:r>
      <w:r w:rsidR="007E0EAD" w:rsidRPr="003D1371">
        <w:rPr>
          <w:rFonts w:ascii="Times New Roman" w:hAnsi="Times New Roman" w:cs="Times New Roman"/>
          <w:sz w:val="24"/>
          <w:szCs w:val="24"/>
        </w:rPr>
        <w:t xml:space="preserve">hich belonged to the Council. </w:t>
      </w:r>
      <w:r w:rsidR="001018D9">
        <w:rPr>
          <w:rFonts w:ascii="Times New Roman" w:hAnsi="Times New Roman" w:cs="Times New Roman"/>
          <w:sz w:val="24"/>
          <w:szCs w:val="24"/>
        </w:rPr>
        <w:t>T</w:t>
      </w:r>
      <w:r w:rsidR="00D35991" w:rsidRPr="003D1371">
        <w:rPr>
          <w:rFonts w:ascii="Times New Roman" w:hAnsi="Times New Roman" w:cs="Times New Roman"/>
          <w:sz w:val="24"/>
          <w:szCs w:val="24"/>
        </w:rPr>
        <w:t>he third respondent</w:t>
      </w:r>
      <w:r w:rsidR="00C61650" w:rsidRPr="003D1371">
        <w:rPr>
          <w:rFonts w:ascii="Times New Roman" w:hAnsi="Times New Roman" w:cs="Times New Roman"/>
          <w:sz w:val="24"/>
          <w:szCs w:val="24"/>
        </w:rPr>
        <w:t xml:space="preserve"> approached the first respondent</w:t>
      </w:r>
      <w:r w:rsidR="000D6DA7" w:rsidRPr="003D1371">
        <w:rPr>
          <w:rFonts w:ascii="Times New Roman" w:hAnsi="Times New Roman" w:cs="Times New Roman"/>
          <w:sz w:val="24"/>
          <w:szCs w:val="24"/>
        </w:rPr>
        <w:t>,</w:t>
      </w:r>
      <w:r w:rsidR="00C61650" w:rsidRPr="003D1371">
        <w:rPr>
          <w:rFonts w:ascii="Times New Roman" w:hAnsi="Times New Roman" w:cs="Times New Roman"/>
          <w:sz w:val="24"/>
          <w:szCs w:val="24"/>
        </w:rPr>
        <w:t xml:space="preserve"> who accepted the application </w:t>
      </w:r>
      <w:r w:rsidR="000D6DA7" w:rsidRPr="003D1371">
        <w:rPr>
          <w:rFonts w:ascii="Times New Roman" w:hAnsi="Times New Roman" w:cs="Times New Roman"/>
          <w:sz w:val="24"/>
          <w:szCs w:val="24"/>
        </w:rPr>
        <w:t>for residential stands</w:t>
      </w:r>
      <w:r w:rsidR="00EF1E3C" w:rsidRPr="003D1371">
        <w:rPr>
          <w:rFonts w:ascii="Times New Roman" w:hAnsi="Times New Roman" w:cs="Times New Roman"/>
          <w:sz w:val="24"/>
          <w:szCs w:val="24"/>
        </w:rPr>
        <w:t>,</w:t>
      </w:r>
      <w:r w:rsidR="000D6DA7" w:rsidRPr="003D1371">
        <w:rPr>
          <w:rFonts w:ascii="Times New Roman" w:hAnsi="Times New Roman" w:cs="Times New Roman"/>
          <w:sz w:val="24"/>
          <w:szCs w:val="24"/>
        </w:rPr>
        <w:t xml:space="preserve"> which led to </w:t>
      </w:r>
      <w:r w:rsidR="00C61650" w:rsidRPr="003D1371">
        <w:rPr>
          <w:rFonts w:ascii="Times New Roman" w:hAnsi="Times New Roman" w:cs="Times New Roman"/>
          <w:sz w:val="24"/>
          <w:szCs w:val="24"/>
        </w:rPr>
        <w:t>permission</w:t>
      </w:r>
      <w:r w:rsidR="000D6DA7" w:rsidRPr="003D1371">
        <w:rPr>
          <w:rFonts w:ascii="Times New Roman" w:hAnsi="Times New Roman" w:cs="Times New Roman"/>
          <w:sz w:val="24"/>
          <w:szCs w:val="24"/>
        </w:rPr>
        <w:t xml:space="preserve"> being </w:t>
      </w:r>
      <w:r w:rsidR="00C61650" w:rsidRPr="003D1371">
        <w:rPr>
          <w:rFonts w:ascii="Times New Roman" w:hAnsi="Times New Roman" w:cs="Times New Roman"/>
          <w:sz w:val="24"/>
          <w:szCs w:val="24"/>
        </w:rPr>
        <w:t>granted to carry out engineering designs in respect of</w:t>
      </w:r>
      <w:r w:rsidR="007249C4" w:rsidRPr="003D1371">
        <w:rPr>
          <w:rFonts w:ascii="Times New Roman" w:hAnsi="Times New Roman" w:cs="Times New Roman"/>
          <w:sz w:val="24"/>
          <w:szCs w:val="24"/>
        </w:rPr>
        <w:t xml:space="preserve"> water and sewer reticulation. </w:t>
      </w:r>
    </w:p>
    <w:p w14:paraId="2D42FEAE" w14:textId="77777777" w:rsidR="00B03867" w:rsidRPr="00B03867" w:rsidRDefault="00B03867" w:rsidP="00B03867">
      <w:pPr>
        <w:spacing w:after="0" w:line="240" w:lineRule="auto"/>
        <w:jc w:val="both"/>
        <w:rPr>
          <w:rFonts w:ascii="Times New Roman" w:hAnsi="Times New Roman" w:cs="Times New Roman"/>
          <w:sz w:val="24"/>
          <w:szCs w:val="24"/>
        </w:rPr>
      </w:pPr>
    </w:p>
    <w:p w14:paraId="5ADAC197" w14:textId="496AA2EA" w:rsidR="00795374" w:rsidRDefault="007249C4" w:rsidP="00B03867">
      <w:pPr>
        <w:pStyle w:val="ListParagraph"/>
        <w:numPr>
          <w:ilvl w:val="0"/>
          <w:numId w:val="8"/>
        </w:numPr>
        <w:spacing w:line="480" w:lineRule="auto"/>
        <w:ind w:left="426" w:hanging="426"/>
        <w:jc w:val="both"/>
        <w:rPr>
          <w:rFonts w:ascii="Times New Roman" w:hAnsi="Times New Roman" w:cs="Times New Roman"/>
          <w:sz w:val="24"/>
          <w:szCs w:val="24"/>
        </w:rPr>
      </w:pPr>
      <w:r w:rsidRPr="003D1371">
        <w:rPr>
          <w:rFonts w:ascii="Times New Roman" w:hAnsi="Times New Roman" w:cs="Times New Roman"/>
          <w:sz w:val="24"/>
          <w:szCs w:val="24"/>
        </w:rPr>
        <w:t xml:space="preserve">The third respondent proceeded to lead evidence to the effect that </w:t>
      </w:r>
      <w:r w:rsidR="00C61650" w:rsidRPr="003D1371">
        <w:rPr>
          <w:rFonts w:ascii="Times New Roman" w:hAnsi="Times New Roman" w:cs="Times New Roman"/>
          <w:sz w:val="24"/>
          <w:szCs w:val="24"/>
        </w:rPr>
        <w:t xml:space="preserve">in June 2016, it received a Certificate of Compliance from the first respondent, </w:t>
      </w:r>
      <w:r w:rsidRPr="003D1371">
        <w:rPr>
          <w:rFonts w:ascii="Times New Roman" w:hAnsi="Times New Roman" w:cs="Times New Roman"/>
          <w:sz w:val="24"/>
          <w:szCs w:val="24"/>
        </w:rPr>
        <w:t xml:space="preserve">but </w:t>
      </w:r>
      <w:r w:rsidR="009F4E5A" w:rsidRPr="003D1371">
        <w:rPr>
          <w:rFonts w:ascii="Times New Roman" w:hAnsi="Times New Roman" w:cs="Times New Roman"/>
          <w:sz w:val="24"/>
          <w:szCs w:val="24"/>
        </w:rPr>
        <w:t>unfortunately</w:t>
      </w:r>
      <w:r w:rsidR="00C61650" w:rsidRPr="003D1371">
        <w:rPr>
          <w:rFonts w:ascii="Times New Roman" w:hAnsi="Times New Roman" w:cs="Times New Roman"/>
          <w:sz w:val="24"/>
          <w:szCs w:val="24"/>
        </w:rPr>
        <w:t>, the appellant then occupied the piece of land, thereby forcing</w:t>
      </w:r>
      <w:r w:rsidR="009F4E5A" w:rsidRPr="003D1371">
        <w:rPr>
          <w:rFonts w:ascii="Times New Roman" w:hAnsi="Times New Roman" w:cs="Times New Roman"/>
          <w:sz w:val="24"/>
          <w:szCs w:val="24"/>
        </w:rPr>
        <w:t xml:space="preserve"> the third respondent</w:t>
      </w:r>
      <w:r w:rsidRPr="003D1371">
        <w:rPr>
          <w:rFonts w:ascii="Times New Roman" w:hAnsi="Times New Roman" w:cs="Times New Roman"/>
          <w:sz w:val="24"/>
          <w:szCs w:val="24"/>
        </w:rPr>
        <w:t xml:space="preserve"> to stop its developments. </w:t>
      </w:r>
      <w:r w:rsidR="00C61650" w:rsidRPr="003D1371">
        <w:rPr>
          <w:rFonts w:ascii="Times New Roman" w:hAnsi="Times New Roman" w:cs="Times New Roman"/>
          <w:sz w:val="24"/>
          <w:szCs w:val="24"/>
        </w:rPr>
        <w:t>The witness further testified that, in 2017</w:t>
      </w:r>
      <w:r w:rsidR="00753813" w:rsidRPr="003D1371">
        <w:rPr>
          <w:rFonts w:ascii="Times New Roman" w:hAnsi="Times New Roman" w:cs="Times New Roman"/>
          <w:sz w:val="24"/>
          <w:szCs w:val="24"/>
        </w:rPr>
        <w:t>,</w:t>
      </w:r>
      <w:r w:rsidR="00C61650" w:rsidRPr="003D1371">
        <w:rPr>
          <w:rFonts w:ascii="Times New Roman" w:hAnsi="Times New Roman" w:cs="Times New Roman"/>
          <w:sz w:val="24"/>
          <w:szCs w:val="24"/>
        </w:rPr>
        <w:t xml:space="preserve"> after being advised that the land did not belong to the first respondent but to the State, they approached the Ministry of Local Government as the responsible authority for </w:t>
      </w:r>
      <w:r w:rsidR="00753813" w:rsidRPr="003D1371">
        <w:rPr>
          <w:rFonts w:ascii="Times New Roman" w:hAnsi="Times New Roman" w:cs="Times New Roman"/>
          <w:sz w:val="24"/>
          <w:szCs w:val="24"/>
        </w:rPr>
        <w:t xml:space="preserve">regularisation </w:t>
      </w:r>
      <w:r w:rsidR="00C61650" w:rsidRPr="003D1371">
        <w:rPr>
          <w:rFonts w:ascii="Times New Roman" w:hAnsi="Times New Roman" w:cs="Times New Roman"/>
          <w:sz w:val="24"/>
          <w:szCs w:val="24"/>
        </w:rPr>
        <w:t>of t</w:t>
      </w:r>
      <w:r w:rsidR="009F4E5A" w:rsidRPr="003D1371">
        <w:rPr>
          <w:rFonts w:ascii="Times New Roman" w:hAnsi="Times New Roman" w:cs="Times New Roman"/>
          <w:sz w:val="24"/>
          <w:szCs w:val="24"/>
        </w:rPr>
        <w:t>he developments they had done.</w:t>
      </w:r>
      <w:r w:rsidR="00C61650" w:rsidRPr="003D1371">
        <w:rPr>
          <w:rFonts w:ascii="Times New Roman" w:hAnsi="Times New Roman" w:cs="Times New Roman"/>
          <w:sz w:val="24"/>
          <w:szCs w:val="24"/>
        </w:rPr>
        <w:t xml:space="preserve"> </w:t>
      </w:r>
    </w:p>
    <w:p w14:paraId="616E4CFE" w14:textId="77777777" w:rsidR="00B03867" w:rsidRPr="00B03867" w:rsidRDefault="00B03867" w:rsidP="00B03867">
      <w:pPr>
        <w:spacing w:after="0" w:line="240" w:lineRule="auto"/>
        <w:jc w:val="both"/>
        <w:rPr>
          <w:rFonts w:ascii="Times New Roman" w:hAnsi="Times New Roman" w:cs="Times New Roman"/>
          <w:sz w:val="24"/>
          <w:szCs w:val="24"/>
        </w:rPr>
      </w:pPr>
    </w:p>
    <w:p w14:paraId="1541917A" w14:textId="673D1283" w:rsidR="00CD32A5" w:rsidRPr="003D1371" w:rsidRDefault="00C61650" w:rsidP="00B03867">
      <w:pPr>
        <w:pStyle w:val="ListParagraph"/>
        <w:numPr>
          <w:ilvl w:val="0"/>
          <w:numId w:val="8"/>
        </w:numPr>
        <w:spacing w:line="480" w:lineRule="auto"/>
        <w:ind w:left="426" w:hanging="426"/>
        <w:jc w:val="both"/>
        <w:rPr>
          <w:rFonts w:ascii="Times New Roman" w:hAnsi="Times New Roman" w:cs="Times New Roman"/>
          <w:sz w:val="24"/>
          <w:szCs w:val="24"/>
        </w:rPr>
      </w:pPr>
      <w:r w:rsidRPr="003D1371">
        <w:rPr>
          <w:rFonts w:ascii="Times New Roman" w:hAnsi="Times New Roman" w:cs="Times New Roman"/>
          <w:sz w:val="24"/>
          <w:szCs w:val="24"/>
        </w:rPr>
        <w:t xml:space="preserve">The witness stated that </w:t>
      </w:r>
      <w:r w:rsidR="00753813" w:rsidRPr="003D1371">
        <w:rPr>
          <w:rFonts w:ascii="Times New Roman" w:hAnsi="Times New Roman" w:cs="Times New Roman"/>
          <w:sz w:val="24"/>
          <w:szCs w:val="24"/>
        </w:rPr>
        <w:t xml:space="preserve">they were </w:t>
      </w:r>
      <w:r w:rsidRPr="003D1371">
        <w:rPr>
          <w:rFonts w:ascii="Times New Roman" w:hAnsi="Times New Roman" w:cs="Times New Roman"/>
          <w:sz w:val="24"/>
          <w:szCs w:val="24"/>
        </w:rPr>
        <w:t>given an offer l</w:t>
      </w:r>
      <w:r w:rsidR="009F4E5A" w:rsidRPr="003D1371">
        <w:rPr>
          <w:rFonts w:ascii="Times New Roman" w:hAnsi="Times New Roman" w:cs="Times New Roman"/>
          <w:sz w:val="24"/>
          <w:szCs w:val="24"/>
        </w:rPr>
        <w:t xml:space="preserve">etter in respect of the stands and </w:t>
      </w:r>
      <w:r w:rsidRPr="003D1371">
        <w:rPr>
          <w:rFonts w:ascii="Times New Roman" w:hAnsi="Times New Roman" w:cs="Times New Roman"/>
          <w:sz w:val="24"/>
          <w:szCs w:val="24"/>
        </w:rPr>
        <w:t xml:space="preserve">paid </w:t>
      </w:r>
      <w:r w:rsidR="00753813" w:rsidRPr="003D1371">
        <w:rPr>
          <w:rFonts w:ascii="Times New Roman" w:hAnsi="Times New Roman" w:cs="Times New Roman"/>
          <w:sz w:val="24"/>
          <w:szCs w:val="24"/>
        </w:rPr>
        <w:t xml:space="preserve">the </w:t>
      </w:r>
      <w:r w:rsidRPr="003D1371">
        <w:rPr>
          <w:rFonts w:ascii="Times New Roman" w:hAnsi="Times New Roman" w:cs="Times New Roman"/>
          <w:sz w:val="24"/>
          <w:szCs w:val="24"/>
        </w:rPr>
        <w:t>intrinsic value of t</w:t>
      </w:r>
      <w:r w:rsidR="009F4E5A" w:rsidRPr="003D1371">
        <w:rPr>
          <w:rFonts w:ascii="Times New Roman" w:hAnsi="Times New Roman" w:cs="Times New Roman"/>
          <w:sz w:val="24"/>
          <w:szCs w:val="24"/>
        </w:rPr>
        <w:t xml:space="preserve">he stands and fees for water. </w:t>
      </w:r>
      <w:r w:rsidRPr="003D1371">
        <w:rPr>
          <w:rFonts w:ascii="Times New Roman" w:hAnsi="Times New Roman" w:cs="Times New Roman"/>
          <w:sz w:val="24"/>
          <w:szCs w:val="24"/>
        </w:rPr>
        <w:t xml:space="preserve">He further testified that </w:t>
      </w:r>
      <w:r w:rsidR="001018D9">
        <w:rPr>
          <w:rFonts w:ascii="Times New Roman" w:hAnsi="Times New Roman" w:cs="Times New Roman"/>
          <w:sz w:val="24"/>
          <w:szCs w:val="24"/>
        </w:rPr>
        <w:t xml:space="preserve">the </w:t>
      </w:r>
      <w:r w:rsidRPr="003D1371">
        <w:rPr>
          <w:rFonts w:ascii="Times New Roman" w:hAnsi="Times New Roman" w:cs="Times New Roman"/>
          <w:sz w:val="24"/>
          <w:szCs w:val="24"/>
        </w:rPr>
        <w:t>appellant’s allocation was rescinded by the first respondent</w:t>
      </w:r>
      <w:r w:rsidR="00753813" w:rsidRPr="003D1371">
        <w:rPr>
          <w:rFonts w:ascii="Times New Roman" w:hAnsi="Times New Roman" w:cs="Times New Roman"/>
          <w:sz w:val="24"/>
          <w:szCs w:val="24"/>
        </w:rPr>
        <w:t>,</w:t>
      </w:r>
      <w:r w:rsidRPr="003D1371">
        <w:rPr>
          <w:rFonts w:ascii="Times New Roman" w:hAnsi="Times New Roman" w:cs="Times New Roman"/>
          <w:sz w:val="24"/>
          <w:szCs w:val="24"/>
        </w:rPr>
        <w:t xml:space="preserve"> and the instruction</w:t>
      </w:r>
      <w:r w:rsidR="00A71663" w:rsidRPr="003D1371">
        <w:rPr>
          <w:rFonts w:ascii="Times New Roman" w:hAnsi="Times New Roman" w:cs="Times New Roman"/>
          <w:sz w:val="24"/>
          <w:szCs w:val="24"/>
        </w:rPr>
        <w:t xml:space="preserve"> for survey was also recalled. The third respondent then stated that </w:t>
      </w:r>
      <w:r w:rsidRPr="003D1371">
        <w:rPr>
          <w:rFonts w:ascii="Times New Roman" w:hAnsi="Times New Roman" w:cs="Times New Roman"/>
          <w:sz w:val="24"/>
          <w:szCs w:val="24"/>
        </w:rPr>
        <w:t xml:space="preserve">it was impossible for the appellant to seek specific performance of the 100 stands as the land in question had already been surveyed and submitted to the Surveyor General’s Office for purposes of giving </w:t>
      </w:r>
      <w:r w:rsidR="00753813" w:rsidRPr="003D1371">
        <w:rPr>
          <w:rFonts w:ascii="Times New Roman" w:hAnsi="Times New Roman" w:cs="Times New Roman"/>
          <w:sz w:val="24"/>
          <w:szCs w:val="24"/>
        </w:rPr>
        <w:t xml:space="preserve">the </w:t>
      </w:r>
      <w:r w:rsidR="008670B5" w:rsidRPr="003D1371">
        <w:rPr>
          <w:rFonts w:ascii="Times New Roman" w:hAnsi="Times New Roman" w:cs="Times New Roman"/>
          <w:sz w:val="24"/>
          <w:szCs w:val="24"/>
        </w:rPr>
        <w:t>third respondent a Title Deed.</w:t>
      </w:r>
    </w:p>
    <w:p w14:paraId="7790C5A4" w14:textId="77777777" w:rsidR="0006294F" w:rsidRDefault="0006294F" w:rsidP="0006294F">
      <w:pPr>
        <w:pStyle w:val="ListParagraph"/>
        <w:spacing w:after="0" w:line="240" w:lineRule="auto"/>
        <w:ind w:left="426"/>
        <w:jc w:val="both"/>
        <w:rPr>
          <w:rFonts w:ascii="Times New Roman" w:hAnsi="Times New Roman" w:cs="Times New Roman"/>
          <w:sz w:val="24"/>
          <w:szCs w:val="24"/>
        </w:rPr>
      </w:pPr>
    </w:p>
    <w:p w14:paraId="0F76C413" w14:textId="05F5AFE8" w:rsidR="00547AD5" w:rsidRDefault="0095703A" w:rsidP="00B03867">
      <w:pPr>
        <w:pStyle w:val="ListParagraph"/>
        <w:numPr>
          <w:ilvl w:val="0"/>
          <w:numId w:val="8"/>
        </w:numPr>
        <w:spacing w:line="480" w:lineRule="auto"/>
        <w:ind w:left="426" w:hanging="426"/>
        <w:jc w:val="both"/>
        <w:rPr>
          <w:rFonts w:ascii="Times New Roman" w:hAnsi="Times New Roman" w:cs="Times New Roman"/>
          <w:sz w:val="24"/>
          <w:szCs w:val="24"/>
        </w:rPr>
      </w:pPr>
      <w:r w:rsidRPr="003D1371">
        <w:rPr>
          <w:rFonts w:ascii="Times New Roman" w:hAnsi="Times New Roman" w:cs="Times New Roman"/>
          <w:sz w:val="24"/>
          <w:szCs w:val="24"/>
        </w:rPr>
        <w:t>At the end of the trial</w:t>
      </w:r>
      <w:r w:rsidR="008670B5" w:rsidRPr="003D1371">
        <w:rPr>
          <w:rFonts w:ascii="Times New Roman" w:hAnsi="Times New Roman" w:cs="Times New Roman"/>
          <w:sz w:val="24"/>
          <w:szCs w:val="24"/>
        </w:rPr>
        <w:t>, judgment was then handed down in favour of the responden</w:t>
      </w:r>
      <w:r w:rsidRPr="003D1371">
        <w:rPr>
          <w:rFonts w:ascii="Times New Roman" w:hAnsi="Times New Roman" w:cs="Times New Roman"/>
          <w:sz w:val="24"/>
          <w:szCs w:val="24"/>
        </w:rPr>
        <w:t xml:space="preserve">ts. </w:t>
      </w:r>
      <w:r w:rsidR="008670B5" w:rsidRPr="003D1371">
        <w:rPr>
          <w:rFonts w:ascii="Times New Roman" w:hAnsi="Times New Roman" w:cs="Times New Roman"/>
          <w:sz w:val="24"/>
          <w:szCs w:val="24"/>
        </w:rPr>
        <w:t>The court held that it was not in dispute that the piece of land in issue belonged to the State as evidenced by the Title Deed No 3</w:t>
      </w:r>
      <w:r w:rsidR="001A2830" w:rsidRPr="003D1371">
        <w:rPr>
          <w:rFonts w:ascii="Times New Roman" w:hAnsi="Times New Roman" w:cs="Times New Roman"/>
          <w:sz w:val="24"/>
          <w:szCs w:val="24"/>
        </w:rPr>
        <w:t>034/60 dated 29 November 1960.</w:t>
      </w:r>
      <w:r w:rsidR="00B03867">
        <w:rPr>
          <w:rFonts w:ascii="Times New Roman" w:hAnsi="Times New Roman" w:cs="Times New Roman"/>
          <w:sz w:val="24"/>
          <w:szCs w:val="24"/>
        </w:rPr>
        <w:t xml:space="preserve">  </w:t>
      </w:r>
      <w:r w:rsidR="008670B5" w:rsidRPr="003D1371">
        <w:rPr>
          <w:rFonts w:ascii="Times New Roman" w:hAnsi="Times New Roman" w:cs="Times New Roman"/>
          <w:sz w:val="24"/>
          <w:szCs w:val="24"/>
        </w:rPr>
        <w:t xml:space="preserve">According to the court </w:t>
      </w:r>
      <w:r w:rsidR="002377C7">
        <w:rPr>
          <w:rFonts w:ascii="Times New Roman" w:hAnsi="Times New Roman" w:cs="Times New Roman"/>
          <w:sz w:val="24"/>
          <w:szCs w:val="24"/>
        </w:rPr>
        <w:t xml:space="preserve">          </w:t>
      </w:r>
      <w:r w:rsidR="009A492D" w:rsidRPr="003D1371">
        <w:rPr>
          <w:rFonts w:ascii="Times New Roman" w:hAnsi="Times New Roman" w:cs="Times New Roman"/>
          <w:i/>
          <w:sz w:val="24"/>
          <w:szCs w:val="24"/>
        </w:rPr>
        <w:t>a quo</w:t>
      </w:r>
      <w:r w:rsidR="008670B5" w:rsidRPr="003D1371">
        <w:rPr>
          <w:rFonts w:ascii="Times New Roman" w:hAnsi="Times New Roman" w:cs="Times New Roman"/>
          <w:sz w:val="24"/>
          <w:szCs w:val="24"/>
        </w:rPr>
        <w:t xml:space="preserve">, it was not in dispute that </w:t>
      </w:r>
      <w:r w:rsidR="00D93302">
        <w:rPr>
          <w:rFonts w:ascii="Times New Roman" w:hAnsi="Times New Roman" w:cs="Times New Roman"/>
          <w:sz w:val="24"/>
          <w:szCs w:val="24"/>
        </w:rPr>
        <w:t xml:space="preserve">the </w:t>
      </w:r>
      <w:r w:rsidR="008670B5" w:rsidRPr="003D1371">
        <w:rPr>
          <w:rFonts w:ascii="Times New Roman" w:hAnsi="Times New Roman" w:cs="Times New Roman"/>
          <w:sz w:val="24"/>
          <w:szCs w:val="24"/>
        </w:rPr>
        <w:t>allocation of State Land is done by the second respondent, and the first respondent can</w:t>
      </w:r>
      <w:r w:rsidR="00793CF4">
        <w:rPr>
          <w:rFonts w:ascii="Times New Roman" w:hAnsi="Times New Roman" w:cs="Times New Roman"/>
          <w:sz w:val="24"/>
          <w:szCs w:val="24"/>
        </w:rPr>
        <w:t xml:space="preserve"> only</w:t>
      </w:r>
      <w:r w:rsidR="008670B5" w:rsidRPr="003D1371">
        <w:rPr>
          <w:rFonts w:ascii="Times New Roman" w:hAnsi="Times New Roman" w:cs="Times New Roman"/>
          <w:sz w:val="24"/>
          <w:szCs w:val="24"/>
        </w:rPr>
        <w:t xml:space="preserve"> do the same upon approval from the second respondent in terms of s 2</w:t>
      </w:r>
      <w:r w:rsidR="00547AD5" w:rsidRPr="003D1371">
        <w:rPr>
          <w:rFonts w:ascii="Times New Roman" w:hAnsi="Times New Roman" w:cs="Times New Roman"/>
          <w:sz w:val="24"/>
          <w:szCs w:val="24"/>
        </w:rPr>
        <w:t>05 of the Urban Councils Act.</w:t>
      </w:r>
    </w:p>
    <w:p w14:paraId="577A05A1" w14:textId="77777777" w:rsidR="00916325" w:rsidRPr="003D1371" w:rsidRDefault="00916325" w:rsidP="00916325">
      <w:pPr>
        <w:pStyle w:val="ListParagraph"/>
        <w:spacing w:line="240" w:lineRule="auto"/>
        <w:ind w:left="426"/>
        <w:jc w:val="both"/>
        <w:rPr>
          <w:rFonts w:ascii="Times New Roman" w:hAnsi="Times New Roman" w:cs="Times New Roman"/>
          <w:sz w:val="24"/>
          <w:szCs w:val="24"/>
        </w:rPr>
      </w:pPr>
    </w:p>
    <w:p w14:paraId="5A4CBCB5" w14:textId="235D24D6" w:rsidR="00FA557F" w:rsidRDefault="008670B5" w:rsidP="00916325">
      <w:pPr>
        <w:pStyle w:val="ListParagraph"/>
        <w:numPr>
          <w:ilvl w:val="0"/>
          <w:numId w:val="8"/>
        </w:numPr>
        <w:spacing w:line="480" w:lineRule="auto"/>
        <w:ind w:left="426" w:hanging="426"/>
        <w:jc w:val="both"/>
        <w:rPr>
          <w:rFonts w:ascii="Times New Roman" w:hAnsi="Times New Roman" w:cs="Times New Roman"/>
          <w:sz w:val="24"/>
          <w:szCs w:val="24"/>
        </w:rPr>
      </w:pPr>
      <w:r w:rsidRPr="003D1371">
        <w:rPr>
          <w:rFonts w:ascii="Times New Roman" w:hAnsi="Times New Roman" w:cs="Times New Roman"/>
          <w:sz w:val="24"/>
          <w:szCs w:val="24"/>
        </w:rPr>
        <w:t xml:space="preserve">According to the court </w:t>
      </w:r>
      <w:r w:rsidR="009A492D" w:rsidRPr="003D1371">
        <w:rPr>
          <w:rFonts w:ascii="Times New Roman" w:hAnsi="Times New Roman" w:cs="Times New Roman"/>
          <w:i/>
          <w:sz w:val="24"/>
          <w:szCs w:val="24"/>
        </w:rPr>
        <w:t>a quo</w:t>
      </w:r>
      <w:r w:rsidRPr="003D1371">
        <w:rPr>
          <w:rFonts w:ascii="Times New Roman" w:hAnsi="Times New Roman" w:cs="Times New Roman"/>
          <w:sz w:val="24"/>
          <w:szCs w:val="24"/>
        </w:rPr>
        <w:t xml:space="preserve">, the appellant was silent on the approval by the second respondent as required in subsection (3) of s </w:t>
      </w:r>
      <w:r w:rsidR="00547AD5" w:rsidRPr="003D1371">
        <w:rPr>
          <w:rFonts w:ascii="Times New Roman" w:hAnsi="Times New Roman" w:cs="Times New Roman"/>
          <w:sz w:val="24"/>
          <w:szCs w:val="24"/>
        </w:rPr>
        <w:t>205 of the Urban Councils Act.</w:t>
      </w:r>
      <w:r w:rsidR="00916325">
        <w:rPr>
          <w:rFonts w:ascii="Times New Roman" w:hAnsi="Times New Roman" w:cs="Times New Roman"/>
          <w:sz w:val="24"/>
          <w:szCs w:val="24"/>
        </w:rPr>
        <w:t xml:space="preserve">  </w:t>
      </w:r>
      <w:r w:rsidRPr="003D1371">
        <w:rPr>
          <w:rFonts w:ascii="Times New Roman" w:hAnsi="Times New Roman" w:cs="Times New Roman"/>
          <w:sz w:val="24"/>
          <w:szCs w:val="24"/>
        </w:rPr>
        <w:t xml:space="preserve">The court was </w:t>
      </w:r>
      <w:r w:rsidRPr="003D1371">
        <w:rPr>
          <w:rFonts w:ascii="Times New Roman" w:hAnsi="Times New Roman" w:cs="Times New Roman"/>
          <w:sz w:val="24"/>
          <w:szCs w:val="24"/>
        </w:rPr>
        <w:lastRenderedPageBreak/>
        <w:t>of the view that, with no such authority or approval, the first respondent could not allocate</w:t>
      </w:r>
      <w:r w:rsidR="00753813" w:rsidRPr="003D1371">
        <w:rPr>
          <w:rFonts w:ascii="Times New Roman" w:hAnsi="Times New Roman" w:cs="Times New Roman"/>
          <w:sz w:val="24"/>
          <w:szCs w:val="24"/>
        </w:rPr>
        <w:t>,</w:t>
      </w:r>
      <w:r w:rsidRPr="003D1371">
        <w:rPr>
          <w:rFonts w:ascii="Times New Roman" w:hAnsi="Times New Roman" w:cs="Times New Roman"/>
          <w:sz w:val="24"/>
          <w:szCs w:val="24"/>
        </w:rPr>
        <w:t xml:space="preserve"> let alone </w:t>
      </w:r>
      <w:r w:rsidR="0006294F" w:rsidRPr="003D1371">
        <w:rPr>
          <w:rFonts w:ascii="Times New Roman" w:hAnsi="Times New Roman" w:cs="Times New Roman"/>
          <w:sz w:val="24"/>
          <w:szCs w:val="24"/>
        </w:rPr>
        <w:t>regularize</w:t>
      </w:r>
      <w:r w:rsidR="00753813" w:rsidRPr="003D1371">
        <w:rPr>
          <w:rFonts w:ascii="Times New Roman" w:hAnsi="Times New Roman" w:cs="Times New Roman"/>
          <w:sz w:val="24"/>
          <w:szCs w:val="24"/>
        </w:rPr>
        <w:t xml:space="preserve"> </w:t>
      </w:r>
      <w:r w:rsidRPr="003D1371">
        <w:rPr>
          <w:rFonts w:ascii="Times New Roman" w:hAnsi="Times New Roman" w:cs="Times New Roman"/>
          <w:sz w:val="24"/>
          <w:szCs w:val="24"/>
        </w:rPr>
        <w:t>the occupation of the p</w:t>
      </w:r>
      <w:r w:rsidR="00547AD5" w:rsidRPr="003D1371">
        <w:rPr>
          <w:rFonts w:ascii="Times New Roman" w:hAnsi="Times New Roman" w:cs="Times New Roman"/>
          <w:sz w:val="24"/>
          <w:szCs w:val="24"/>
        </w:rPr>
        <w:t>iece of land by the appellant.</w:t>
      </w:r>
      <w:r w:rsidRPr="003D1371">
        <w:rPr>
          <w:rFonts w:ascii="Times New Roman" w:hAnsi="Times New Roman" w:cs="Times New Roman"/>
          <w:sz w:val="24"/>
          <w:szCs w:val="24"/>
        </w:rPr>
        <w:t xml:space="preserve"> </w:t>
      </w:r>
      <w:r w:rsidR="00916325">
        <w:rPr>
          <w:rFonts w:ascii="Times New Roman" w:hAnsi="Times New Roman" w:cs="Times New Roman"/>
          <w:sz w:val="24"/>
          <w:szCs w:val="24"/>
        </w:rPr>
        <w:t xml:space="preserve"> </w:t>
      </w:r>
      <w:r w:rsidRPr="003D1371">
        <w:rPr>
          <w:rFonts w:ascii="Times New Roman" w:hAnsi="Times New Roman" w:cs="Times New Roman"/>
          <w:sz w:val="24"/>
          <w:szCs w:val="24"/>
        </w:rPr>
        <w:t xml:space="preserve">The court </w:t>
      </w:r>
      <w:r w:rsidR="009A492D" w:rsidRPr="003D1371">
        <w:rPr>
          <w:rFonts w:ascii="Times New Roman" w:hAnsi="Times New Roman" w:cs="Times New Roman"/>
          <w:i/>
          <w:sz w:val="24"/>
          <w:szCs w:val="24"/>
        </w:rPr>
        <w:t>a quo</w:t>
      </w:r>
      <w:r w:rsidRPr="003D1371">
        <w:rPr>
          <w:rFonts w:ascii="Times New Roman" w:hAnsi="Times New Roman" w:cs="Times New Roman"/>
          <w:sz w:val="24"/>
          <w:szCs w:val="24"/>
        </w:rPr>
        <w:t xml:space="preserve"> reasoned that the entire process was a nullity right from the beginning</w:t>
      </w:r>
      <w:r w:rsidR="00753813" w:rsidRPr="003D1371">
        <w:rPr>
          <w:rFonts w:ascii="Times New Roman" w:hAnsi="Times New Roman" w:cs="Times New Roman"/>
          <w:sz w:val="24"/>
          <w:szCs w:val="24"/>
        </w:rPr>
        <w:t>,</w:t>
      </w:r>
      <w:r w:rsidRPr="003D1371">
        <w:rPr>
          <w:rFonts w:ascii="Times New Roman" w:hAnsi="Times New Roman" w:cs="Times New Roman"/>
          <w:sz w:val="24"/>
          <w:szCs w:val="24"/>
        </w:rPr>
        <w:t xml:space="preserve"> and the whole process being a nullity, nothing could stand on it despite the legitimate</w:t>
      </w:r>
      <w:r w:rsidR="00FA557F" w:rsidRPr="003D1371">
        <w:rPr>
          <w:rFonts w:ascii="Times New Roman" w:hAnsi="Times New Roman" w:cs="Times New Roman"/>
          <w:sz w:val="24"/>
          <w:szCs w:val="24"/>
        </w:rPr>
        <w:t xml:space="preserve"> expectation of the appellant.</w:t>
      </w:r>
      <w:r w:rsidRPr="003D1371">
        <w:rPr>
          <w:rFonts w:ascii="Times New Roman" w:hAnsi="Times New Roman" w:cs="Times New Roman"/>
          <w:sz w:val="24"/>
          <w:szCs w:val="24"/>
        </w:rPr>
        <w:t xml:space="preserve"> </w:t>
      </w:r>
    </w:p>
    <w:p w14:paraId="35FDF31B" w14:textId="77777777" w:rsidR="00916325" w:rsidRPr="00916325" w:rsidRDefault="00916325" w:rsidP="00916325">
      <w:pPr>
        <w:spacing w:after="0" w:line="240" w:lineRule="auto"/>
        <w:jc w:val="both"/>
        <w:rPr>
          <w:rFonts w:ascii="Times New Roman" w:hAnsi="Times New Roman" w:cs="Times New Roman"/>
          <w:sz w:val="24"/>
          <w:szCs w:val="24"/>
        </w:rPr>
      </w:pPr>
    </w:p>
    <w:p w14:paraId="4CF0413F" w14:textId="4706A65E" w:rsidR="008670B5" w:rsidRDefault="008670B5" w:rsidP="00916325">
      <w:pPr>
        <w:pStyle w:val="ListParagraph"/>
        <w:numPr>
          <w:ilvl w:val="0"/>
          <w:numId w:val="8"/>
        </w:numPr>
        <w:spacing w:line="480" w:lineRule="auto"/>
        <w:ind w:left="426" w:hanging="426"/>
        <w:jc w:val="both"/>
        <w:rPr>
          <w:rFonts w:ascii="Times New Roman" w:hAnsi="Times New Roman" w:cs="Times New Roman"/>
          <w:sz w:val="24"/>
          <w:szCs w:val="24"/>
        </w:rPr>
      </w:pPr>
      <w:r w:rsidRPr="003D1371">
        <w:rPr>
          <w:rFonts w:ascii="Times New Roman" w:hAnsi="Times New Roman" w:cs="Times New Roman"/>
          <w:sz w:val="24"/>
          <w:szCs w:val="24"/>
        </w:rPr>
        <w:t xml:space="preserve">Further, the court </w:t>
      </w:r>
      <w:r w:rsidR="009A492D" w:rsidRPr="003D1371">
        <w:rPr>
          <w:rFonts w:ascii="Times New Roman" w:hAnsi="Times New Roman" w:cs="Times New Roman"/>
          <w:i/>
          <w:sz w:val="24"/>
          <w:szCs w:val="24"/>
        </w:rPr>
        <w:t>a quo</w:t>
      </w:r>
      <w:r w:rsidRPr="003D1371">
        <w:rPr>
          <w:rFonts w:ascii="Times New Roman" w:hAnsi="Times New Roman" w:cs="Times New Roman"/>
          <w:sz w:val="24"/>
          <w:szCs w:val="24"/>
        </w:rPr>
        <w:t xml:space="preserve"> held that the documents submitted before it showed that the piece of land was offered to the third respondent by the second resp</w:t>
      </w:r>
      <w:r w:rsidR="00FA557F" w:rsidRPr="003D1371">
        <w:rPr>
          <w:rFonts w:ascii="Times New Roman" w:hAnsi="Times New Roman" w:cs="Times New Roman"/>
          <w:sz w:val="24"/>
          <w:szCs w:val="24"/>
        </w:rPr>
        <w:t>ondent, the owner of the land.</w:t>
      </w:r>
      <w:r w:rsidRPr="003D1371">
        <w:rPr>
          <w:rFonts w:ascii="Times New Roman" w:hAnsi="Times New Roman" w:cs="Times New Roman"/>
          <w:sz w:val="24"/>
          <w:szCs w:val="24"/>
        </w:rPr>
        <w:t xml:space="preserve"> </w:t>
      </w:r>
      <w:r w:rsidR="003154EE">
        <w:rPr>
          <w:rFonts w:ascii="Times New Roman" w:hAnsi="Times New Roman" w:cs="Times New Roman"/>
          <w:sz w:val="24"/>
          <w:szCs w:val="24"/>
        </w:rPr>
        <w:t xml:space="preserve">The court </w:t>
      </w:r>
      <w:r w:rsidR="003154EE" w:rsidRPr="003154EE">
        <w:rPr>
          <w:rFonts w:ascii="Times New Roman" w:hAnsi="Times New Roman" w:cs="Times New Roman"/>
          <w:i/>
          <w:sz w:val="24"/>
          <w:szCs w:val="24"/>
        </w:rPr>
        <w:t>a quo</w:t>
      </w:r>
      <w:r w:rsidR="003154EE">
        <w:rPr>
          <w:rFonts w:ascii="Times New Roman" w:hAnsi="Times New Roman" w:cs="Times New Roman"/>
          <w:sz w:val="24"/>
          <w:szCs w:val="24"/>
        </w:rPr>
        <w:t xml:space="preserve"> found that</w:t>
      </w:r>
      <w:r w:rsidRPr="003D1371">
        <w:rPr>
          <w:rFonts w:ascii="Times New Roman" w:hAnsi="Times New Roman" w:cs="Times New Roman"/>
          <w:sz w:val="24"/>
          <w:szCs w:val="24"/>
        </w:rPr>
        <w:t xml:space="preserve">, by a letter dated 23 April 2021 by the second respondent, the third respondent was offered 126 residential stands on the piece of land in question and by another letter dated 23 July 2021 addressed to the Regional Manager, ZESA, the second respondent confirmed the allocation of the stands to the third respondent. </w:t>
      </w:r>
      <w:r w:rsidR="009564D0">
        <w:rPr>
          <w:rFonts w:ascii="Times New Roman" w:hAnsi="Times New Roman" w:cs="Times New Roman"/>
          <w:sz w:val="24"/>
          <w:szCs w:val="24"/>
        </w:rPr>
        <w:t xml:space="preserve"> </w:t>
      </w:r>
      <w:r w:rsidRPr="003D1371">
        <w:rPr>
          <w:rFonts w:ascii="Times New Roman" w:hAnsi="Times New Roman" w:cs="Times New Roman"/>
          <w:sz w:val="24"/>
          <w:szCs w:val="24"/>
        </w:rPr>
        <w:t>The court held that the evidence before it proved that the third respondent and not the appellant was the rightful</w:t>
      </w:r>
      <w:r w:rsidR="00FA557F" w:rsidRPr="003D1371">
        <w:rPr>
          <w:rFonts w:ascii="Times New Roman" w:hAnsi="Times New Roman" w:cs="Times New Roman"/>
          <w:sz w:val="24"/>
          <w:szCs w:val="24"/>
        </w:rPr>
        <w:t xml:space="preserve"> owner of the stands in issue.</w:t>
      </w:r>
      <w:r w:rsidRPr="003D1371">
        <w:rPr>
          <w:rFonts w:ascii="Times New Roman" w:hAnsi="Times New Roman" w:cs="Times New Roman"/>
          <w:sz w:val="24"/>
          <w:szCs w:val="24"/>
        </w:rPr>
        <w:t xml:space="preserve"> The court dismissed the appellant’s claim with costs of suit on the legal </w:t>
      </w:r>
      <w:r w:rsidR="00FA557F" w:rsidRPr="003D1371">
        <w:rPr>
          <w:rFonts w:ascii="Times New Roman" w:hAnsi="Times New Roman" w:cs="Times New Roman"/>
          <w:sz w:val="24"/>
          <w:szCs w:val="24"/>
        </w:rPr>
        <w:t>practitioner and client scale.</w:t>
      </w:r>
    </w:p>
    <w:p w14:paraId="3723347E" w14:textId="77777777" w:rsidR="00D335E8" w:rsidRPr="003D1371" w:rsidRDefault="00D335E8" w:rsidP="00D335E8">
      <w:pPr>
        <w:pStyle w:val="ListParagraph"/>
        <w:spacing w:after="0" w:line="480" w:lineRule="auto"/>
        <w:ind w:left="644"/>
        <w:jc w:val="both"/>
        <w:rPr>
          <w:rFonts w:ascii="Times New Roman" w:hAnsi="Times New Roman" w:cs="Times New Roman"/>
          <w:sz w:val="24"/>
          <w:szCs w:val="24"/>
        </w:rPr>
      </w:pPr>
    </w:p>
    <w:p w14:paraId="3803F164" w14:textId="77777777" w:rsidR="0066193B" w:rsidRPr="003D1371" w:rsidRDefault="0066193B" w:rsidP="00502BDA">
      <w:pPr>
        <w:spacing w:after="0" w:line="480" w:lineRule="auto"/>
        <w:jc w:val="both"/>
        <w:rPr>
          <w:rFonts w:ascii="Times New Roman" w:hAnsi="Times New Roman" w:cs="Times New Roman"/>
          <w:b/>
          <w:sz w:val="24"/>
          <w:szCs w:val="24"/>
          <w:u w:val="single"/>
        </w:rPr>
      </w:pPr>
      <w:r w:rsidRPr="003D1371">
        <w:rPr>
          <w:rFonts w:ascii="Times New Roman" w:hAnsi="Times New Roman" w:cs="Times New Roman"/>
          <w:b/>
          <w:sz w:val="24"/>
          <w:szCs w:val="24"/>
          <w:u w:val="single"/>
        </w:rPr>
        <w:t>PROCEEDINGS BEFORE THIS COURT</w:t>
      </w:r>
    </w:p>
    <w:p w14:paraId="0A506B90" w14:textId="51890CBC" w:rsidR="00850E7B" w:rsidRPr="003D1371" w:rsidRDefault="00850E7B" w:rsidP="009564D0">
      <w:pPr>
        <w:pStyle w:val="ListParagraph"/>
        <w:numPr>
          <w:ilvl w:val="0"/>
          <w:numId w:val="8"/>
        </w:numPr>
        <w:spacing w:after="0" w:line="480" w:lineRule="auto"/>
        <w:ind w:left="426" w:hanging="426"/>
        <w:jc w:val="both"/>
        <w:rPr>
          <w:rFonts w:ascii="Times New Roman" w:hAnsi="Times New Roman" w:cs="Times New Roman"/>
          <w:sz w:val="24"/>
          <w:szCs w:val="24"/>
        </w:rPr>
      </w:pPr>
      <w:r w:rsidRPr="003D1371">
        <w:rPr>
          <w:rFonts w:ascii="Times New Roman" w:hAnsi="Times New Roman" w:cs="Times New Roman"/>
          <w:sz w:val="24"/>
          <w:szCs w:val="24"/>
        </w:rPr>
        <w:t>Aggrieved by</w:t>
      </w:r>
      <w:r w:rsidR="00C34676">
        <w:rPr>
          <w:rFonts w:ascii="Times New Roman" w:hAnsi="Times New Roman" w:cs="Times New Roman"/>
          <w:sz w:val="24"/>
          <w:szCs w:val="24"/>
        </w:rPr>
        <w:t xml:space="preserve"> that finding, the appellant </w:t>
      </w:r>
      <w:r w:rsidRPr="003D1371">
        <w:rPr>
          <w:rFonts w:ascii="Times New Roman" w:hAnsi="Times New Roman" w:cs="Times New Roman"/>
          <w:sz w:val="24"/>
          <w:szCs w:val="24"/>
        </w:rPr>
        <w:t xml:space="preserve"> noted the present appeal on the following</w:t>
      </w:r>
      <w:r w:rsidR="00D335E8">
        <w:rPr>
          <w:rFonts w:ascii="Times New Roman" w:hAnsi="Times New Roman" w:cs="Times New Roman"/>
          <w:sz w:val="24"/>
          <w:szCs w:val="24"/>
        </w:rPr>
        <w:t xml:space="preserve"> grounds of appeal</w:t>
      </w:r>
      <w:r w:rsidRPr="003D1371">
        <w:rPr>
          <w:rFonts w:ascii="Times New Roman" w:hAnsi="Times New Roman" w:cs="Times New Roman"/>
          <w:sz w:val="24"/>
          <w:szCs w:val="24"/>
        </w:rPr>
        <w:t xml:space="preserve">: </w:t>
      </w:r>
    </w:p>
    <w:p w14:paraId="4A3B2BCF" w14:textId="77777777" w:rsidR="00850E7B" w:rsidRPr="003D1371" w:rsidRDefault="00850E7B" w:rsidP="009564D0">
      <w:pPr>
        <w:spacing w:after="0" w:line="480" w:lineRule="auto"/>
        <w:ind w:firstLine="426"/>
        <w:jc w:val="both"/>
        <w:rPr>
          <w:rFonts w:ascii="Times New Roman" w:hAnsi="Times New Roman" w:cs="Times New Roman"/>
          <w:b/>
          <w:sz w:val="24"/>
          <w:szCs w:val="24"/>
        </w:rPr>
      </w:pPr>
      <w:r w:rsidRPr="003D1371">
        <w:rPr>
          <w:rFonts w:ascii="Times New Roman" w:hAnsi="Times New Roman" w:cs="Times New Roman"/>
          <w:b/>
          <w:sz w:val="24"/>
          <w:szCs w:val="24"/>
        </w:rPr>
        <w:t xml:space="preserve">GROUNDS OF APPEAL </w:t>
      </w:r>
    </w:p>
    <w:p w14:paraId="5B0C7C63" w14:textId="77777777" w:rsidR="00850E7B" w:rsidRPr="003D1371" w:rsidRDefault="00850E7B" w:rsidP="009564D0">
      <w:pPr>
        <w:pStyle w:val="ListParagraph"/>
        <w:numPr>
          <w:ilvl w:val="0"/>
          <w:numId w:val="3"/>
        </w:numPr>
        <w:spacing w:line="480" w:lineRule="auto"/>
        <w:ind w:left="993" w:hanging="284"/>
        <w:jc w:val="both"/>
        <w:rPr>
          <w:rFonts w:ascii="Times New Roman" w:hAnsi="Times New Roman" w:cs="Times New Roman"/>
          <w:sz w:val="24"/>
          <w:szCs w:val="24"/>
        </w:rPr>
      </w:pPr>
      <w:r w:rsidRPr="003D1371">
        <w:rPr>
          <w:rFonts w:ascii="Times New Roman" w:hAnsi="Times New Roman" w:cs="Times New Roman"/>
          <w:sz w:val="24"/>
          <w:szCs w:val="24"/>
        </w:rPr>
        <w:t xml:space="preserve">The court </w:t>
      </w:r>
      <w:r w:rsidR="009A492D" w:rsidRPr="003D1371">
        <w:rPr>
          <w:rFonts w:ascii="Times New Roman" w:hAnsi="Times New Roman" w:cs="Times New Roman"/>
          <w:i/>
          <w:sz w:val="24"/>
          <w:szCs w:val="24"/>
        </w:rPr>
        <w:t>a quo</w:t>
      </w:r>
      <w:r w:rsidRPr="003D1371">
        <w:rPr>
          <w:rFonts w:ascii="Times New Roman" w:hAnsi="Times New Roman" w:cs="Times New Roman"/>
          <w:sz w:val="24"/>
          <w:szCs w:val="24"/>
        </w:rPr>
        <w:t xml:space="preserve"> misdirected itself both in law and fact by holding that the allocation to the appellant by the first respondent in May 2017, of One Hundred (100) stands within a certain piece of land called Lot 2 of Subdivision B of Subdivision A of Willowvale situate in the district of Salisbury as depicted on Plan Number TPX/WR/07/15 Mufakose </w:t>
      </w:r>
      <w:r w:rsidRPr="003D1371">
        <w:rPr>
          <w:rFonts w:ascii="Times New Roman" w:hAnsi="Times New Roman" w:cs="Times New Roman"/>
          <w:sz w:val="24"/>
          <w:szCs w:val="24"/>
        </w:rPr>
        <w:lastRenderedPageBreak/>
        <w:t>Township measuring 49 hectares, was a nullity as it was not done in accordance with the law and was done without authority and approval from the second respondent.</w:t>
      </w:r>
    </w:p>
    <w:p w14:paraId="090CDA27" w14:textId="77777777" w:rsidR="0066193B" w:rsidRDefault="00850E7B" w:rsidP="009564D0">
      <w:pPr>
        <w:pStyle w:val="ListParagraph"/>
        <w:numPr>
          <w:ilvl w:val="0"/>
          <w:numId w:val="3"/>
        </w:numPr>
        <w:spacing w:line="480" w:lineRule="auto"/>
        <w:ind w:left="993" w:hanging="284"/>
        <w:jc w:val="both"/>
        <w:rPr>
          <w:rFonts w:ascii="Times New Roman" w:hAnsi="Times New Roman" w:cs="Times New Roman"/>
          <w:sz w:val="24"/>
          <w:szCs w:val="24"/>
        </w:rPr>
      </w:pPr>
      <w:r w:rsidRPr="003D1371">
        <w:rPr>
          <w:rFonts w:ascii="Times New Roman" w:hAnsi="Times New Roman" w:cs="Times New Roman"/>
          <w:sz w:val="24"/>
          <w:szCs w:val="24"/>
        </w:rPr>
        <w:t xml:space="preserve">The court </w:t>
      </w:r>
      <w:r w:rsidR="009A492D" w:rsidRPr="003D1371">
        <w:rPr>
          <w:rFonts w:ascii="Times New Roman" w:hAnsi="Times New Roman" w:cs="Times New Roman"/>
          <w:i/>
          <w:sz w:val="24"/>
          <w:szCs w:val="24"/>
        </w:rPr>
        <w:t>a quo</w:t>
      </w:r>
      <w:r w:rsidRPr="003D1371">
        <w:rPr>
          <w:rFonts w:ascii="Times New Roman" w:hAnsi="Times New Roman" w:cs="Times New Roman"/>
          <w:sz w:val="24"/>
          <w:szCs w:val="24"/>
        </w:rPr>
        <w:t xml:space="preserve"> misdirected itself in ordering the appellant to pay the first and third respondent’s costs on the legal practitioner and client scale without providing any reasons for such a scale and, in any event, there was no basis for such an order of costs on the punitive scale.</w:t>
      </w:r>
    </w:p>
    <w:p w14:paraId="2CE77DA4" w14:textId="77777777" w:rsidR="009564D0" w:rsidRPr="003D1371" w:rsidRDefault="009564D0" w:rsidP="009564D0">
      <w:pPr>
        <w:pStyle w:val="ListParagraph"/>
        <w:spacing w:after="0" w:line="480" w:lineRule="auto"/>
        <w:ind w:left="993"/>
        <w:jc w:val="both"/>
        <w:rPr>
          <w:rFonts w:ascii="Times New Roman" w:hAnsi="Times New Roman" w:cs="Times New Roman"/>
          <w:sz w:val="24"/>
          <w:szCs w:val="24"/>
        </w:rPr>
      </w:pPr>
    </w:p>
    <w:p w14:paraId="4D19CB21" w14:textId="455D71E7" w:rsidR="0004484E" w:rsidRPr="009564D0" w:rsidRDefault="0004484E" w:rsidP="009564D0">
      <w:pPr>
        <w:spacing w:after="0" w:line="480" w:lineRule="auto"/>
        <w:jc w:val="both"/>
        <w:rPr>
          <w:rFonts w:ascii="Times New Roman" w:hAnsi="Times New Roman" w:cs="Times New Roman"/>
          <w:sz w:val="24"/>
          <w:szCs w:val="24"/>
          <w:u w:val="thick"/>
        </w:rPr>
      </w:pPr>
      <w:r w:rsidRPr="009564D0">
        <w:rPr>
          <w:rFonts w:ascii="Times New Roman" w:hAnsi="Times New Roman" w:cs="Times New Roman"/>
          <w:b/>
          <w:sz w:val="24"/>
          <w:szCs w:val="24"/>
          <w:u w:val="thick"/>
        </w:rPr>
        <w:t>RELIEF SOUGHT</w:t>
      </w:r>
    </w:p>
    <w:p w14:paraId="71929D55" w14:textId="77777777" w:rsidR="0004484E" w:rsidRPr="003D1371" w:rsidRDefault="0004484E" w:rsidP="009564D0">
      <w:pPr>
        <w:spacing w:after="0" w:line="480" w:lineRule="auto"/>
        <w:ind w:firstLine="360"/>
        <w:jc w:val="both"/>
        <w:rPr>
          <w:rFonts w:ascii="Times New Roman" w:hAnsi="Times New Roman" w:cs="Times New Roman"/>
          <w:sz w:val="24"/>
          <w:szCs w:val="24"/>
        </w:rPr>
      </w:pPr>
      <w:r w:rsidRPr="003D1371">
        <w:rPr>
          <w:rFonts w:ascii="Times New Roman" w:hAnsi="Times New Roman" w:cs="Times New Roman"/>
          <w:b/>
          <w:sz w:val="24"/>
          <w:szCs w:val="24"/>
        </w:rPr>
        <w:t>WHEREFORE</w:t>
      </w:r>
      <w:r w:rsidRPr="003D1371">
        <w:rPr>
          <w:rFonts w:ascii="Times New Roman" w:hAnsi="Times New Roman" w:cs="Times New Roman"/>
          <w:sz w:val="24"/>
          <w:szCs w:val="24"/>
        </w:rPr>
        <w:t xml:space="preserve"> the appellant prays for an order that: </w:t>
      </w:r>
    </w:p>
    <w:p w14:paraId="20AAB8BF" w14:textId="77777777" w:rsidR="00F21A18" w:rsidRPr="003D1371" w:rsidRDefault="0004484E" w:rsidP="009564D0">
      <w:pPr>
        <w:pStyle w:val="ListParagraph"/>
        <w:numPr>
          <w:ilvl w:val="0"/>
          <w:numId w:val="4"/>
        </w:numPr>
        <w:spacing w:line="480" w:lineRule="auto"/>
        <w:ind w:hanging="229"/>
        <w:jc w:val="both"/>
        <w:rPr>
          <w:rFonts w:ascii="Times New Roman" w:hAnsi="Times New Roman" w:cs="Times New Roman"/>
          <w:sz w:val="24"/>
          <w:szCs w:val="24"/>
        </w:rPr>
      </w:pPr>
      <w:r w:rsidRPr="003D1371">
        <w:rPr>
          <w:rFonts w:ascii="Times New Roman" w:hAnsi="Times New Roman" w:cs="Times New Roman"/>
          <w:sz w:val="24"/>
          <w:szCs w:val="24"/>
        </w:rPr>
        <w:t xml:space="preserve">The appeal be and is hereby allowed with costs. </w:t>
      </w:r>
    </w:p>
    <w:p w14:paraId="380CB1BC" w14:textId="62997738" w:rsidR="009564D0" w:rsidRDefault="0004484E" w:rsidP="009564D0">
      <w:pPr>
        <w:pStyle w:val="ListParagraph"/>
        <w:numPr>
          <w:ilvl w:val="0"/>
          <w:numId w:val="4"/>
        </w:numPr>
        <w:spacing w:line="480" w:lineRule="auto"/>
        <w:ind w:hanging="229"/>
        <w:jc w:val="both"/>
        <w:rPr>
          <w:rFonts w:ascii="Times New Roman" w:hAnsi="Times New Roman" w:cs="Times New Roman"/>
          <w:sz w:val="24"/>
          <w:szCs w:val="24"/>
        </w:rPr>
      </w:pPr>
      <w:r w:rsidRPr="003D1371">
        <w:rPr>
          <w:rFonts w:ascii="Times New Roman" w:hAnsi="Times New Roman" w:cs="Times New Roman"/>
          <w:sz w:val="24"/>
          <w:szCs w:val="24"/>
        </w:rPr>
        <w:t xml:space="preserve">The judgement of the court </w:t>
      </w:r>
      <w:r w:rsidR="009A492D" w:rsidRPr="003D1371">
        <w:rPr>
          <w:rFonts w:ascii="Times New Roman" w:hAnsi="Times New Roman" w:cs="Times New Roman"/>
          <w:i/>
          <w:sz w:val="24"/>
          <w:szCs w:val="24"/>
        </w:rPr>
        <w:t>a quo</w:t>
      </w:r>
      <w:r w:rsidRPr="003D1371">
        <w:rPr>
          <w:rFonts w:ascii="Times New Roman" w:hAnsi="Times New Roman" w:cs="Times New Roman"/>
          <w:sz w:val="24"/>
          <w:szCs w:val="24"/>
        </w:rPr>
        <w:t xml:space="preserve"> be and is hereby set</w:t>
      </w:r>
      <w:r w:rsidR="009564D0">
        <w:rPr>
          <w:rFonts w:ascii="Times New Roman" w:hAnsi="Times New Roman" w:cs="Times New Roman"/>
          <w:sz w:val="24"/>
          <w:szCs w:val="24"/>
        </w:rPr>
        <w:t xml:space="preserve"> aside and substituted with one  </w:t>
      </w:r>
    </w:p>
    <w:p w14:paraId="507E3C65" w14:textId="1A0B09BB" w:rsidR="0004484E" w:rsidRPr="003D1371" w:rsidRDefault="009564D0" w:rsidP="009564D0">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04484E" w:rsidRPr="003D1371">
        <w:rPr>
          <w:rFonts w:ascii="Times New Roman" w:hAnsi="Times New Roman" w:cs="Times New Roman"/>
          <w:sz w:val="24"/>
          <w:szCs w:val="24"/>
        </w:rPr>
        <w:t xml:space="preserve">in the following terms; </w:t>
      </w:r>
    </w:p>
    <w:p w14:paraId="15DFD3B3" w14:textId="3E176BD6" w:rsidR="00F21A18" w:rsidRPr="00F87307" w:rsidRDefault="00F87307" w:rsidP="00F87307">
      <w:pPr>
        <w:pStyle w:val="ListParagraph"/>
        <w:numPr>
          <w:ilvl w:val="0"/>
          <w:numId w:val="5"/>
        </w:numPr>
        <w:spacing w:line="480" w:lineRule="auto"/>
        <w:ind w:left="1701" w:hanging="283"/>
        <w:jc w:val="both"/>
        <w:rPr>
          <w:rFonts w:ascii="Times New Roman" w:hAnsi="Times New Roman" w:cs="Times New Roman"/>
          <w:sz w:val="24"/>
          <w:szCs w:val="24"/>
        </w:rPr>
      </w:pPr>
      <w:r w:rsidRPr="00F87307">
        <w:rPr>
          <w:rFonts w:ascii="Times New Roman" w:hAnsi="Times New Roman" w:cs="Times New Roman"/>
          <w:sz w:val="24"/>
          <w:szCs w:val="24"/>
        </w:rPr>
        <w:t xml:space="preserve"> </w:t>
      </w:r>
      <w:r w:rsidR="0004484E" w:rsidRPr="00F87307">
        <w:rPr>
          <w:rFonts w:ascii="Times New Roman" w:hAnsi="Times New Roman" w:cs="Times New Roman"/>
          <w:sz w:val="24"/>
          <w:szCs w:val="24"/>
        </w:rPr>
        <w:t xml:space="preserve">The allocation to the appellant by the first respondent of One Hundred (100) stands within a certain piece of land called Lot 2 of Subdivision B of Subdivision A of Willowvale situate in the district of Salisbury as depicted on Plan Number TPX/WR/07/15 Mufakose Township measuring forty-nine (49) hectares be and is hereby declared valid. </w:t>
      </w:r>
    </w:p>
    <w:p w14:paraId="46C927CF" w14:textId="14106399" w:rsidR="00F21A18" w:rsidRPr="00F87307" w:rsidRDefault="0004484E" w:rsidP="00F87307">
      <w:pPr>
        <w:pStyle w:val="ListParagraph"/>
        <w:numPr>
          <w:ilvl w:val="0"/>
          <w:numId w:val="5"/>
        </w:numPr>
        <w:spacing w:line="480" w:lineRule="auto"/>
        <w:ind w:left="1701" w:hanging="283"/>
        <w:jc w:val="both"/>
        <w:rPr>
          <w:rFonts w:ascii="Times New Roman" w:hAnsi="Times New Roman" w:cs="Times New Roman"/>
          <w:sz w:val="24"/>
          <w:szCs w:val="24"/>
        </w:rPr>
      </w:pPr>
      <w:r w:rsidRPr="00F87307">
        <w:rPr>
          <w:rFonts w:ascii="Times New Roman" w:hAnsi="Times New Roman" w:cs="Times New Roman"/>
          <w:sz w:val="24"/>
          <w:szCs w:val="24"/>
        </w:rPr>
        <w:t>The purported revocation of survey instructions to S. Mupedza Land Surveyors by the first respondent be and is hereby declared null and void and the appellant be and is hereby authorized to complete survey works on the One Hundred (100) stands within a certain piece of land called Lot 2 of Subdivision B of Subdivision A of Willowvale situate in the district of Salisbury as depicted on Plan Number TPX/WR/07/15 Mufakose Township measuring forty-nine (49) hectares.</w:t>
      </w:r>
    </w:p>
    <w:p w14:paraId="2E09095E" w14:textId="77777777" w:rsidR="00F21A18" w:rsidRPr="00F87307" w:rsidRDefault="0004484E" w:rsidP="00F87307">
      <w:pPr>
        <w:pStyle w:val="ListParagraph"/>
        <w:numPr>
          <w:ilvl w:val="0"/>
          <w:numId w:val="5"/>
        </w:numPr>
        <w:spacing w:line="480" w:lineRule="auto"/>
        <w:ind w:left="1701" w:hanging="283"/>
        <w:jc w:val="both"/>
        <w:rPr>
          <w:rFonts w:ascii="Times New Roman" w:hAnsi="Times New Roman" w:cs="Times New Roman"/>
          <w:sz w:val="24"/>
          <w:szCs w:val="24"/>
        </w:rPr>
      </w:pPr>
      <w:r w:rsidRPr="00F87307">
        <w:rPr>
          <w:rFonts w:ascii="Times New Roman" w:hAnsi="Times New Roman" w:cs="Times New Roman"/>
          <w:sz w:val="24"/>
          <w:szCs w:val="24"/>
        </w:rPr>
        <w:lastRenderedPageBreak/>
        <w:t xml:space="preserve"> The first respondent shall administer, control and manage the appellant’s survey works and developments on the One Hundred (100) stands within a certain piece of land called Lot 2 of Subdivision B of Subdivision A of Willowvale situate in the district of Salisbury as depicted on Plan Number TPX/WR/07/15 Mufakose Township measuring forty-nine (49) hectares. </w:t>
      </w:r>
    </w:p>
    <w:p w14:paraId="2BB91478" w14:textId="57040189" w:rsidR="00F21A18" w:rsidRPr="00F87307" w:rsidRDefault="00F87307" w:rsidP="00F87307">
      <w:pPr>
        <w:pStyle w:val="ListParagraph"/>
        <w:numPr>
          <w:ilvl w:val="0"/>
          <w:numId w:val="5"/>
        </w:numPr>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 xml:space="preserve"> </w:t>
      </w:r>
      <w:r w:rsidR="0004484E" w:rsidRPr="00F87307">
        <w:rPr>
          <w:rFonts w:ascii="Times New Roman" w:hAnsi="Times New Roman" w:cs="Times New Roman"/>
          <w:sz w:val="24"/>
          <w:szCs w:val="24"/>
        </w:rPr>
        <w:t xml:space="preserve">Any purported allocation or sale of One Hundred (100) stands or any part thereof within a certain piece of land called Lot 2 of Subdivision B of Subdivision A of Willowvale situate in the district of Salisbury as depicted on Plan Number TPX/WR/07/15 Mufakose Township measuring forty-nine (49) hectares to the third respondent by either the first or second respondents or both be and is hereby declared null and void and of no force or effect. </w:t>
      </w:r>
    </w:p>
    <w:p w14:paraId="6771D138" w14:textId="77777777" w:rsidR="00F87307" w:rsidRDefault="0004484E" w:rsidP="00F87307">
      <w:pPr>
        <w:pStyle w:val="ListParagraph"/>
        <w:numPr>
          <w:ilvl w:val="0"/>
          <w:numId w:val="5"/>
        </w:numPr>
        <w:spacing w:line="480" w:lineRule="auto"/>
        <w:ind w:left="1701" w:hanging="283"/>
        <w:jc w:val="both"/>
        <w:rPr>
          <w:rFonts w:ascii="Times New Roman" w:hAnsi="Times New Roman" w:cs="Times New Roman"/>
          <w:sz w:val="24"/>
          <w:szCs w:val="24"/>
        </w:rPr>
      </w:pPr>
      <w:r w:rsidRPr="00F87307">
        <w:rPr>
          <w:rFonts w:ascii="Times New Roman" w:hAnsi="Times New Roman" w:cs="Times New Roman"/>
          <w:sz w:val="24"/>
          <w:szCs w:val="24"/>
        </w:rPr>
        <w:t>The third respondent and all those claiming occupation through it shall vacate the One Hundred (100) stands within a certain piece of land called Lot 2 of Subdivision B of Subdivision A of Willowvale situate in the district of Salisbury as depicted on Plan Number TPX/WR/07/15 Mufakose Township measuring forty nine (49) hectares within ten (10) days from the date of service of this Order.</w:t>
      </w:r>
    </w:p>
    <w:p w14:paraId="765317B5" w14:textId="7B7C1D66" w:rsidR="0004484E" w:rsidRDefault="0004484E" w:rsidP="00F87307">
      <w:pPr>
        <w:pStyle w:val="ListParagraph"/>
        <w:numPr>
          <w:ilvl w:val="0"/>
          <w:numId w:val="5"/>
        </w:numPr>
        <w:spacing w:line="480" w:lineRule="auto"/>
        <w:ind w:left="1701" w:hanging="283"/>
        <w:jc w:val="both"/>
        <w:rPr>
          <w:rFonts w:ascii="Times New Roman" w:hAnsi="Times New Roman" w:cs="Times New Roman"/>
          <w:sz w:val="24"/>
          <w:szCs w:val="24"/>
        </w:rPr>
      </w:pPr>
      <w:r w:rsidRPr="00F87307">
        <w:rPr>
          <w:rFonts w:ascii="Times New Roman" w:hAnsi="Times New Roman" w:cs="Times New Roman"/>
          <w:sz w:val="24"/>
          <w:szCs w:val="24"/>
        </w:rPr>
        <w:t>The first and second respondents shall pay costs of suits jointly and severally the one paying the other to be absolved.</w:t>
      </w:r>
    </w:p>
    <w:p w14:paraId="6380D3C1" w14:textId="77777777" w:rsidR="00F87307" w:rsidRPr="00F87307" w:rsidRDefault="00F87307" w:rsidP="00F87307">
      <w:pPr>
        <w:pStyle w:val="ListParagraph"/>
        <w:spacing w:after="0" w:line="480" w:lineRule="auto"/>
        <w:ind w:left="1701"/>
        <w:jc w:val="both"/>
        <w:rPr>
          <w:rFonts w:ascii="Times New Roman" w:hAnsi="Times New Roman" w:cs="Times New Roman"/>
          <w:sz w:val="24"/>
          <w:szCs w:val="24"/>
        </w:rPr>
      </w:pPr>
    </w:p>
    <w:p w14:paraId="5357F49D" w14:textId="236D7106" w:rsidR="001F2D18" w:rsidRPr="003D1371" w:rsidRDefault="004868A2" w:rsidP="00074AE7">
      <w:pPr>
        <w:rPr>
          <w:rFonts w:ascii="Times New Roman" w:hAnsi="Times New Roman" w:cs="Times New Roman"/>
          <w:b/>
          <w:bCs/>
          <w:sz w:val="24"/>
          <w:szCs w:val="24"/>
          <w:u w:val="single"/>
          <w:lang w:val="en-GB"/>
        </w:rPr>
      </w:pPr>
      <w:r w:rsidRPr="003D1371">
        <w:rPr>
          <w:rFonts w:ascii="Times New Roman" w:hAnsi="Times New Roman" w:cs="Times New Roman"/>
          <w:b/>
          <w:bCs/>
          <w:sz w:val="24"/>
          <w:szCs w:val="24"/>
          <w:u w:val="single"/>
          <w:lang w:val="en-GB"/>
        </w:rPr>
        <w:t xml:space="preserve">SUBMISSIONS BEFORE THIS COURT </w:t>
      </w:r>
    </w:p>
    <w:p w14:paraId="70501E0C" w14:textId="3D6A031D" w:rsidR="000953B8" w:rsidRDefault="000953B8" w:rsidP="00E6735D">
      <w:pPr>
        <w:pStyle w:val="ListParagraph"/>
        <w:numPr>
          <w:ilvl w:val="0"/>
          <w:numId w:val="8"/>
        </w:numPr>
        <w:spacing w:line="480" w:lineRule="auto"/>
        <w:ind w:left="426" w:hanging="426"/>
        <w:jc w:val="both"/>
        <w:rPr>
          <w:rFonts w:ascii="Times New Roman" w:hAnsi="Times New Roman" w:cs="Times New Roman"/>
          <w:sz w:val="24"/>
          <w:szCs w:val="24"/>
        </w:rPr>
      </w:pPr>
      <w:r w:rsidRPr="003D1371">
        <w:rPr>
          <w:rFonts w:ascii="Times New Roman" w:hAnsi="Times New Roman" w:cs="Times New Roman"/>
          <w:sz w:val="24"/>
          <w:szCs w:val="24"/>
        </w:rPr>
        <w:t>At the hearing of the a</w:t>
      </w:r>
      <w:r w:rsidR="003A100A" w:rsidRPr="003D1371">
        <w:rPr>
          <w:rFonts w:ascii="Times New Roman" w:hAnsi="Times New Roman" w:cs="Times New Roman"/>
          <w:sz w:val="24"/>
          <w:szCs w:val="24"/>
        </w:rPr>
        <w:t>ppeal, M</w:t>
      </w:r>
      <w:r w:rsidR="00075E2F">
        <w:rPr>
          <w:rFonts w:ascii="Times New Roman" w:hAnsi="Times New Roman" w:cs="Times New Roman"/>
          <w:sz w:val="24"/>
          <w:szCs w:val="24"/>
        </w:rPr>
        <w:t>r</w:t>
      </w:r>
      <w:r w:rsidR="003A100A" w:rsidRPr="003D1371">
        <w:rPr>
          <w:rFonts w:ascii="Times New Roman" w:hAnsi="Times New Roman" w:cs="Times New Roman"/>
          <w:sz w:val="24"/>
          <w:szCs w:val="24"/>
        </w:rPr>
        <w:t>s</w:t>
      </w:r>
      <w:r w:rsidR="003A100A" w:rsidRPr="003D1371">
        <w:rPr>
          <w:rFonts w:ascii="Times New Roman" w:hAnsi="Times New Roman" w:cs="Times New Roman"/>
          <w:i/>
          <w:sz w:val="24"/>
          <w:szCs w:val="24"/>
        </w:rPr>
        <w:t xml:space="preserve"> Mabwe</w:t>
      </w:r>
      <w:r w:rsidR="00D65315">
        <w:rPr>
          <w:rFonts w:ascii="Times New Roman" w:hAnsi="Times New Roman" w:cs="Times New Roman"/>
          <w:sz w:val="24"/>
          <w:szCs w:val="24"/>
        </w:rPr>
        <w:t>,</w:t>
      </w:r>
      <w:r w:rsidR="00502BDA">
        <w:rPr>
          <w:rFonts w:ascii="Times New Roman" w:hAnsi="Times New Roman" w:cs="Times New Roman"/>
          <w:sz w:val="24"/>
          <w:szCs w:val="24"/>
        </w:rPr>
        <w:t xml:space="preserve"> counsel </w:t>
      </w:r>
      <w:r w:rsidR="003A100A" w:rsidRPr="003D1371">
        <w:rPr>
          <w:rFonts w:ascii="Times New Roman" w:hAnsi="Times New Roman" w:cs="Times New Roman"/>
          <w:sz w:val="24"/>
          <w:szCs w:val="24"/>
        </w:rPr>
        <w:t>for the appellant,</w:t>
      </w:r>
      <w:r w:rsidRPr="003D1371">
        <w:rPr>
          <w:rFonts w:ascii="Times New Roman" w:hAnsi="Times New Roman" w:cs="Times New Roman"/>
          <w:sz w:val="24"/>
          <w:szCs w:val="24"/>
        </w:rPr>
        <w:t xml:space="preserve"> submitted that the main issue before the Court was whether or not the allocation of the land to the appellant was done in terms of the law. She submitted that the court </w:t>
      </w:r>
      <w:r w:rsidR="009A492D" w:rsidRPr="003D1371">
        <w:rPr>
          <w:rFonts w:ascii="Times New Roman" w:hAnsi="Times New Roman" w:cs="Times New Roman"/>
          <w:i/>
          <w:sz w:val="24"/>
          <w:szCs w:val="24"/>
        </w:rPr>
        <w:t>a quo</w:t>
      </w:r>
      <w:r w:rsidRPr="003D1371">
        <w:rPr>
          <w:rFonts w:ascii="Times New Roman" w:hAnsi="Times New Roman" w:cs="Times New Roman"/>
          <w:iCs/>
          <w:sz w:val="24"/>
          <w:szCs w:val="24"/>
        </w:rPr>
        <w:t>,</w:t>
      </w:r>
      <w:r w:rsidRPr="003D1371">
        <w:rPr>
          <w:rFonts w:ascii="Times New Roman" w:hAnsi="Times New Roman" w:cs="Times New Roman"/>
          <w:sz w:val="24"/>
          <w:szCs w:val="24"/>
        </w:rPr>
        <w:t xml:space="preserve"> in dismissing the cla</w:t>
      </w:r>
      <w:r w:rsidR="00E6735D">
        <w:rPr>
          <w:rFonts w:ascii="Times New Roman" w:hAnsi="Times New Roman" w:cs="Times New Roman"/>
          <w:sz w:val="24"/>
          <w:szCs w:val="24"/>
        </w:rPr>
        <w:t xml:space="preserve">im, erred by </w:t>
      </w:r>
      <w:r w:rsidR="00E6735D">
        <w:rPr>
          <w:rFonts w:ascii="Times New Roman" w:hAnsi="Times New Roman" w:cs="Times New Roman"/>
          <w:sz w:val="24"/>
          <w:szCs w:val="24"/>
        </w:rPr>
        <w:lastRenderedPageBreak/>
        <w:t xml:space="preserve">relying on s </w:t>
      </w:r>
      <w:r w:rsidRPr="003D1371">
        <w:rPr>
          <w:rFonts w:ascii="Times New Roman" w:hAnsi="Times New Roman" w:cs="Times New Roman"/>
          <w:sz w:val="24"/>
          <w:szCs w:val="24"/>
        </w:rPr>
        <w:t xml:space="preserve">205 of the </w:t>
      </w:r>
      <w:r w:rsidR="00174DC2" w:rsidRPr="003D1371">
        <w:rPr>
          <w:rFonts w:ascii="Times New Roman" w:hAnsi="Times New Roman" w:cs="Times New Roman"/>
          <w:sz w:val="24"/>
          <w:szCs w:val="24"/>
        </w:rPr>
        <w:t>Act</w:t>
      </w:r>
      <w:r w:rsidR="00E6735D">
        <w:rPr>
          <w:rFonts w:ascii="Times New Roman" w:hAnsi="Times New Roman" w:cs="Times New Roman"/>
          <w:sz w:val="24"/>
          <w:szCs w:val="24"/>
        </w:rPr>
        <w:t xml:space="preserve">.  </w:t>
      </w:r>
      <w:r w:rsidRPr="003D1371">
        <w:rPr>
          <w:rFonts w:ascii="Times New Roman" w:hAnsi="Times New Roman" w:cs="Times New Roman"/>
          <w:sz w:val="24"/>
          <w:szCs w:val="24"/>
        </w:rPr>
        <w:t>She submit</w:t>
      </w:r>
      <w:r w:rsidR="00E6735D">
        <w:rPr>
          <w:rFonts w:ascii="Times New Roman" w:hAnsi="Times New Roman" w:cs="Times New Roman"/>
          <w:sz w:val="24"/>
          <w:szCs w:val="24"/>
        </w:rPr>
        <w:t>ted that s</w:t>
      </w:r>
      <w:r w:rsidRPr="003D1371">
        <w:rPr>
          <w:rFonts w:ascii="Times New Roman" w:hAnsi="Times New Roman" w:cs="Times New Roman"/>
          <w:sz w:val="24"/>
          <w:szCs w:val="24"/>
        </w:rPr>
        <w:t xml:space="preserve"> 205 (1) of the Act permits the first respondent to lease, sell, exchange or dispose of its</w:t>
      </w:r>
      <w:r w:rsidR="00811F75" w:rsidRPr="003D1371">
        <w:rPr>
          <w:rFonts w:ascii="Times New Roman" w:hAnsi="Times New Roman" w:cs="Times New Roman"/>
          <w:sz w:val="24"/>
          <w:szCs w:val="24"/>
        </w:rPr>
        <w:t xml:space="preserve"> own land or State land. </w:t>
      </w:r>
      <w:r w:rsidR="00811F75" w:rsidRPr="00E6735D">
        <w:rPr>
          <w:rFonts w:ascii="Times New Roman" w:hAnsi="Times New Roman" w:cs="Times New Roman"/>
          <w:sz w:val="24"/>
          <w:szCs w:val="24"/>
        </w:rPr>
        <w:t>M</w:t>
      </w:r>
      <w:r w:rsidR="00075E2F">
        <w:rPr>
          <w:rFonts w:ascii="Times New Roman" w:hAnsi="Times New Roman" w:cs="Times New Roman"/>
          <w:sz w:val="24"/>
          <w:szCs w:val="24"/>
        </w:rPr>
        <w:t>r</w:t>
      </w:r>
      <w:r w:rsidR="00811F75" w:rsidRPr="00E6735D">
        <w:rPr>
          <w:rFonts w:ascii="Times New Roman" w:hAnsi="Times New Roman" w:cs="Times New Roman"/>
          <w:sz w:val="24"/>
          <w:szCs w:val="24"/>
        </w:rPr>
        <w:t>s</w:t>
      </w:r>
      <w:r w:rsidR="00D85587" w:rsidRPr="003D1371">
        <w:rPr>
          <w:rFonts w:ascii="Times New Roman" w:hAnsi="Times New Roman" w:cs="Times New Roman"/>
          <w:i/>
          <w:sz w:val="24"/>
          <w:szCs w:val="24"/>
        </w:rPr>
        <w:t>.</w:t>
      </w:r>
      <w:r w:rsidR="00811F75" w:rsidRPr="003D1371">
        <w:rPr>
          <w:rFonts w:ascii="Times New Roman" w:hAnsi="Times New Roman" w:cs="Times New Roman"/>
          <w:i/>
          <w:sz w:val="24"/>
          <w:szCs w:val="24"/>
        </w:rPr>
        <w:t xml:space="preserve"> Mabwe</w:t>
      </w:r>
      <w:r w:rsidRPr="003D1371">
        <w:rPr>
          <w:rFonts w:ascii="Times New Roman" w:hAnsi="Times New Roman" w:cs="Times New Roman"/>
          <w:sz w:val="24"/>
          <w:szCs w:val="24"/>
        </w:rPr>
        <w:t xml:space="preserve"> relied on sections 205(1), 87, 88, 89 of the Act in arguing that the allocation of the land by the first respondent was valid. </w:t>
      </w:r>
    </w:p>
    <w:p w14:paraId="62897AF6" w14:textId="77777777" w:rsidR="00E6735D" w:rsidRPr="003D1371" w:rsidRDefault="00E6735D" w:rsidP="00E6735D">
      <w:pPr>
        <w:pStyle w:val="ListParagraph"/>
        <w:spacing w:after="0" w:line="240" w:lineRule="auto"/>
        <w:ind w:left="426"/>
        <w:jc w:val="both"/>
        <w:rPr>
          <w:rFonts w:ascii="Times New Roman" w:hAnsi="Times New Roman" w:cs="Times New Roman"/>
          <w:sz w:val="24"/>
          <w:szCs w:val="24"/>
        </w:rPr>
      </w:pPr>
    </w:p>
    <w:p w14:paraId="4C9DAB98" w14:textId="27065357" w:rsidR="000953B8" w:rsidRDefault="000953B8" w:rsidP="00E6735D">
      <w:pPr>
        <w:pStyle w:val="ListParagraph"/>
        <w:numPr>
          <w:ilvl w:val="0"/>
          <w:numId w:val="8"/>
        </w:numPr>
        <w:spacing w:line="480" w:lineRule="auto"/>
        <w:ind w:left="426" w:hanging="426"/>
        <w:jc w:val="both"/>
        <w:rPr>
          <w:rFonts w:ascii="Times New Roman" w:hAnsi="Times New Roman" w:cs="Times New Roman"/>
          <w:sz w:val="24"/>
          <w:szCs w:val="24"/>
        </w:rPr>
      </w:pPr>
      <w:r w:rsidRPr="003D1371">
        <w:rPr>
          <w:rFonts w:ascii="Times New Roman" w:hAnsi="Times New Roman" w:cs="Times New Roman"/>
          <w:sz w:val="24"/>
          <w:szCs w:val="24"/>
        </w:rPr>
        <w:t>Acco</w:t>
      </w:r>
      <w:r w:rsidR="005C6E4E">
        <w:rPr>
          <w:rFonts w:ascii="Times New Roman" w:hAnsi="Times New Roman" w:cs="Times New Roman"/>
          <w:sz w:val="24"/>
          <w:szCs w:val="24"/>
        </w:rPr>
        <w:t xml:space="preserve">rding to counsel, under s </w:t>
      </w:r>
      <w:r w:rsidRPr="003D1371">
        <w:rPr>
          <w:rFonts w:ascii="Times New Roman" w:hAnsi="Times New Roman" w:cs="Times New Roman"/>
          <w:sz w:val="24"/>
          <w:szCs w:val="24"/>
        </w:rPr>
        <w:t>87 of the Act, the first respondent is permitted to make binding decisions which are eff</w:t>
      </w:r>
      <w:r w:rsidR="00D85587" w:rsidRPr="003D1371">
        <w:rPr>
          <w:rFonts w:ascii="Times New Roman" w:hAnsi="Times New Roman" w:cs="Times New Roman"/>
          <w:sz w:val="24"/>
          <w:szCs w:val="24"/>
        </w:rPr>
        <w:t xml:space="preserve">ected through a resolution. Counsel </w:t>
      </w:r>
      <w:r w:rsidRPr="003D1371">
        <w:rPr>
          <w:rFonts w:ascii="Times New Roman" w:hAnsi="Times New Roman" w:cs="Times New Roman"/>
          <w:sz w:val="24"/>
          <w:szCs w:val="24"/>
        </w:rPr>
        <w:t>submitted that where that resolution is to be set aside, the process is found under section 89 of the Act, that is, the resolution can be rescinded or altered and made kn</w:t>
      </w:r>
      <w:r w:rsidR="00F5690D" w:rsidRPr="003D1371">
        <w:rPr>
          <w:rFonts w:ascii="Times New Roman" w:hAnsi="Times New Roman" w:cs="Times New Roman"/>
          <w:sz w:val="24"/>
          <w:szCs w:val="24"/>
        </w:rPr>
        <w:t>own to the relevant Ministry. M</w:t>
      </w:r>
      <w:r w:rsidR="00075E2F">
        <w:rPr>
          <w:rFonts w:ascii="Times New Roman" w:hAnsi="Times New Roman" w:cs="Times New Roman"/>
          <w:sz w:val="24"/>
          <w:szCs w:val="24"/>
        </w:rPr>
        <w:t>r</w:t>
      </w:r>
      <w:r w:rsidR="00F5690D" w:rsidRPr="003D1371">
        <w:rPr>
          <w:rFonts w:ascii="Times New Roman" w:hAnsi="Times New Roman" w:cs="Times New Roman"/>
          <w:sz w:val="24"/>
          <w:szCs w:val="24"/>
        </w:rPr>
        <w:t>s</w:t>
      </w:r>
      <w:r w:rsidR="00F5690D" w:rsidRPr="003D1371">
        <w:rPr>
          <w:rFonts w:ascii="Times New Roman" w:hAnsi="Times New Roman" w:cs="Times New Roman"/>
          <w:i/>
          <w:sz w:val="24"/>
          <w:szCs w:val="24"/>
        </w:rPr>
        <w:t xml:space="preserve"> Mabwe</w:t>
      </w:r>
      <w:r w:rsidRPr="003D1371">
        <w:rPr>
          <w:rFonts w:ascii="Times New Roman" w:hAnsi="Times New Roman" w:cs="Times New Roman"/>
          <w:sz w:val="24"/>
          <w:szCs w:val="24"/>
        </w:rPr>
        <w:t xml:space="preserve"> argued that the second respondent could not allocate the land to the third respondent in light of the </w:t>
      </w:r>
      <w:r w:rsidR="004D7A86" w:rsidRPr="003D1371">
        <w:rPr>
          <w:rFonts w:ascii="Times New Roman" w:hAnsi="Times New Roman" w:cs="Times New Roman"/>
          <w:sz w:val="24"/>
          <w:szCs w:val="24"/>
        </w:rPr>
        <w:t xml:space="preserve">extant resolution. </w:t>
      </w:r>
      <w:r w:rsidR="005C6E4E">
        <w:rPr>
          <w:rFonts w:ascii="Times New Roman" w:hAnsi="Times New Roman" w:cs="Times New Roman"/>
          <w:sz w:val="24"/>
          <w:szCs w:val="24"/>
        </w:rPr>
        <w:t xml:space="preserve"> </w:t>
      </w:r>
      <w:r w:rsidR="004D7A86" w:rsidRPr="003D1371">
        <w:rPr>
          <w:rFonts w:ascii="Times New Roman" w:hAnsi="Times New Roman" w:cs="Times New Roman"/>
          <w:sz w:val="24"/>
          <w:szCs w:val="24"/>
        </w:rPr>
        <w:t>She further argued</w:t>
      </w:r>
      <w:r w:rsidRPr="003D1371">
        <w:rPr>
          <w:rFonts w:ascii="Times New Roman" w:hAnsi="Times New Roman" w:cs="Times New Roman"/>
          <w:sz w:val="24"/>
          <w:szCs w:val="24"/>
        </w:rPr>
        <w:t xml:space="preserve"> that since the first respondent is permitted to make binding resolutions by the Act, for the land allocation to be revoked, the first respondent should have revoked the resolution first.</w:t>
      </w:r>
    </w:p>
    <w:p w14:paraId="302F1E4B" w14:textId="77777777" w:rsidR="006529CF" w:rsidRPr="006529CF" w:rsidRDefault="006529CF" w:rsidP="006529CF">
      <w:pPr>
        <w:spacing w:after="0" w:line="240" w:lineRule="auto"/>
        <w:jc w:val="both"/>
        <w:rPr>
          <w:rFonts w:ascii="Times New Roman" w:hAnsi="Times New Roman" w:cs="Times New Roman"/>
          <w:sz w:val="24"/>
          <w:szCs w:val="24"/>
        </w:rPr>
      </w:pPr>
    </w:p>
    <w:p w14:paraId="6821611D" w14:textId="475AED86" w:rsidR="006529CF" w:rsidRDefault="000953B8" w:rsidP="006529CF">
      <w:pPr>
        <w:pStyle w:val="ListParagraph"/>
        <w:numPr>
          <w:ilvl w:val="0"/>
          <w:numId w:val="8"/>
        </w:numPr>
        <w:spacing w:line="480" w:lineRule="auto"/>
        <w:ind w:left="426" w:hanging="426"/>
        <w:jc w:val="both"/>
        <w:rPr>
          <w:rFonts w:ascii="Times New Roman" w:hAnsi="Times New Roman" w:cs="Times New Roman"/>
          <w:sz w:val="24"/>
          <w:szCs w:val="24"/>
        </w:rPr>
      </w:pPr>
      <w:r w:rsidRPr="003D1371">
        <w:rPr>
          <w:rFonts w:ascii="Times New Roman" w:hAnsi="Times New Roman" w:cs="Times New Roman"/>
          <w:sz w:val="24"/>
          <w:szCs w:val="24"/>
        </w:rPr>
        <w:t>Further</w:t>
      </w:r>
      <w:r w:rsidR="0006294F">
        <w:rPr>
          <w:rFonts w:ascii="Times New Roman" w:hAnsi="Times New Roman" w:cs="Times New Roman"/>
          <w:sz w:val="24"/>
          <w:szCs w:val="24"/>
        </w:rPr>
        <w:t>,</w:t>
      </w:r>
      <w:r w:rsidRPr="003D1371">
        <w:rPr>
          <w:rFonts w:ascii="Times New Roman" w:hAnsi="Times New Roman" w:cs="Times New Roman"/>
          <w:sz w:val="24"/>
          <w:szCs w:val="24"/>
        </w:rPr>
        <w:t xml:space="preserve"> counsel submitted that for the court </w:t>
      </w:r>
      <w:r w:rsidR="009A492D" w:rsidRPr="003D1371">
        <w:rPr>
          <w:rFonts w:ascii="Times New Roman" w:hAnsi="Times New Roman" w:cs="Times New Roman"/>
          <w:i/>
          <w:sz w:val="24"/>
          <w:szCs w:val="24"/>
        </w:rPr>
        <w:t>a quo</w:t>
      </w:r>
      <w:r w:rsidRPr="003D1371">
        <w:rPr>
          <w:rFonts w:ascii="Times New Roman" w:hAnsi="Times New Roman" w:cs="Times New Roman"/>
          <w:sz w:val="24"/>
          <w:szCs w:val="24"/>
        </w:rPr>
        <w:t xml:space="preserve"> to have made a finding that there was failure to inform the second respondent, the respondents ought to have pleaded that due process had not been followed as provided under section 205 of the Act. </w:t>
      </w:r>
      <w:r w:rsidR="006529CF">
        <w:rPr>
          <w:rFonts w:ascii="Times New Roman" w:hAnsi="Times New Roman" w:cs="Times New Roman"/>
          <w:sz w:val="24"/>
          <w:szCs w:val="24"/>
        </w:rPr>
        <w:t xml:space="preserve"> </w:t>
      </w:r>
      <w:r w:rsidRPr="003D1371">
        <w:rPr>
          <w:rFonts w:ascii="Times New Roman" w:hAnsi="Times New Roman" w:cs="Times New Roman"/>
          <w:sz w:val="24"/>
          <w:szCs w:val="24"/>
        </w:rPr>
        <w:t>She contended that in their pleas, none of the respondents raised the issue. According to counsel, the failure to do so ought to have been taken as a concession to the relief sought on the basis of the pro</w:t>
      </w:r>
      <w:r w:rsidR="00023293">
        <w:rPr>
          <w:rFonts w:ascii="Times New Roman" w:hAnsi="Times New Roman" w:cs="Times New Roman"/>
          <w:sz w:val="24"/>
          <w:szCs w:val="24"/>
        </w:rPr>
        <w:t>nouncement</w:t>
      </w:r>
      <w:r w:rsidRPr="003D1371">
        <w:rPr>
          <w:rFonts w:ascii="Times New Roman" w:hAnsi="Times New Roman" w:cs="Times New Roman"/>
          <w:sz w:val="24"/>
          <w:szCs w:val="24"/>
        </w:rPr>
        <w:t xml:space="preserve"> in </w:t>
      </w:r>
      <w:r w:rsidRPr="003D1371">
        <w:rPr>
          <w:rFonts w:ascii="Times New Roman" w:hAnsi="Times New Roman" w:cs="Times New Roman"/>
          <w:i/>
          <w:sz w:val="24"/>
          <w:szCs w:val="24"/>
        </w:rPr>
        <w:t>Chihwayi Enterprises (Pvt) Ltd</w:t>
      </w:r>
      <w:r w:rsidRPr="003D1371">
        <w:rPr>
          <w:rFonts w:ascii="Times New Roman" w:hAnsi="Times New Roman" w:cs="Times New Roman"/>
          <w:sz w:val="24"/>
          <w:szCs w:val="24"/>
        </w:rPr>
        <w:t xml:space="preserve"> v </w:t>
      </w:r>
      <w:r w:rsidRPr="003D1371">
        <w:rPr>
          <w:rFonts w:ascii="Times New Roman" w:hAnsi="Times New Roman" w:cs="Times New Roman"/>
          <w:i/>
          <w:sz w:val="24"/>
          <w:szCs w:val="24"/>
        </w:rPr>
        <w:t>Atish Investments (Pvt) Ltd</w:t>
      </w:r>
      <w:r w:rsidR="006529CF">
        <w:rPr>
          <w:rFonts w:ascii="Times New Roman" w:hAnsi="Times New Roman" w:cs="Times New Roman"/>
          <w:sz w:val="24"/>
          <w:szCs w:val="24"/>
        </w:rPr>
        <w:t xml:space="preserve"> 2007 (2) ZLR 89 and </w:t>
      </w:r>
      <w:r w:rsidR="00023293">
        <w:rPr>
          <w:rFonts w:ascii="Times New Roman" w:hAnsi="Times New Roman" w:cs="Times New Roman"/>
          <w:sz w:val="24"/>
          <w:szCs w:val="24"/>
        </w:rPr>
        <w:t xml:space="preserve">provisions of </w:t>
      </w:r>
      <w:r w:rsidR="006529CF">
        <w:rPr>
          <w:rFonts w:ascii="Times New Roman" w:hAnsi="Times New Roman" w:cs="Times New Roman"/>
          <w:sz w:val="24"/>
          <w:szCs w:val="24"/>
        </w:rPr>
        <w:t xml:space="preserve">r </w:t>
      </w:r>
      <w:r w:rsidRPr="003D1371">
        <w:rPr>
          <w:rFonts w:ascii="Times New Roman" w:hAnsi="Times New Roman" w:cs="Times New Roman"/>
          <w:sz w:val="24"/>
          <w:szCs w:val="24"/>
        </w:rPr>
        <w:t xml:space="preserve">37(9) of the High Court Rules, 2021. </w:t>
      </w:r>
      <w:r w:rsidR="006529CF">
        <w:rPr>
          <w:rFonts w:ascii="Times New Roman" w:hAnsi="Times New Roman" w:cs="Times New Roman"/>
          <w:sz w:val="24"/>
          <w:szCs w:val="24"/>
        </w:rPr>
        <w:t xml:space="preserve"> </w:t>
      </w:r>
      <w:r w:rsidRPr="003D1371">
        <w:rPr>
          <w:rFonts w:ascii="Times New Roman" w:hAnsi="Times New Roman" w:cs="Times New Roman"/>
          <w:sz w:val="24"/>
          <w:szCs w:val="24"/>
        </w:rPr>
        <w:t xml:space="preserve">She stated that with such an admission, the court </w:t>
      </w:r>
      <w:r w:rsidR="009A492D" w:rsidRPr="003D1371">
        <w:rPr>
          <w:rFonts w:ascii="Times New Roman" w:hAnsi="Times New Roman" w:cs="Times New Roman"/>
          <w:i/>
          <w:sz w:val="24"/>
          <w:szCs w:val="24"/>
        </w:rPr>
        <w:t>a quo</w:t>
      </w:r>
      <w:r w:rsidRPr="003D1371">
        <w:rPr>
          <w:rFonts w:ascii="Times New Roman" w:hAnsi="Times New Roman" w:cs="Times New Roman"/>
          <w:sz w:val="24"/>
          <w:szCs w:val="24"/>
        </w:rPr>
        <w:t xml:space="preserve"> could not take the point that the allocation was invalid based on s</w:t>
      </w:r>
      <w:r w:rsidR="006529CF">
        <w:rPr>
          <w:rFonts w:ascii="Times New Roman" w:hAnsi="Times New Roman" w:cs="Times New Roman"/>
          <w:sz w:val="24"/>
          <w:szCs w:val="24"/>
        </w:rPr>
        <w:t xml:space="preserve"> </w:t>
      </w:r>
      <w:r w:rsidRPr="003D1371">
        <w:rPr>
          <w:rFonts w:ascii="Times New Roman" w:hAnsi="Times New Roman" w:cs="Times New Roman"/>
          <w:sz w:val="24"/>
          <w:szCs w:val="24"/>
        </w:rPr>
        <w:t xml:space="preserve">205 of the Act when there was no denial placed before the court. </w:t>
      </w:r>
    </w:p>
    <w:p w14:paraId="69B8DFA6" w14:textId="77777777" w:rsidR="006529CF" w:rsidRPr="006529CF" w:rsidRDefault="006529CF" w:rsidP="006529CF">
      <w:pPr>
        <w:pStyle w:val="ListParagraph"/>
        <w:rPr>
          <w:rFonts w:ascii="Times New Roman" w:hAnsi="Times New Roman" w:cs="Times New Roman"/>
          <w:sz w:val="24"/>
          <w:szCs w:val="24"/>
        </w:rPr>
      </w:pPr>
    </w:p>
    <w:p w14:paraId="57BC3137" w14:textId="77777777" w:rsidR="006529CF" w:rsidRPr="006529CF" w:rsidRDefault="006529CF" w:rsidP="006529CF">
      <w:pPr>
        <w:spacing w:line="480" w:lineRule="auto"/>
        <w:jc w:val="both"/>
        <w:rPr>
          <w:rFonts w:ascii="Times New Roman" w:hAnsi="Times New Roman" w:cs="Times New Roman"/>
          <w:sz w:val="24"/>
          <w:szCs w:val="24"/>
        </w:rPr>
      </w:pPr>
    </w:p>
    <w:p w14:paraId="645B57D8" w14:textId="5010B812" w:rsidR="000953B8" w:rsidRDefault="002754F3" w:rsidP="006529CF">
      <w:pPr>
        <w:pStyle w:val="ListParagraph"/>
        <w:numPr>
          <w:ilvl w:val="0"/>
          <w:numId w:val="8"/>
        </w:numPr>
        <w:spacing w:line="480" w:lineRule="auto"/>
        <w:ind w:left="426" w:hanging="426"/>
        <w:jc w:val="both"/>
        <w:rPr>
          <w:rFonts w:ascii="Times New Roman" w:hAnsi="Times New Roman" w:cs="Times New Roman"/>
          <w:sz w:val="24"/>
          <w:szCs w:val="24"/>
        </w:rPr>
      </w:pPr>
      <w:r w:rsidRPr="003D1371">
        <w:rPr>
          <w:rFonts w:ascii="Times New Roman" w:hAnsi="Times New Roman" w:cs="Times New Roman"/>
          <w:sz w:val="24"/>
          <w:szCs w:val="24"/>
        </w:rPr>
        <w:t>On the issue of costs, M</w:t>
      </w:r>
      <w:r w:rsidR="00075E2F">
        <w:rPr>
          <w:rFonts w:ascii="Times New Roman" w:hAnsi="Times New Roman" w:cs="Times New Roman"/>
          <w:sz w:val="24"/>
          <w:szCs w:val="24"/>
        </w:rPr>
        <w:t>r</w:t>
      </w:r>
      <w:r w:rsidRPr="003D1371">
        <w:rPr>
          <w:rFonts w:ascii="Times New Roman" w:hAnsi="Times New Roman" w:cs="Times New Roman"/>
          <w:sz w:val="24"/>
          <w:szCs w:val="24"/>
        </w:rPr>
        <w:t>s</w:t>
      </w:r>
      <w:r w:rsidRPr="003D1371">
        <w:rPr>
          <w:rFonts w:ascii="Times New Roman" w:hAnsi="Times New Roman" w:cs="Times New Roman"/>
          <w:i/>
          <w:sz w:val="24"/>
          <w:szCs w:val="24"/>
        </w:rPr>
        <w:t xml:space="preserve"> Mabwe</w:t>
      </w:r>
      <w:r w:rsidR="000953B8" w:rsidRPr="003D1371">
        <w:rPr>
          <w:rFonts w:ascii="Times New Roman" w:hAnsi="Times New Roman" w:cs="Times New Roman"/>
          <w:sz w:val="24"/>
          <w:szCs w:val="24"/>
        </w:rPr>
        <w:t xml:space="preserve"> submitted that the court </w:t>
      </w:r>
      <w:r w:rsidR="009A492D" w:rsidRPr="003D1371">
        <w:rPr>
          <w:rFonts w:ascii="Times New Roman" w:hAnsi="Times New Roman" w:cs="Times New Roman"/>
          <w:i/>
          <w:sz w:val="24"/>
          <w:szCs w:val="24"/>
        </w:rPr>
        <w:t>a quo</w:t>
      </w:r>
      <w:r w:rsidR="000953B8" w:rsidRPr="003D1371">
        <w:rPr>
          <w:rFonts w:ascii="Times New Roman" w:hAnsi="Times New Roman" w:cs="Times New Roman"/>
          <w:sz w:val="24"/>
          <w:szCs w:val="24"/>
        </w:rPr>
        <w:t xml:space="preserve"> erred by awarding punitive costs without any justification. </w:t>
      </w:r>
      <w:r w:rsidR="006529CF">
        <w:rPr>
          <w:rFonts w:ascii="Times New Roman" w:hAnsi="Times New Roman" w:cs="Times New Roman"/>
          <w:sz w:val="24"/>
          <w:szCs w:val="24"/>
        </w:rPr>
        <w:t xml:space="preserve"> </w:t>
      </w:r>
      <w:r w:rsidR="000953B8" w:rsidRPr="003D1371">
        <w:rPr>
          <w:rFonts w:ascii="Times New Roman" w:hAnsi="Times New Roman" w:cs="Times New Roman"/>
          <w:sz w:val="24"/>
          <w:szCs w:val="24"/>
        </w:rPr>
        <w:t xml:space="preserve">According to counsel, the court </w:t>
      </w:r>
      <w:r w:rsidR="009A492D" w:rsidRPr="003D1371">
        <w:rPr>
          <w:rFonts w:ascii="Times New Roman" w:hAnsi="Times New Roman" w:cs="Times New Roman"/>
          <w:i/>
          <w:sz w:val="24"/>
          <w:szCs w:val="24"/>
        </w:rPr>
        <w:t>a quo</w:t>
      </w:r>
      <w:r w:rsidR="000953B8" w:rsidRPr="003D1371">
        <w:rPr>
          <w:rFonts w:ascii="Times New Roman" w:hAnsi="Times New Roman" w:cs="Times New Roman"/>
          <w:sz w:val="24"/>
          <w:szCs w:val="24"/>
        </w:rPr>
        <w:t xml:space="preserve"> ought to have stated the compelling factors</w:t>
      </w:r>
      <w:r w:rsidRPr="003D1371">
        <w:rPr>
          <w:rFonts w:ascii="Times New Roman" w:hAnsi="Times New Roman" w:cs="Times New Roman"/>
          <w:sz w:val="24"/>
          <w:szCs w:val="24"/>
        </w:rPr>
        <w:t xml:space="preserve"> which resulted in mulcting the </w:t>
      </w:r>
      <w:r w:rsidR="000953B8" w:rsidRPr="003D1371">
        <w:rPr>
          <w:rFonts w:ascii="Times New Roman" w:hAnsi="Times New Roman" w:cs="Times New Roman"/>
          <w:sz w:val="24"/>
          <w:szCs w:val="24"/>
        </w:rPr>
        <w:t xml:space="preserve">appellant with punitive costs. </w:t>
      </w:r>
      <w:r w:rsidR="006529CF">
        <w:rPr>
          <w:rFonts w:ascii="Times New Roman" w:hAnsi="Times New Roman" w:cs="Times New Roman"/>
          <w:sz w:val="24"/>
          <w:szCs w:val="24"/>
        </w:rPr>
        <w:t xml:space="preserve"> </w:t>
      </w:r>
      <w:r w:rsidR="000953B8" w:rsidRPr="003D1371">
        <w:rPr>
          <w:rFonts w:ascii="Times New Roman" w:hAnsi="Times New Roman" w:cs="Times New Roman"/>
          <w:sz w:val="24"/>
          <w:szCs w:val="24"/>
        </w:rPr>
        <w:t>She submitted that the costs ought to have been on an ordinary scale.</w:t>
      </w:r>
    </w:p>
    <w:p w14:paraId="61C9CCC5" w14:textId="77777777" w:rsidR="006529CF" w:rsidRPr="003D1371" w:rsidRDefault="006529CF" w:rsidP="006529CF">
      <w:pPr>
        <w:pStyle w:val="ListParagraph"/>
        <w:spacing w:after="0" w:line="240" w:lineRule="auto"/>
        <w:ind w:left="426"/>
        <w:jc w:val="both"/>
        <w:rPr>
          <w:rFonts w:ascii="Times New Roman" w:hAnsi="Times New Roman" w:cs="Times New Roman"/>
          <w:sz w:val="24"/>
          <w:szCs w:val="24"/>
        </w:rPr>
      </w:pPr>
    </w:p>
    <w:p w14:paraId="21B1EFD9" w14:textId="3DE8D33C" w:rsidR="006529CF" w:rsidRDefault="00D56451" w:rsidP="006529CF">
      <w:pPr>
        <w:pStyle w:val="ListParagraph"/>
        <w:numPr>
          <w:ilvl w:val="0"/>
          <w:numId w:val="8"/>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Mr</w:t>
      </w:r>
      <w:r w:rsidR="00E57998" w:rsidRPr="00075E2F">
        <w:rPr>
          <w:rFonts w:ascii="Times New Roman" w:hAnsi="Times New Roman" w:cs="Times New Roman"/>
          <w:sz w:val="24"/>
          <w:szCs w:val="24"/>
        </w:rPr>
        <w:t xml:space="preserve"> </w:t>
      </w:r>
      <w:r w:rsidR="00E57998" w:rsidRPr="00075E2F">
        <w:rPr>
          <w:rFonts w:ascii="Times New Roman" w:hAnsi="Times New Roman" w:cs="Times New Roman"/>
          <w:i/>
          <w:sz w:val="24"/>
          <w:szCs w:val="24"/>
        </w:rPr>
        <w:t>Chibanda</w:t>
      </w:r>
      <w:r w:rsidR="00E57998" w:rsidRPr="00075E2F">
        <w:rPr>
          <w:rFonts w:ascii="Times New Roman" w:hAnsi="Times New Roman" w:cs="Times New Roman"/>
          <w:sz w:val="24"/>
          <w:szCs w:val="24"/>
        </w:rPr>
        <w:t xml:space="preserve"> </w:t>
      </w:r>
      <w:r w:rsidR="000953B8" w:rsidRPr="00075E2F">
        <w:rPr>
          <w:rFonts w:ascii="Times New Roman" w:hAnsi="Times New Roman" w:cs="Times New Roman"/>
          <w:sz w:val="24"/>
          <w:szCs w:val="24"/>
        </w:rPr>
        <w:t xml:space="preserve">for the second respondent submitted that </w:t>
      </w:r>
      <w:r w:rsidR="000D1AB3" w:rsidRPr="00075E2F">
        <w:rPr>
          <w:rFonts w:ascii="Times New Roman" w:hAnsi="Times New Roman" w:cs="Times New Roman"/>
          <w:sz w:val="24"/>
          <w:szCs w:val="24"/>
        </w:rPr>
        <w:t>the second respondent was going to abide by the</w:t>
      </w:r>
      <w:r w:rsidR="00075E2F">
        <w:rPr>
          <w:rFonts w:ascii="Times New Roman" w:hAnsi="Times New Roman" w:cs="Times New Roman"/>
          <w:sz w:val="24"/>
          <w:szCs w:val="24"/>
        </w:rPr>
        <w:t xml:space="preserve"> judgement of the</w:t>
      </w:r>
      <w:r w:rsidR="000D1AB3" w:rsidRPr="00075E2F">
        <w:rPr>
          <w:rFonts w:ascii="Times New Roman" w:hAnsi="Times New Roman" w:cs="Times New Roman"/>
          <w:sz w:val="24"/>
          <w:szCs w:val="24"/>
        </w:rPr>
        <w:t xml:space="preserve"> court</w:t>
      </w:r>
      <w:r w:rsidR="00075E2F">
        <w:rPr>
          <w:rFonts w:ascii="Times New Roman" w:hAnsi="Times New Roman" w:cs="Times New Roman"/>
          <w:sz w:val="24"/>
          <w:szCs w:val="24"/>
        </w:rPr>
        <w:t>.</w:t>
      </w:r>
    </w:p>
    <w:p w14:paraId="7AF9989D" w14:textId="77777777" w:rsidR="00075E2F" w:rsidRPr="00075E2F" w:rsidRDefault="00075E2F" w:rsidP="00075E2F">
      <w:pPr>
        <w:pStyle w:val="ListParagraph"/>
        <w:rPr>
          <w:rFonts w:ascii="Times New Roman" w:hAnsi="Times New Roman" w:cs="Times New Roman"/>
          <w:sz w:val="24"/>
          <w:szCs w:val="24"/>
        </w:rPr>
      </w:pPr>
    </w:p>
    <w:p w14:paraId="3FFD7EE3" w14:textId="77777777" w:rsidR="00075E2F" w:rsidRPr="00075E2F" w:rsidRDefault="00075E2F" w:rsidP="00075E2F">
      <w:pPr>
        <w:pStyle w:val="ListParagraph"/>
        <w:spacing w:after="0" w:line="240" w:lineRule="auto"/>
        <w:ind w:left="426"/>
        <w:jc w:val="both"/>
        <w:rPr>
          <w:rFonts w:ascii="Times New Roman" w:hAnsi="Times New Roman" w:cs="Times New Roman"/>
          <w:sz w:val="24"/>
          <w:szCs w:val="24"/>
        </w:rPr>
      </w:pPr>
    </w:p>
    <w:p w14:paraId="58156959" w14:textId="1C9304E4" w:rsidR="001F2D18" w:rsidRDefault="000953B8" w:rsidP="006529CF">
      <w:pPr>
        <w:pStyle w:val="ListParagraph"/>
        <w:numPr>
          <w:ilvl w:val="0"/>
          <w:numId w:val="8"/>
        </w:numPr>
        <w:spacing w:line="480" w:lineRule="auto"/>
        <w:ind w:left="426" w:hanging="426"/>
        <w:jc w:val="both"/>
        <w:rPr>
          <w:rFonts w:ascii="Times New Roman" w:hAnsi="Times New Roman" w:cs="Times New Roman"/>
          <w:sz w:val="24"/>
          <w:szCs w:val="24"/>
        </w:rPr>
      </w:pPr>
      <w:r w:rsidRPr="003D1371">
        <w:rPr>
          <w:rFonts w:ascii="Times New Roman" w:hAnsi="Times New Roman" w:cs="Times New Roman"/>
          <w:i/>
          <w:sz w:val="24"/>
          <w:szCs w:val="24"/>
        </w:rPr>
        <w:t>Per contra</w:t>
      </w:r>
      <w:r w:rsidR="00D56451">
        <w:rPr>
          <w:rFonts w:ascii="Times New Roman" w:hAnsi="Times New Roman" w:cs="Times New Roman"/>
          <w:sz w:val="24"/>
          <w:szCs w:val="24"/>
        </w:rPr>
        <w:t>, Mr</w:t>
      </w:r>
      <w:r w:rsidR="00A26245" w:rsidRPr="003D1371">
        <w:rPr>
          <w:rFonts w:ascii="Times New Roman" w:hAnsi="Times New Roman" w:cs="Times New Roman"/>
          <w:sz w:val="24"/>
          <w:szCs w:val="24"/>
        </w:rPr>
        <w:t xml:space="preserve"> </w:t>
      </w:r>
      <w:r w:rsidR="00A26245" w:rsidRPr="003D1371">
        <w:rPr>
          <w:rFonts w:ascii="Times New Roman" w:hAnsi="Times New Roman" w:cs="Times New Roman"/>
          <w:i/>
          <w:sz w:val="24"/>
          <w:szCs w:val="24"/>
        </w:rPr>
        <w:t xml:space="preserve">Nyangani </w:t>
      </w:r>
      <w:r w:rsidRPr="003D1371">
        <w:rPr>
          <w:rFonts w:ascii="Times New Roman" w:hAnsi="Times New Roman" w:cs="Times New Roman"/>
          <w:sz w:val="24"/>
          <w:szCs w:val="24"/>
        </w:rPr>
        <w:t xml:space="preserve">for the third respondent submitted that the court </w:t>
      </w:r>
      <w:r w:rsidR="009A492D" w:rsidRPr="003D1371">
        <w:rPr>
          <w:rFonts w:ascii="Times New Roman" w:hAnsi="Times New Roman" w:cs="Times New Roman"/>
          <w:i/>
          <w:sz w:val="24"/>
          <w:szCs w:val="24"/>
        </w:rPr>
        <w:t>a quo</w:t>
      </w:r>
      <w:r w:rsidRPr="003D1371">
        <w:rPr>
          <w:rFonts w:ascii="Times New Roman" w:hAnsi="Times New Roman" w:cs="Times New Roman"/>
          <w:i/>
          <w:sz w:val="24"/>
          <w:szCs w:val="24"/>
        </w:rPr>
        <w:t>,</w:t>
      </w:r>
      <w:r w:rsidRPr="003D1371">
        <w:rPr>
          <w:rFonts w:ascii="Times New Roman" w:hAnsi="Times New Roman" w:cs="Times New Roman"/>
          <w:sz w:val="24"/>
          <w:szCs w:val="24"/>
        </w:rPr>
        <w:t xml:space="preserve"> in determining the issue of validity of the land allocation, had to determine whether the actions by the first respondent were legal. </w:t>
      </w:r>
      <w:r w:rsidR="006529CF">
        <w:rPr>
          <w:rFonts w:ascii="Times New Roman" w:hAnsi="Times New Roman" w:cs="Times New Roman"/>
          <w:sz w:val="24"/>
          <w:szCs w:val="24"/>
        </w:rPr>
        <w:t xml:space="preserve"> </w:t>
      </w:r>
      <w:r w:rsidRPr="003D1371">
        <w:rPr>
          <w:rFonts w:ascii="Times New Roman" w:hAnsi="Times New Roman" w:cs="Times New Roman"/>
          <w:sz w:val="24"/>
          <w:szCs w:val="24"/>
        </w:rPr>
        <w:t xml:space="preserve">According to counsel, it was common cause that the land in question belongs to the State and that the appellant purports to derive its rights from an allocation by the first respondent, who </w:t>
      </w:r>
      <w:r w:rsidR="00C06172" w:rsidRPr="003D1371">
        <w:rPr>
          <w:rFonts w:ascii="Times New Roman" w:hAnsi="Times New Roman" w:cs="Times New Roman"/>
          <w:sz w:val="24"/>
          <w:szCs w:val="24"/>
        </w:rPr>
        <w:t xml:space="preserve">is not the owner of the land. </w:t>
      </w:r>
      <w:r w:rsidR="006529CF">
        <w:rPr>
          <w:rFonts w:ascii="Times New Roman" w:hAnsi="Times New Roman" w:cs="Times New Roman"/>
          <w:sz w:val="24"/>
          <w:szCs w:val="24"/>
        </w:rPr>
        <w:t xml:space="preserve"> </w:t>
      </w:r>
      <w:r w:rsidR="00C06172" w:rsidRPr="003D1371">
        <w:rPr>
          <w:rFonts w:ascii="Times New Roman" w:hAnsi="Times New Roman" w:cs="Times New Roman"/>
          <w:sz w:val="24"/>
          <w:szCs w:val="24"/>
        </w:rPr>
        <w:t>Counsel</w:t>
      </w:r>
      <w:r w:rsidRPr="003D1371">
        <w:rPr>
          <w:rFonts w:ascii="Times New Roman" w:hAnsi="Times New Roman" w:cs="Times New Roman"/>
          <w:sz w:val="24"/>
          <w:szCs w:val="24"/>
        </w:rPr>
        <w:t xml:space="preserve"> submitted that the third respondent was allocated the land by the second respondent, who is the rightful owner. </w:t>
      </w:r>
    </w:p>
    <w:p w14:paraId="51344EE4" w14:textId="77777777" w:rsidR="006529CF" w:rsidRPr="006529CF" w:rsidRDefault="006529CF" w:rsidP="006529CF">
      <w:pPr>
        <w:spacing w:after="0" w:line="240" w:lineRule="auto"/>
        <w:jc w:val="both"/>
        <w:rPr>
          <w:rFonts w:ascii="Times New Roman" w:hAnsi="Times New Roman" w:cs="Times New Roman"/>
          <w:sz w:val="24"/>
          <w:szCs w:val="24"/>
        </w:rPr>
      </w:pPr>
    </w:p>
    <w:p w14:paraId="487764C2" w14:textId="65640CC8" w:rsidR="000953B8" w:rsidRPr="003D1371" w:rsidRDefault="00D56451" w:rsidP="006529CF">
      <w:pPr>
        <w:pStyle w:val="ListParagraph"/>
        <w:numPr>
          <w:ilvl w:val="0"/>
          <w:numId w:val="8"/>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Mr</w:t>
      </w:r>
      <w:r w:rsidR="00B508EF" w:rsidRPr="003D1371">
        <w:rPr>
          <w:rFonts w:ascii="Times New Roman" w:hAnsi="Times New Roman" w:cs="Times New Roman"/>
          <w:sz w:val="24"/>
          <w:szCs w:val="24"/>
        </w:rPr>
        <w:t xml:space="preserve"> </w:t>
      </w:r>
      <w:r w:rsidR="00B508EF" w:rsidRPr="003D1371">
        <w:rPr>
          <w:rFonts w:ascii="Times New Roman" w:hAnsi="Times New Roman" w:cs="Times New Roman"/>
          <w:i/>
          <w:sz w:val="24"/>
          <w:szCs w:val="24"/>
        </w:rPr>
        <w:t>Nyangani</w:t>
      </w:r>
      <w:r w:rsidR="00075E2F">
        <w:rPr>
          <w:rFonts w:ascii="Times New Roman" w:hAnsi="Times New Roman" w:cs="Times New Roman"/>
          <w:i/>
          <w:sz w:val="24"/>
          <w:szCs w:val="24"/>
        </w:rPr>
        <w:t xml:space="preserve">, </w:t>
      </w:r>
      <w:r w:rsidR="00075E2F" w:rsidRPr="00075E2F">
        <w:rPr>
          <w:rFonts w:ascii="Times New Roman" w:hAnsi="Times New Roman" w:cs="Times New Roman"/>
          <w:iCs/>
          <w:sz w:val="24"/>
          <w:szCs w:val="24"/>
        </w:rPr>
        <w:t>further</w:t>
      </w:r>
      <w:r w:rsidR="00D65315">
        <w:rPr>
          <w:rFonts w:ascii="Times New Roman" w:hAnsi="Times New Roman" w:cs="Times New Roman"/>
          <w:iCs/>
          <w:sz w:val="24"/>
          <w:szCs w:val="24"/>
        </w:rPr>
        <w:t>,</w:t>
      </w:r>
      <w:r w:rsidR="00023293">
        <w:rPr>
          <w:rFonts w:ascii="Times New Roman" w:hAnsi="Times New Roman" w:cs="Times New Roman"/>
          <w:sz w:val="24"/>
          <w:szCs w:val="24"/>
        </w:rPr>
        <w:t xml:space="preserve"> </w:t>
      </w:r>
      <w:r w:rsidR="00ED0D71" w:rsidRPr="003D1371">
        <w:rPr>
          <w:rFonts w:ascii="Times New Roman" w:hAnsi="Times New Roman" w:cs="Times New Roman"/>
          <w:sz w:val="24"/>
          <w:szCs w:val="24"/>
        </w:rPr>
        <w:t>submitted</w:t>
      </w:r>
      <w:r w:rsidR="000953B8" w:rsidRPr="003D1371">
        <w:rPr>
          <w:rFonts w:ascii="Times New Roman" w:hAnsi="Times New Roman" w:cs="Times New Roman"/>
          <w:sz w:val="24"/>
          <w:szCs w:val="24"/>
        </w:rPr>
        <w:t xml:space="preserve"> that following the provisions under section 205 of the Act was the only basis upon which the first respondent could validly allocate State land to an</w:t>
      </w:r>
      <w:r w:rsidR="00ED0D71" w:rsidRPr="003D1371">
        <w:rPr>
          <w:rFonts w:ascii="Times New Roman" w:hAnsi="Times New Roman" w:cs="Times New Roman"/>
          <w:sz w:val="24"/>
          <w:szCs w:val="24"/>
        </w:rPr>
        <w:t xml:space="preserve">y person or entity. He </w:t>
      </w:r>
      <w:r w:rsidR="00075E2F">
        <w:rPr>
          <w:rFonts w:ascii="Times New Roman" w:hAnsi="Times New Roman" w:cs="Times New Roman"/>
          <w:sz w:val="24"/>
          <w:szCs w:val="24"/>
        </w:rPr>
        <w:t xml:space="preserve">also </w:t>
      </w:r>
      <w:r w:rsidR="00ED0D71" w:rsidRPr="003D1371">
        <w:rPr>
          <w:rFonts w:ascii="Times New Roman" w:hAnsi="Times New Roman" w:cs="Times New Roman"/>
          <w:sz w:val="24"/>
          <w:szCs w:val="24"/>
        </w:rPr>
        <w:t xml:space="preserve">submitted </w:t>
      </w:r>
      <w:r w:rsidR="000953B8" w:rsidRPr="003D1371">
        <w:rPr>
          <w:rFonts w:ascii="Times New Roman" w:hAnsi="Times New Roman" w:cs="Times New Roman"/>
          <w:sz w:val="24"/>
          <w:szCs w:val="24"/>
        </w:rPr>
        <w:t xml:space="preserve">that the court </w:t>
      </w:r>
      <w:r w:rsidR="009A492D" w:rsidRPr="003D1371">
        <w:rPr>
          <w:rFonts w:ascii="Times New Roman" w:hAnsi="Times New Roman" w:cs="Times New Roman"/>
          <w:i/>
          <w:iCs/>
          <w:sz w:val="24"/>
          <w:szCs w:val="24"/>
        </w:rPr>
        <w:t>a quo</w:t>
      </w:r>
      <w:r w:rsidR="000953B8" w:rsidRPr="003D1371">
        <w:rPr>
          <w:rFonts w:ascii="Times New Roman" w:hAnsi="Times New Roman" w:cs="Times New Roman"/>
          <w:sz w:val="24"/>
          <w:szCs w:val="24"/>
        </w:rPr>
        <w:t xml:space="preserve"> correctly held that there was non-compliance with the law, thereby invalidating the allocation of the land to the app</w:t>
      </w:r>
      <w:r w:rsidR="006529CF">
        <w:rPr>
          <w:rFonts w:ascii="Times New Roman" w:hAnsi="Times New Roman" w:cs="Times New Roman"/>
          <w:sz w:val="24"/>
          <w:szCs w:val="24"/>
        </w:rPr>
        <w:t xml:space="preserve">ellant by the first respondent.  </w:t>
      </w:r>
      <w:r w:rsidR="000953B8" w:rsidRPr="003D1371">
        <w:rPr>
          <w:rFonts w:ascii="Times New Roman" w:hAnsi="Times New Roman" w:cs="Times New Roman"/>
          <w:sz w:val="24"/>
          <w:szCs w:val="24"/>
        </w:rPr>
        <w:t>According to counsel, as lon</w:t>
      </w:r>
      <w:r w:rsidR="006529CF">
        <w:rPr>
          <w:rFonts w:ascii="Times New Roman" w:hAnsi="Times New Roman" w:cs="Times New Roman"/>
          <w:sz w:val="24"/>
          <w:szCs w:val="24"/>
        </w:rPr>
        <w:t xml:space="preserve">g as the dictates under s </w:t>
      </w:r>
      <w:r w:rsidR="000953B8" w:rsidRPr="003D1371">
        <w:rPr>
          <w:rFonts w:ascii="Times New Roman" w:hAnsi="Times New Roman" w:cs="Times New Roman"/>
          <w:sz w:val="24"/>
          <w:szCs w:val="24"/>
        </w:rPr>
        <w:t xml:space="preserve">205 (3) of the Act were not complied with, the actions of the first respondent were a legal nullity. Counsel argued that there was no misdirection on the part of the court </w:t>
      </w:r>
      <w:r w:rsidR="009A492D" w:rsidRPr="003D1371">
        <w:rPr>
          <w:rFonts w:ascii="Times New Roman" w:hAnsi="Times New Roman" w:cs="Times New Roman"/>
          <w:i/>
          <w:sz w:val="24"/>
          <w:szCs w:val="24"/>
        </w:rPr>
        <w:t>a quo</w:t>
      </w:r>
      <w:r w:rsidR="006529CF">
        <w:rPr>
          <w:rFonts w:ascii="Times New Roman" w:hAnsi="Times New Roman" w:cs="Times New Roman"/>
          <w:sz w:val="24"/>
          <w:szCs w:val="24"/>
        </w:rPr>
        <w:t xml:space="preserve">.  </w:t>
      </w:r>
      <w:r w:rsidR="00622B0A" w:rsidRPr="003D1371">
        <w:rPr>
          <w:rFonts w:ascii="Times New Roman" w:hAnsi="Times New Roman" w:cs="Times New Roman"/>
          <w:sz w:val="24"/>
          <w:szCs w:val="24"/>
        </w:rPr>
        <w:t xml:space="preserve">He further argued </w:t>
      </w:r>
      <w:r w:rsidR="000953B8" w:rsidRPr="003D1371">
        <w:rPr>
          <w:rFonts w:ascii="Times New Roman" w:hAnsi="Times New Roman" w:cs="Times New Roman"/>
          <w:sz w:val="24"/>
          <w:szCs w:val="24"/>
        </w:rPr>
        <w:t>that a resolution cannot override the law and cannot be lawful if it violates the law.</w:t>
      </w:r>
    </w:p>
    <w:p w14:paraId="27612FC2" w14:textId="77777777" w:rsidR="000953B8" w:rsidRDefault="000953B8" w:rsidP="006529CF">
      <w:pPr>
        <w:pStyle w:val="ListParagraph"/>
        <w:numPr>
          <w:ilvl w:val="0"/>
          <w:numId w:val="8"/>
        </w:numPr>
        <w:spacing w:line="480" w:lineRule="auto"/>
        <w:ind w:left="426" w:hanging="426"/>
        <w:jc w:val="both"/>
        <w:rPr>
          <w:rFonts w:ascii="Times New Roman" w:hAnsi="Times New Roman" w:cs="Times New Roman"/>
          <w:sz w:val="24"/>
          <w:szCs w:val="24"/>
        </w:rPr>
      </w:pPr>
      <w:r w:rsidRPr="003D1371">
        <w:rPr>
          <w:rFonts w:ascii="Times New Roman" w:hAnsi="Times New Roman" w:cs="Times New Roman"/>
          <w:sz w:val="24"/>
          <w:szCs w:val="24"/>
        </w:rPr>
        <w:lastRenderedPageBreak/>
        <w:t>On the issue of costs, counsel conceded that the failure to give reasons for awarding punitive costs was an irregularity thus, the appeal ought to partly succeed with costs on an ordinary scale.</w:t>
      </w:r>
    </w:p>
    <w:p w14:paraId="506B7114" w14:textId="77777777" w:rsidR="00864F27" w:rsidRPr="003D1371" w:rsidRDefault="00864F27" w:rsidP="00864F27">
      <w:pPr>
        <w:pStyle w:val="ListParagraph"/>
        <w:spacing w:after="0" w:line="240" w:lineRule="auto"/>
        <w:ind w:left="426"/>
        <w:jc w:val="both"/>
        <w:rPr>
          <w:rFonts w:ascii="Times New Roman" w:hAnsi="Times New Roman" w:cs="Times New Roman"/>
          <w:sz w:val="24"/>
          <w:szCs w:val="24"/>
        </w:rPr>
      </w:pPr>
    </w:p>
    <w:p w14:paraId="5671F1AD" w14:textId="77777777" w:rsidR="00486613" w:rsidRPr="003D1371" w:rsidRDefault="00486613" w:rsidP="00864F27">
      <w:pPr>
        <w:spacing w:after="0" w:line="480" w:lineRule="auto"/>
        <w:jc w:val="both"/>
        <w:rPr>
          <w:rFonts w:ascii="Times New Roman" w:hAnsi="Times New Roman" w:cs="Times New Roman"/>
          <w:b/>
          <w:sz w:val="24"/>
          <w:szCs w:val="24"/>
          <w:u w:val="single"/>
        </w:rPr>
      </w:pPr>
      <w:r w:rsidRPr="003D1371">
        <w:rPr>
          <w:rFonts w:ascii="Times New Roman" w:hAnsi="Times New Roman" w:cs="Times New Roman"/>
          <w:b/>
          <w:sz w:val="24"/>
          <w:szCs w:val="24"/>
          <w:u w:val="single"/>
        </w:rPr>
        <w:t>ISSUES FOR DETERMINATION</w:t>
      </w:r>
    </w:p>
    <w:p w14:paraId="6C516FA2" w14:textId="77777777" w:rsidR="00CD32A5" w:rsidRPr="003D1371" w:rsidRDefault="00CD32A5" w:rsidP="00864F27">
      <w:pPr>
        <w:pStyle w:val="ListParagraph"/>
        <w:numPr>
          <w:ilvl w:val="0"/>
          <w:numId w:val="8"/>
        </w:numPr>
        <w:spacing w:line="480" w:lineRule="auto"/>
        <w:ind w:left="426" w:hanging="426"/>
        <w:jc w:val="both"/>
        <w:rPr>
          <w:rFonts w:ascii="Times New Roman" w:hAnsi="Times New Roman" w:cs="Times New Roman"/>
          <w:sz w:val="24"/>
          <w:szCs w:val="24"/>
        </w:rPr>
      </w:pPr>
      <w:r w:rsidRPr="003D1371">
        <w:rPr>
          <w:rFonts w:ascii="Times New Roman" w:hAnsi="Times New Roman" w:cs="Times New Roman"/>
          <w:sz w:val="24"/>
          <w:szCs w:val="24"/>
        </w:rPr>
        <w:t>The issues for determination are as follows:</w:t>
      </w:r>
    </w:p>
    <w:p w14:paraId="0B348860" w14:textId="74D37DF0" w:rsidR="004A7C8D" w:rsidRPr="003D1371" w:rsidRDefault="004A7C8D" w:rsidP="00864F27">
      <w:pPr>
        <w:pStyle w:val="ListParagraph"/>
        <w:numPr>
          <w:ilvl w:val="0"/>
          <w:numId w:val="6"/>
        </w:numPr>
        <w:spacing w:after="0" w:line="480" w:lineRule="auto"/>
        <w:jc w:val="both"/>
        <w:rPr>
          <w:rFonts w:ascii="Times New Roman" w:hAnsi="Times New Roman" w:cs="Times New Roman"/>
          <w:sz w:val="24"/>
          <w:szCs w:val="24"/>
        </w:rPr>
      </w:pPr>
      <w:r w:rsidRPr="003D1371">
        <w:rPr>
          <w:rFonts w:ascii="Times New Roman" w:hAnsi="Times New Roman" w:cs="Times New Roman"/>
          <w:sz w:val="24"/>
          <w:szCs w:val="24"/>
        </w:rPr>
        <w:t>Whether or not the allocation of the stands by the first respondent to the appellant was a nullity</w:t>
      </w:r>
      <w:r w:rsidR="00023293">
        <w:rPr>
          <w:rFonts w:ascii="Times New Roman" w:hAnsi="Times New Roman" w:cs="Times New Roman"/>
          <w:sz w:val="24"/>
          <w:szCs w:val="24"/>
        </w:rPr>
        <w:t>.</w:t>
      </w:r>
    </w:p>
    <w:p w14:paraId="79607B5A" w14:textId="58105ACE" w:rsidR="00486613" w:rsidRDefault="004A7C8D" w:rsidP="00864F27">
      <w:pPr>
        <w:pStyle w:val="ListParagraph"/>
        <w:numPr>
          <w:ilvl w:val="0"/>
          <w:numId w:val="6"/>
        </w:numPr>
        <w:spacing w:after="0" w:line="480" w:lineRule="auto"/>
        <w:jc w:val="both"/>
        <w:rPr>
          <w:rFonts w:ascii="Times New Roman" w:hAnsi="Times New Roman" w:cs="Times New Roman"/>
          <w:sz w:val="24"/>
          <w:szCs w:val="24"/>
        </w:rPr>
      </w:pPr>
      <w:r w:rsidRPr="003D1371">
        <w:rPr>
          <w:rFonts w:ascii="Times New Roman" w:hAnsi="Times New Roman" w:cs="Times New Roman"/>
          <w:sz w:val="24"/>
          <w:szCs w:val="24"/>
        </w:rPr>
        <w:t xml:space="preserve"> Whether or not the award f</w:t>
      </w:r>
      <w:r w:rsidR="00864F27">
        <w:rPr>
          <w:rFonts w:ascii="Times New Roman" w:hAnsi="Times New Roman" w:cs="Times New Roman"/>
          <w:sz w:val="24"/>
          <w:szCs w:val="24"/>
        </w:rPr>
        <w:t>or punitive costs was justified.</w:t>
      </w:r>
    </w:p>
    <w:p w14:paraId="36B1A4E9" w14:textId="77777777" w:rsidR="00864F27" w:rsidRPr="003D1371" w:rsidRDefault="00864F27" w:rsidP="00864F27">
      <w:pPr>
        <w:pStyle w:val="ListParagraph"/>
        <w:spacing w:after="0" w:line="240" w:lineRule="auto"/>
        <w:ind w:left="1080"/>
        <w:jc w:val="both"/>
        <w:rPr>
          <w:rFonts w:ascii="Times New Roman" w:hAnsi="Times New Roman" w:cs="Times New Roman"/>
          <w:sz w:val="24"/>
          <w:szCs w:val="24"/>
        </w:rPr>
      </w:pPr>
    </w:p>
    <w:p w14:paraId="0569198B" w14:textId="77777777" w:rsidR="004A7C8D" w:rsidRPr="003D1371" w:rsidRDefault="004A7C8D" w:rsidP="00864F27">
      <w:pPr>
        <w:spacing w:after="0" w:line="480" w:lineRule="auto"/>
        <w:jc w:val="both"/>
        <w:rPr>
          <w:rFonts w:ascii="Times New Roman" w:hAnsi="Times New Roman" w:cs="Times New Roman"/>
          <w:b/>
          <w:sz w:val="24"/>
          <w:szCs w:val="24"/>
          <w:u w:val="single"/>
        </w:rPr>
      </w:pPr>
      <w:r w:rsidRPr="003D1371">
        <w:rPr>
          <w:rFonts w:ascii="Times New Roman" w:hAnsi="Times New Roman" w:cs="Times New Roman"/>
          <w:b/>
          <w:sz w:val="24"/>
          <w:szCs w:val="24"/>
          <w:u w:val="single"/>
        </w:rPr>
        <w:t>APPLICATION OF THE LAW TO THE FACTS</w:t>
      </w:r>
    </w:p>
    <w:p w14:paraId="2C05A810" w14:textId="77777777" w:rsidR="00640306" w:rsidRPr="00864F27" w:rsidRDefault="00640306" w:rsidP="00864F27">
      <w:pPr>
        <w:spacing w:after="0" w:line="480" w:lineRule="auto"/>
        <w:ind w:left="360"/>
        <w:jc w:val="both"/>
        <w:rPr>
          <w:rFonts w:ascii="Times New Roman" w:hAnsi="Times New Roman" w:cs="Times New Roman"/>
          <w:b/>
          <w:sz w:val="24"/>
          <w:szCs w:val="24"/>
        </w:rPr>
      </w:pPr>
      <w:r w:rsidRPr="00864F27">
        <w:rPr>
          <w:rFonts w:ascii="Times New Roman" w:hAnsi="Times New Roman" w:cs="Times New Roman"/>
          <w:b/>
          <w:sz w:val="24"/>
          <w:szCs w:val="24"/>
        </w:rPr>
        <w:t xml:space="preserve">Whether or not the allocation of the stands by the first respondent to the appellant was a nullity? </w:t>
      </w:r>
    </w:p>
    <w:p w14:paraId="700D3AFC" w14:textId="690B8050" w:rsidR="003F6498" w:rsidRDefault="00F021BC" w:rsidP="00864F27">
      <w:pPr>
        <w:pStyle w:val="ListParagraph"/>
        <w:numPr>
          <w:ilvl w:val="0"/>
          <w:numId w:val="8"/>
        </w:numPr>
        <w:spacing w:line="480" w:lineRule="auto"/>
        <w:ind w:left="426" w:hanging="426"/>
        <w:jc w:val="both"/>
        <w:rPr>
          <w:rFonts w:ascii="Times New Roman" w:hAnsi="Times New Roman" w:cs="Times New Roman"/>
          <w:sz w:val="24"/>
          <w:szCs w:val="24"/>
        </w:rPr>
      </w:pPr>
      <w:r w:rsidRPr="003D1371">
        <w:rPr>
          <w:rFonts w:ascii="Times New Roman" w:hAnsi="Times New Roman" w:cs="Times New Roman"/>
          <w:sz w:val="24"/>
          <w:szCs w:val="24"/>
        </w:rPr>
        <w:t xml:space="preserve">The appellant’s contention is that </w:t>
      </w:r>
      <w:r w:rsidR="00174DC2" w:rsidRPr="003D1371">
        <w:rPr>
          <w:rFonts w:ascii="Times New Roman" w:hAnsi="Times New Roman" w:cs="Times New Roman"/>
          <w:sz w:val="24"/>
          <w:szCs w:val="24"/>
        </w:rPr>
        <w:t xml:space="preserve">the court </w:t>
      </w:r>
      <w:r w:rsidR="009A492D" w:rsidRPr="003D1371">
        <w:rPr>
          <w:rFonts w:ascii="Times New Roman" w:hAnsi="Times New Roman" w:cs="Times New Roman"/>
          <w:i/>
          <w:sz w:val="24"/>
          <w:szCs w:val="24"/>
        </w:rPr>
        <w:t>a quo</w:t>
      </w:r>
      <w:r w:rsidR="00174DC2" w:rsidRPr="003D1371">
        <w:rPr>
          <w:rFonts w:ascii="Times New Roman" w:hAnsi="Times New Roman" w:cs="Times New Roman"/>
          <w:i/>
          <w:sz w:val="24"/>
          <w:szCs w:val="24"/>
        </w:rPr>
        <w:t xml:space="preserve"> </w:t>
      </w:r>
      <w:r w:rsidR="00174DC2" w:rsidRPr="003D1371">
        <w:rPr>
          <w:rFonts w:ascii="Times New Roman" w:hAnsi="Times New Roman" w:cs="Times New Roman"/>
          <w:sz w:val="24"/>
          <w:szCs w:val="24"/>
        </w:rPr>
        <w:t xml:space="preserve">erred by finding that the allocation of the stands in question </w:t>
      </w:r>
      <w:r w:rsidR="00B2085A">
        <w:rPr>
          <w:rFonts w:ascii="Times New Roman" w:hAnsi="Times New Roman" w:cs="Times New Roman"/>
          <w:sz w:val="24"/>
          <w:szCs w:val="24"/>
        </w:rPr>
        <w:t xml:space="preserve">by the first respondent </w:t>
      </w:r>
      <w:r w:rsidR="00174DC2" w:rsidRPr="003D1371">
        <w:rPr>
          <w:rFonts w:ascii="Times New Roman" w:hAnsi="Times New Roman" w:cs="Times New Roman"/>
          <w:sz w:val="24"/>
          <w:szCs w:val="24"/>
        </w:rPr>
        <w:t xml:space="preserve">was a nullity as it was not done in accordance with the law. </w:t>
      </w:r>
    </w:p>
    <w:p w14:paraId="2BC4D496" w14:textId="77777777" w:rsidR="00864F27" w:rsidRPr="003D1371" w:rsidRDefault="00864F27" w:rsidP="00864F27">
      <w:pPr>
        <w:pStyle w:val="ListParagraph"/>
        <w:spacing w:after="0" w:line="240" w:lineRule="auto"/>
        <w:ind w:left="426"/>
        <w:jc w:val="both"/>
        <w:rPr>
          <w:rFonts w:ascii="Times New Roman" w:hAnsi="Times New Roman" w:cs="Times New Roman"/>
          <w:sz w:val="24"/>
          <w:szCs w:val="24"/>
        </w:rPr>
      </w:pPr>
    </w:p>
    <w:p w14:paraId="469CD932" w14:textId="6C5A650C" w:rsidR="003F6498" w:rsidRPr="003D1371" w:rsidRDefault="003F6498" w:rsidP="00864F27">
      <w:pPr>
        <w:pStyle w:val="ListParagraph"/>
        <w:numPr>
          <w:ilvl w:val="0"/>
          <w:numId w:val="8"/>
        </w:numPr>
        <w:spacing w:after="0" w:line="480" w:lineRule="auto"/>
        <w:ind w:left="426" w:hanging="426"/>
        <w:jc w:val="both"/>
        <w:rPr>
          <w:rFonts w:ascii="Times New Roman" w:hAnsi="Times New Roman" w:cs="Times New Roman"/>
          <w:sz w:val="24"/>
          <w:szCs w:val="24"/>
        </w:rPr>
      </w:pPr>
      <w:r w:rsidRPr="003D1371">
        <w:rPr>
          <w:rFonts w:ascii="Times New Roman" w:hAnsi="Times New Roman" w:cs="Times New Roman"/>
          <w:sz w:val="24"/>
          <w:szCs w:val="24"/>
        </w:rPr>
        <w:t>It is pertinent to cite the provi</w:t>
      </w:r>
      <w:r w:rsidR="00D65315">
        <w:rPr>
          <w:rFonts w:ascii="Times New Roman" w:hAnsi="Times New Roman" w:cs="Times New Roman"/>
          <w:sz w:val="24"/>
          <w:szCs w:val="24"/>
        </w:rPr>
        <w:t xml:space="preserve">sions in contention. Section 205 </w:t>
      </w:r>
      <w:r w:rsidR="008C3786" w:rsidRPr="003D1371">
        <w:rPr>
          <w:rFonts w:ascii="Times New Roman" w:hAnsi="Times New Roman" w:cs="Times New Roman"/>
          <w:sz w:val="24"/>
          <w:szCs w:val="24"/>
        </w:rPr>
        <w:t>(1) and (3)</w:t>
      </w:r>
      <w:r w:rsidRPr="003D1371">
        <w:rPr>
          <w:rFonts w:ascii="Times New Roman" w:hAnsi="Times New Roman" w:cs="Times New Roman"/>
          <w:sz w:val="24"/>
          <w:szCs w:val="24"/>
        </w:rPr>
        <w:t xml:space="preserve"> of the Act provides as follows:</w:t>
      </w:r>
    </w:p>
    <w:p w14:paraId="0A45328D" w14:textId="2EB7922E" w:rsidR="003F6498" w:rsidRPr="003D1371" w:rsidRDefault="003F6498" w:rsidP="00864F27">
      <w:pPr>
        <w:tabs>
          <w:tab w:val="left" w:pos="1134"/>
        </w:tabs>
        <w:spacing w:line="240" w:lineRule="auto"/>
        <w:jc w:val="both"/>
        <w:rPr>
          <w:rFonts w:ascii="Times New Roman" w:hAnsi="Times New Roman" w:cs="Times New Roman"/>
          <w:sz w:val="24"/>
          <w:szCs w:val="24"/>
        </w:rPr>
      </w:pPr>
      <w:r w:rsidRPr="003D1371">
        <w:rPr>
          <w:rFonts w:ascii="Times New Roman" w:hAnsi="Times New Roman" w:cs="Times New Roman"/>
          <w:sz w:val="24"/>
          <w:szCs w:val="24"/>
        </w:rPr>
        <w:tab/>
      </w:r>
      <w:r w:rsidR="007321EB" w:rsidRPr="003D1371">
        <w:rPr>
          <w:rFonts w:ascii="Times New Roman" w:hAnsi="Times New Roman" w:cs="Times New Roman"/>
          <w:sz w:val="24"/>
          <w:szCs w:val="24"/>
        </w:rPr>
        <w:t>“</w:t>
      </w:r>
      <w:r w:rsidRPr="003D1371">
        <w:rPr>
          <w:rFonts w:ascii="Times New Roman" w:hAnsi="Times New Roman" w:cs="Times New Roman"/>
          <w:b/>
          <w:bCs/>
          <w:sz w:val="24"/>
          <w:szCs w:val="24"/>
        </w:rPr>
        <w:t xml:space="preserve">205 Estate development </w:t>
      </w:r>
    </w:p>
    <w:p w14:paraId="1BB10778" w14:textId="77777777" w:rsidR="003F6498" w:rsidRPr="003D1371" w:rsidRDefault="003F6498" w:rsidP="00864F27">
      <w:pPr>
        <w:spacing w:line="240" w:lineRule="auto"/>
        <w:ind w:left="1440" w:hanging="306"/>
        <w:jc w:val="both"/>
        <w:rPr>
          <w:rFonts w:ascii="Times New Roman" w:hAnsi="Times New Roman" w:cs="Times New Roman"/>
          <w:sz w:val="24"/>
          <w:szCs w:val="24"/>
          <w:u w:val="single"/>
        </w:rPr>
      </w:pPr>
      <w:r w:rsidRPr="00864F27">
        <w:rPr>
          <w:rFonts w:ascii="Times New Roman" w:hAnsi="Times New Roman" w:cs="Times New Roman"/>
          <w:sz w:val="24"/>
          <w:szCs w:val="24"/>
        </w:rPr>
        <w:t>(1)</w:t>
      </w:r>
      <w:r w:rsidRPr="003D1371">
        <w:rPr>
          <w:rFonts w:ascii="Times New Roman" w:hAnsi="Times New Roman" w:cs="Times New Roman"/>
          <w:sz w:val="24"/>
          <w:szCs w:val="24"/>
          <w:u w:val="single"/>
        </w:rPr>
        <w:t xml:space="preserve"> Subject to this section, a council shall have power and authority inside or outside the council area or in a local government area, the administration, control and management or which has been vested in the council, on its own land or on State land— </w:t>
      </w:r>
    </w:p>
    <w:p w14:paraId="71783B91" w14:textId="77777777" w:rsidR="003F6498" w:rsidRPr="003D1371" w:rsidRDefault="003F6498" w:rsidP="00864F27">
      <w:pPr>
        <w:spacing w:line="240" w:lineRule="auto"/>
        <w:ind w:left="1985" w:hanging="425"/>
        <w:jc w:val="both"/>
        <w:rPr>
          <w:rFonts w:ascii="Times New Roman" w:hAnsi="Times New Roman" w:cs="Times New Roman"/>
          <w:sz w:val="24"/>
          <w:szCs w:val="24"/>
        </w:rPr>
      </w:pPr>
      <w:r w:rsidRPr="003D1371">
        <w:rPr>
          <w:rFonts w:ascii="Times New Roman" w:hAnsi="Times New Roman" w:cs="Times New Roman"/>
          <w:sz w:val="24"/>
          <w:szCs w:val="24"/>
        </w:rPr>
        <w:t xml:space="preserve">(a) to lay out and service any such land for residential, commercial or industrial purposes; </w:t>
      </w:r>
    </w:p>
    <w:p w14:paraId="2C9213A0" w14:textId="432B595D" w:rsidR="003F6498" w:rsidRPr="003D1371" w:rsidRDefault="003F6498" w:rsidP="00864F27">
      <w:pPr>
        <w:spacing w:line="240" w:lineRule="auto"/>
        <w:ind w:left="1985" w:hanging="425"/>
        <w:jc w:val="both"/>
        <w:rPr>
          <w:rFonts w:ascii="Times New Roman" w:hAnsi="Times New Roman" w:cs="Times New Roman"/>
          <w:sz w:val="24"/>
          <w:szCs w:val="24"/>
        </w:rPr>
      </w:pPr>
      <w:r w:rsidRPr="003D1371">
        <w:rPr>
          <w:rFonts w:ascii="Times New Roman" w:hAnsi="Times New Roman" w:cs="Times New Roman"/>
          <w:sz w:val="24"/>
          <w:szCs w:val="24"/>
        </w:rPr>
        <w:t xml:space="preserve">(b) to construct buildings on such land for residential, commercial or industrial purposes; </w:t>
      </w:r>
    </w:p>
    <w:p w14:paraId="7B07B4F7" w14:textId="77777777" w:rsidR="003F6498" w:rsidRPr="003D1371" w:rsidRDefault="003F6498" w:rsidP="00864F27">
      <w:pPr>
        <w:spacing w:line="240" w:lineRule="auto"/>
        <w:ind w:left="1701" w:hanging="261"/>
        <w:jc w:val="both"/>
        <w:rPr>
          <w:rFonts w:ascii="Times New Roman" w:hAnsi="Times New Roman" w:cs="Times New Roman"/>
          <w:sz w:val="24"/>
          <w:szCs w:val="24"/>
        </w:rPr>
      </w:pPr>
      <w:r w:rsidRPr="00864F27">
        <w:rPr>
          <w:rFonts w:ascii="Times New Roman" w:hAnsi="Times New Roman" w:cs="Times New Roman"/>
          <w:sz w:val="24"/>
          <w:szCs w:val="24"/>
        </w:rPr>
        <w:lastRenderedPageBreak/>
        <w:t>(</w:t>
      </w:r>
      <w:r w:rsidRPr="00864F27">
        <w:rPr>
          <w:rFonts w:ascii="Times New Roman" w:hAnsi="Times New Roman" w:cs="Times New Roman"/>
          <w:iCs/>
          <w:sz w:val="24"/>
          <w:szCs w:val="24"/>
        </w:rPr>
        <w:t>c</w:t>
      </w:r>
      <w:r w:rsidRPr="00864F27">
        <w:rPr>
          <w:rFonts w:ascii="Times New Roman" w:hAnsi="Times New Roman" w:cs="Times New Roman"/>
          <w:sz w:val="24"/>
          <w:szCs w:val="24"/>
        </w:rPr>
        <w:t>)</w:t>
      </w:r>
      <w:r w:rsidRPr="003D1371">
        <w:rPr>
          <w:rFonts w:ascii="Times New Roman" w:hAnsi="Times New Roman" w:cs="Times New Roman"/>
          <w:sz w:val="24"/>
          <w:szCs w:val="24"/>
          <w:u w:val="single"/>
        </w:rPr>
        <w:t xml:space="preserve"> in accordance with section </w:t>
      </w:r>
      <w:r w:rsidRPr="003D1371">
        <w:rPr>
          <w:rFonts w:ascii="Times New Roman" w:hAnsi="Times New Roman" w:cs="Times New Roman"/>
          <w:i/>
          <w:iCs/>
          <w:sz w:val="24"/>
          <w:szCs w:val="24"/>
          <w:u w:val="single"/>
        </w:rPr>
        <w:t>one hundred and fifty-two</w:t>
      </w:r>
      <w:r w:rsidRPr="003D1371">
        <w:rPr>
          <w:rFonts w:ascii="Times New Roman" w:hAnsi="Times New Roman" w:cs="Times New Roman"/>
          <w:sz w:val="24"/>
          <w:szCs w:val="24"/>
          <w:u w:val="single"/>
        </w:rPr>
        <w:t>, to sell, exchange, lease, donate or otherwise dispose of or permit the use of such land or buildings and improvements for residential, commercial or industrial purposes</w:t>
      </w:r>
      <w:r w:rsidRPr="003D1371">
        <w:rPr>
          <w:rFonts w:ascii="Times New Roman" w:hAnsi="Times New Roman" w:cs="Times New Roman"/>
          <w:sz w:val="24"/>
          <w:szCs w:val="24"/>
        </w:rPr>
        <w:t xml:space="preserve">. </w:t>
      </w:r>
    </w:p>
    <w:p w14:paraId="71B671BF" w14:textId="77777777" w:rsidR="003F6498" w:rsidRPr="003D1371" w:rsidRDefault="003F6498" w:rsidP="00864F27">
      <w:pPr>
        <w:spacing w:line="240" w:lineRule="auto"/>
        <w:ind w:left="1440" w:hanging="306"/>
        <w:jc w:val="both"/>
        <w:rPr>
          <w:rFonts w:ascii="Times New Roman" w:hAnsi="Times New Roman" w:cs="Times New Roman"/>
          <w:sz w:val="24"/>
          <w:szCs w:val="24"/>
        </w:rPr>
      </w:pPr>
      <w:r w:rsidRPr="003D1371">
        <w:rPr>
          <w:rFonts w:ascii="Times New Roman" w:hAnsi="Times New Roman" w:cs="Times New Roman"/>
          <w:sz w:val="24"/>
          <w:szCs w:val="24"/>
        </w:rPr>
        <w:t xml:space="preserve">(2) </w:t>
      </w:r>
      <w:r w:rsidR="005718E4" w:rsidRPr="003D1371">
        <w:rPr>
          <w:rFonts w:ascii="Times New Roman" w:hAnsi="Times New Roman" w:cs="Times New Roman"/>
          <w:sz w:val="24"/>
          <w:szCs w:val="24"/>
        </w:rPr>
        <w:t>Subject to this section, the council shall have power and authority to purchase or to hire land or building for the purposes of subsection (1).</w:t>
      </w:r>
    </w:p>
    <w:p w14:paraId="7F369CB3" w14:textId="77777777" w:rsidR="003F6498" w:rsidRPr="003D1371" w:rsidRDefault="003F6498" w:rsidP="00864F27">
      <w:pPr>
        <w:spacing w:line="240" w:lineRule="auto"/>
        <w:ind w:left="1440" w:hanging="306"/>
        <w:jc w:val="both"/>
        <w:rPr>
          <w:rFonts w:ascii="Times New Roman" w:hAnsi="Times New Roman" w:cs="Times New Roman"/>
          <w:sz w:val="24"/>
          <w:szCs w:val="24"/>
        </w:rPr>
      </w:pPr>
      <w:r w:rsidRPr="003D1371">
        <w:rPr>
          <w:rFonts w:ascii="Times New Roman" w:hAnsi="Times New Roman" w:cs="Times New Roman"/>
          <w:sz w:val="24"/>
          <w:szCs w:val="24"/>
        </w:rPr>
        <w:t xml:space="preserve">(3) </w:t>
      </w:r>
      <w:r w:rsidRPr="002428C4">
        <w:rPr>
          <w:rFonts w:ascii="Times New Roman" w:hAnsi="Times New Roman" w:cs="Times New Roman"/>
          <w:sz w:val="24"/>
          <w:szCs w:val="24"/>
          <w:u w:val="single"/>
        </w:rPr>
        <w:t>Before exercising any power or authority in terms of subsection (1) or (2), the council shall submit the proposal to exercise such power and authority to the Minister for his app</w:t>
      </w:r>
      <w:r w:rsidR="00096C4B" w:rsidRPr="002428C4">
        <w:rPr>
          <w:rFonts w:ascii="Times New Roman" w:hAnsi="Times New Roman" w:cs="Times New Roman"/>
          <w:sz w:val="24"/>
          <w:szCs w:val="24"/>
          <w:u w:val="single"/>
        </w:rPr>
        <w:t>roval in terms of this section</w:t>
      </w:r>
      <w:r w:rsidR="00096C4B" w:rsidRPr="003D1371">
        <w:rPr>
          <w:rFonts w:ascii="Times New Roman" w:hAnsi="Times New Roman" w:cs="Times New Roman"/>
          <w:sz w:val="24"/>
          <w:szCs w:val="24"/>
        </w:rPr>
        <w:t>…</w:t>
      </w:r>
      <w:r w:rsidR="007321EB" w:rsidRPr="003D1371">
        <w:rPr>
          <w:rFonts w:ascii="Times New Roman" w:hAnsi="Times New Roman" w:cs="Times New Roman"/>
          <w:sz w:val="24"/>
          <w:szCs w:val="24"/>
        </w:rPr>
        <w:t>”</w:t>
      </w:r>
      <w:r w:rsidR="00660D8C" w:rsidRPr="003D1371">
        <w:rPr>
          <w:rFonts w:ascii="Times New Roman" w:hAnsi="Times New Roman" w:cs="Times New Roman"/>
          <w:sz w:val="24"/>
          <w:szCs w:val="24"/>
        </w:rPr>
        <w:t xml:space="preserve"> (Underlining for emphasis)</w:t>
      </w:r>
    </w:p>
    <w:p w14:paraId="6D268A04" w14:textId="77777777" w:rsidR="00BC2CEF" w:rsidRPr="003D1371" w:rsidRDefault="00BC2CEF" w:rsidP="00864F27">
      <w:pPr>
        <w:spacing w:after="0" w:line="240" w:lineRule="auto"/>
        <w:ind w:left="1440"/>
        <w:jc w:val="both"/>
        <w:rPr>
          <w:rFonts w:ascii="Times New Roman" w:hAnsi="Times New Roman" w:cs="Times New Roman"/>
          <w:sz w:val="24"/>
          <w:szCs w:val="24"/>
        </w:rPr>
      </w:pPr>
    </w:p>
    <w:p w14:paraId="7A89B98E" w14:textId="4C41B8F9" w:rsidR="00DA7D7A" w:rsidRDefault="00033BE0" w:rsidP="00864F27">
      <w:pPr>
        <w:pStyle w:val="ListParagraph"/>
        <w:numPr>
          <w:ilvl w:val="0"/>
          <w:numId w:val="8"/>
        </w:numPr>
        <w:spacing w:line="480" w:lineRule="auto"/>
        <w:ind w:left="426" w:hanging="426"/>
        <w:jc w:val="both"/>
        <w:rPr>
          <w:rFonts w:ascii="Times New Roman" w:hAnsi="Times New Roman" w:cs="Times New Roman"/>
          <w:sz w:val="24"/>
          <w:szCs w:val="24"/>
        </w:rPr>
      </w:pPr>
      <w:r w:rsidRPr="003D1371">
        <w:rPr>
          <w:rFonts w:ascii="Times New Roman" w:hAnsi="Times New Roman" w:cs="Times New Roman"/>
          <w:sz w:val="24"/>
          <w:szCs w:val="24"/>
        </w:rPr>
        <w:t>The import of the above provision is that the first respondent has the authority to alienate S</w:t>
      </w:r>
      <w:r w:rsidR="00D11DA1" w:rsidRPr="003D1371">
        <w:rPr>
          <w:rFonts w:ascii="Times New Roman" w:hAnsi="Times New Roman" w:cs="Times New Roman"/>
          <w:sz w:val="24"/>
          <w:szCs w:val="24"/>
        </w:rPr>
        <w:t>tate land, which power</w:t>
      </w:r>
      <w:r w:rsidRPr="003D1371">
        <w:rPr>
          <w:rFonts w:ascii="Times New Roman" w:hAnsi="Times New Roman" w:cs="Times New Roman"/>
          <w:sz w:val="24"/>
          <w:szCs w:val="24"/>
        </w:rPr>
        <w:t xml:space="preserve"> can only be exercised with the approval of the Minister responsible</w:t>
      </w:r>
      <w:r w:rsidR="00D633AF" w:rsidRPr="003D1371">
        <w:rPr>
          <w:rFonts w:ascii="Times New Roman" w:hAnsi="Times New Roman" w:cs="Times New Roman"/>
          <w:sz w:val="24"/>
          <w:szCs w:val="24"/>
        </w:rPr>
        <w:t>.</w:t>
      </w:r>
      <w:r w:rsidR="00864F27">
        <w:rPr>
          <w:rFonts w:ascii="Times New Roman" w:hAnsi="Times New Roman" w:cs="Times New Roman"/>
          <w:sz w:val="24"/>
          <w:szCs w:val="24"/>
        </w:rPr>
        <w:t xml:space="preserve">  </w:t>
      </w:r>
      <w:r w:rsidR="007C4886" w:rsidRPr="003D1371">
        <w:rPr>
          <w:rFonts w:ascii="Times New Roman" w:hAnsi="Times New Roman" w:cs="Times New Roman"/>
          <w:sz w:val="24"/>
          <w:szCs w:val="24"/>
        </w:rPr>
        <w:t>It is an established principle that the</w:t>
      </w:r>
      <w:r w:rsidR="003148EF" w:rsidRPr="003D1371">
        <w:rPr>
          <w:rFonts w:ascii="Times New Roman" w:hAnsi="Times New Roman" w:cs="Times New Roman"/>
          <w:sz w:val="24"/>
          <w:szCs w:val="24"/>
        </w:rPr>
        <w:t xml:space="preserve"> use of the word “shall” in</w:t>
      </w:r>
      <w:r w:rsidR="007C4886" w:rsidRPr="003D1371">
        <w:rPr>
          <w:rFonts w:ascii="Times New Roman" w:hAnsi="Times New Roman" w:cs="Times New Roman"/>
          <w:sz w:val="24"/>
          <w:szCs w:val="24"/>
        </w:rPr>
        <w:t xml:space="preserve"> a statutory provision</w:t>
      </w:r>
      <w:r w:rsidR="003148EF" w:rsidRPr="003D1371">
        <w:rPr>
          <w:rFonts w:ascii="Times New Roman" w:hAnsi="Times New Roman" w:cs="Times New Roman"/>
          <w:sz w:val="24"/>
          <w:szCs w:val="24"/>
        </w:rPr>
        <w:t xml:space="preserve"> </w:t>
      </w:r>
      <w:r w:rsidR="007C4886" w:rsidRPr="003D1371">
        <w:rPr>
          <w:rFonts w:ascii="Times New Roman" w:hAnsi="Times New Roman" w:cs="Times New Roman"/>
          <w:sz w:val="24"/>
          <w:szCs w:val="24"/>
        </w:rPr>
        <w:t xml:space="preserve">denotes </w:t>
      </w:r>
      <w:r w:rsidR="003148EF" w:rsidRPr="003D1371">
        <w:rPr>
          <w:rFonts w:ascii="Times New Roman" w:hAnsi="Times New Roman" w:cs="Times New Roman"/>
          <w:sz w:val="24"/>
          <w:szCs w:val="24"/>
        </w:rPr>
        <w:t xml:space="preserve">the legislature’s intention of imposing </w:t>
      </w:r>
      <w:r w:rsidR="007C4886" w:rsidRPr="003D1371">
        <w:rPr>
          <w:rFonts w:ascii="Times New Roman" w:hAnsi="Times New Roman" w:cs="Times New Roman"/>
          <w:sz w:val="24"/>
          <w:szCs w:val="24"/>
        </w:rPr>
        <w:t xml:space="preserve">a </w:t>
      </w:r>
      <w:r w:rsidR="003148EF" w:rsidRPr="003D1371">
        <w:rPr>
          <w:rFonts w:ascii="Times New Roman" w:hAnsi="Times New Roman" w:cs="Times New Roman"/>
          <w:sz w:val="24"/>
          <w:szCs w:val="24"/>
        </w:rPr>
        <w:t>mandatory or peremptory obligation</w:t>
      </w:r>
      <w:r w:rsidR="00DA7D7A" w:rsidRPr="003D1371">
        <w:rPr>
          <w:rFonts w:ascii="Times New Roman" w:hAnsi="Times New Roman" w:cs="Times New Roman"/>
          <w:sz w:val="24"/>
          <w:szCs w:val="24"/>
        </w:rPr>
        <w:t xml:space="preserve"> as opposed to the use of the word "may," which typically suggests a permissive or discretionary provision.</w:t>
      </w:r>
    </w:p>
    <w:p w14:paraId="1061F988" w14:textId="77777777" w:rsidR="00864F27" w:rsidRPr="003D1371" w:rsidRDefault="00864F27" w:rsidP="00864F27">
      <w:pPr>
        <w:pStyle w:val="ListParagraph"/>
        <w:spacing w:after="0" w:line="240" w:lineRule="auto"/>
        <w:ind w:left="426"/>
        <w:jc w:val="both"/>
        <w:rPr>
          <w:rFonts w:ascii="Times New Roman" w:hAnsi="Times New Roman" w:cs="Times New Roman"/>
          <w:sz w:val="24"/>
          <w:szCs w:val="24"/>
        </w:rPr>
      </w:pPr>
    </w:p>
    <w:p w14:paraId="10A07167" w14:textId="4CBF5537" w:rsidR="00CA1091" w:rsidRPr="003D1371" w:rsidRDefault="00CA1091" w:rsidP="00864F27">
      <w:pPr>
        <w:pStyle w:val="ListParagraph"/>
        <w:numPr>
          <w:ilvl w:val="0"/>
          <w:numId w:val="8"/>
        </w:numPr>
        <w:spacing w:after="0" w:line="480" w:lineRule="auto"/>
        <w:ind w:left="426" w:hanging="426"/>
        <w:jc w:val="both"/>
        <w:rPr>
          <w:rFonts w:ascii="Times New Roman" w:hAnsi="Times New Roman" w:cs="Times New Roman"/>
          <w:sz w:val="24"/>
          <w:szCs w:val="24"/>
        </w:rPr>
      </w:pPr>
      <w:r w:rsidRPr="003D1371">
        <w:rPr>
          <w:rFonts w:ascii="Times New Roman" w:hAnsi="Times New Roman" w:cs="Times New Roman"/>
          <w:sz w:val="24"/>
          <w:szCs w:val="24"/>
        </w:rPr>
        <w:t xml:space="preserve">In </w:t>
      </w:r>
      <w:r w:rsidRPr="003D1371">
        <w:rPr>
          <w:rFonts w:ascii="Times New Roman" w:hAnsi="Times New Roman" w:cs="Times New Roman"/>
          <w:i/>
          <w:sz w:val="24"/>
          <w:szCs w:val="24"/>
        </w:rPr>
        <w:t xml:space="preserve">Mukwaira </w:t>
      </w:r>
      <w:r w:rsidRPr="003D1371">
        <w:rPr>
          <w:rFonts w:ascii="Times New Roman" w:hAnsi="Times New Roman" w:cs="Times New Roman"/>
          <w:sz w:val="24"/>
          <w:szCs w:val="24"/>
        </w:rPr>
        <w:t xml:space="preserve">v </w:t>
      </w:r>
      <w:r w:rsidRPr="003D1371">
        <w:rPr>
          <w:rFonts w:ascii="Times New Roman" w:hAnsi="Times New Roman" w:cs="Times New Roman"/>
          <w:i/>
          <w:sz w:val="24"/>
          <w:szCs w:val="24"/>
        </w:rPr>
        <w:t>Minister of Lands, Agriculture, Fisheries, Water &amp; Rural Resettlement</w:t>
      </w:r>
      <w:r w:rsidR="00F172F7" w:rsidRPr="003D1371">
        <w:rPr>
          <w:rFonts w:ascii="Times New Roman" w:hAnsi="Times New Roman" w:cs="Times New Roman"/>
          <w:i/>
          <w:sz w:val="24"/>
          <w:szCs w:val="24"/>
        </w:rPr>
        <w:t xml:space="preserve"> </w:t>
      </w:r>
      <w:r w:rsidR="00864F27">
        <w:rPr>
          <w:rFonts w:ascii="Times New Roman" w:hAnsi="Times New Roman" w:cs="Times New Roman"/>
          <w:i/>
          <w:sz w:val="24"/>
          <w:szCs w:val="24"/>
        </w:rPr>
        <w:t xml:space="preserve">                        </w:t>
      </w:r>
      <w:r w:rsidR="00864F27">
        <w:rPr>
          <w:rFonts w:ascii="Times New Roman" w:hAnsi="Times New Roman" w:cs="Times New Roman"/>
          <w:sz w:val="24"/>
          <w:szCs w:val="24"/>
        </w:rPr>
        <w:t xml:space="preserve">SC 15/24, at p </w:t>
      </w:r>
      <w:r w:rsidR="00F172F7" w:rsidRPr="003D1371">
        <w:rPr>
          <w:rFonts w:ascii="Times New Roman" w:hAnsi="Times New Roman" w:cs="Times New Roman"/>
          <w:sz w:val="24"/>
          <w:szCs w:val="24"/>
        </w:rPr>
        <w:t xml:space="preserve">15, the following </w:t>
      </w:r>
      <w:r w:rsidR="002428C4">
        <w:rPr>
          <w:rFonts w:ascii="Times New Roman" w:hAnsi="Times New Roman" w:cs="Times New Roman"/>
          <w:sz w:val="24"/>
          <w:szCs w:val="24"/>
        </w:rPr>
        <w:t xml:space="preserve">pertinent </w:t>
      </w:r>
      <w:r w:rsidR="00F172F7" w:rsidRPr="003D1371">
        <w:rPr>
          <w:rFonts w:ascii="Times New Roman" w:hAnsi="Times New Roman" w:cs="Times New Roman"/>
          <w:sz w:val="24"/>
          <w:szCs w:val="24"/>
        </w:rPr>
        <w:t xml:space="preserve">sentiments were </w:t>
      </w:r>
      <w:r w:rsidR="002428C4">
        <w:rPr>
          <w:rFonts w:ascii="Times New Roman" w:hAnsi="Times New Roman" w:cs="Times New Roman"/>
          <w:sz w:val="24"/>
          <w:szCs w:val="24"/>
        </w:rPr>
        <w:t>made</w:t>
      </w:r>
      <w:r w:rsidR="00F172F7" w:rsidRPr="003D1371">
        <w:rPr>
          <w:rFonts w:ascii="Times New Roman" w:hAnsi="Times New Roman" w:cs="Times New Roman"/>
          <w:sz w:val="24"/>
          <w:szCs w:val="24"/>
        </w:rPr>
        <w:t>:</w:t>
      </w:r>
    </w:p>
    <w:p w14:paraId="762B36C9" w14:textId="77777777" w:rsidR="0029013D" w:rsidRDefault="0029013D" w:rsidP="00864F27">
      <w:pPr>
        <w:spacing w:line="240" w:lineRule="auto"/>
        <w:ind w:left="1276" w:hanging="142"/>
        <w:jc w:val="both"/>
        <w:rPr>
          <w:rFonts w:ascii="Times New Roman" w:eastAsia="Calibri" w:hAnsi="Times New Roman" w:cs="Times New Roman"/>
          <w:iCs/>
          <w:sz w:val="24"/>
          <w:szCs w:val="24"/>
          <w:lang w:val="en-GB"/>
        </w:rPr>
      </w:pPr>
      <w:r w:rsidRPr="003D1371">
        <w:rPr>
          <w:rFonts w:ascii="Times New Roman" w:eastAsia="Calibri" w:hAnsi="Times New Roman" w:cs="Times New Roman"/>
          <w:iCs/>
          <w:sz w:val="24"/>
          <w:szCs w:val="24"/>
        </w:rPr>
        <w:t>“I</w:t>
      </w:r>
      <w:r w:rsidRPr="003D1371">
        <w:rPr>
          <w:rFonts w:ascii="Times New Roman" w:eastAsia="Calibri" w:hAnsi="Times New Roman" w:cs="Times New Roman"/>
          <w:iCs/>
          <w:sz w:val="24"/>
          <w:szCs w:val="24"/>
          <w:lang w:val="en-GB"/>
        </w:rPr>
        <w:t>t is trite that where the word ‘shall’ is used it denotes a mandatory requirement.  Thus, the use of the word “shall” in s 3 (1) (c) is imperative – it denotes that the section is peremptory, and thus compliance with its provisions is mandatory.”</w:t>
      </w:r>
    </w:p>
    <w:p w14:paraId="3F19B196" w14:textId="77777777" w:rsidR="00864F27" w:rsidRPr="003D1371" w:rsidRDefault="00864F27" w:rsidP="00864F27">
      <w:pPr>
        <w:spacing w:line="240" w:lineRule="auto"/>
        <w:ind w:left="1276" w:hanging="142"/>
        <w:jc w:val="both"/>
        <w:rPr>
          <w:rFonts w:ascii="Times New Roman" w:eastAsia="Calibri" w:hAnsi="Times New Roman" w:cs="Times New Roman"/>
          <w:iCs/>
          <w:sz w:val="24"/>
          <w:szCs w:val="24"/>
          <w:lang w:val="en-GB"/>
        </w:rPr>
      </w:pPr>
    </w:p>
    <w:p w14:paraId="72E1A9F6" w14:textId="77777777" w:rsidR="001D74C3" w:rsidRPr="003D1371" w:rsidRDefault="001D74C3" w:rsidP="00864F27">
      <w:pPr>
        <w:pStyle w:val="ListParagraph"/>
        <w:numPr>
          <w:ilvl w:val="0"/>
          <w:numId w:val="8"/>
        </w:numPr>
        <w:spacing w:after="0" w:line="480" w:lineRule="auto"/>
        <w:ind w:left="426" w:hanging="426"/>
        <w:jc w:val="both"/>
        <w:rPr>
          <w:rFonts w:ascii="Times New Roman" w:hAnsi="Times New Roman" w:cs="Times New Roman"/>
          <w:sz w:val="24"/>
          <w:szCs w:val="24"/>
        </w:rPr>
      </w:pPr>
      <w:r w:rsidRPr="003D1371">
        <w:rPr>
          <w:rFonts w:ascii="Times New Roman" w:hAnsi="Times New Roman" w:cs="Times New Roman"/>
          <w:sz w:val="24"/>
          <w:szCs w:val="24"/>
        </w:rPr>
        <w:t>Similarly, i</w:t>
      </w:r>
      <w:r w:rsidR="00B743D9" w:rsidRPr="003D1371">
        <w:rPr>
          <w:rFonts w:ascii="Times New Roman" w:hAnsi="Times New Roman" w:cs="Times New Roman"/>
          <w:sz w:val="24"/>
          <w:szCs w:val="24"/>
        </w:rPr>
        <w:t xml:space="preserve">n </w:t>
      </w:r>
      <w:r w:rsidR="00B743D9" w:rsidRPr="003D1371">
        <w:rPr>
          <w:rFonts w:ascii="Times New Roman" w:hAnsi="Times New Roman" w:cs="Times New Roman"/>
          <w:i/>
          <w:sz w:val="24"/>
          <w:szCs w:val="24"/>
        </w:rPr>
        <w:t>Shumba</w:t>
      </w:r>
      <w:r w:rsidRPr="003D1371">
        <w:rPr>
          <w:rFonts w:ascii="Times New Roman" w:hAnsi="Times New Roman" w:cs="Times New Roman"/>
          <w:sz w:val="24"/>
          <w:szCs w:val="24"/>
        </w:rPr>
        <w:t xml:space="preserve"> </w:t>
      </w:r>
      <w:r w:rsidRPr="003D1371">
        <w:rPr>
          <w:rFonts w:ascii="Times New Roman" w:hAnsi="Times New Roman" w:cs="Times New Roman"/>
          <w:i/>
          <w:sz w:val="24"/>
          <w:szCs w:val="24"/>
        </w:rPr>
        <w:t>&amp;</w:t>
      </w:r>
      <w:r w:rsidR="00B743D9" w:rsidRPr="003D1371">
        <w:rPr>
          <w:rFonts w:ascii="Times New Roman" w:hAnsi="Times New Roman" w:cs="Times New Roman"/>
          <w:i/>
          <w:sz w:val="24"/>
          <w:szCs w:val="24"/>
        </w:rPr>
        <w:t xml:space="preserve"> Anor</w:t>
      </w:r>
      <w:r w:rsidR="00B743D9" w:rsidRPr="003D1371">
        <w:rPr>
          <w:rFonts w:ascii="Times New Roman" w:hAnsi="Times New Roman" w:cs="Times New Roman"/>
          <w:sz w:val="24"/>
          <w:szCs w:val="24"/>
        </w:rPr>
        <w:t xml:space="preserve"> v </w:t>
      </w:r>
      <w:r w:rsidRPr="003D1371">
        <w:rPr>
          <w:rFonts w:ascii="Times New Roman" w:hAnsi="Times New Roman" w:cs="Times New Roman"/>
          <w:i/>
          <w:sz w:val="24"/>
          <w:szCs w:val="24"/>
        </w:rPr>
        <w:t>ZEC &amp;</w:t>
      </w:r>
      <w:r w:rsidR="00B743D9" w:rsidRPr="003D1371">
        <w:rPr>
          <w:rFonts w:ascii="Times New Roman" w:hAnsi="Times New Roman" w:cs="Times New Roman"/>
          <w:i/>
          <w:sz w:val="24"/>
          <w:szCs w:val="24"/>
        </w:rPr>
        <w:t xml:space="preserve"> Anor</w:t>
      </w:r>
      <w:r w:rsidR="00B743D9" w:rsidRPr="003D1371">
        <w:rPr>
          <w:rFonts w:ascii="Times New Roman" w:hAnsi="Times New Roman" w:cs="Times New Roman"/>
          <w:sz w:val="24"/>
          <w:szCs w:val="24"/>
        </w:rPr>
        <w:t xml:space="preserve"> 2008 (2) ZLR 65 (S) at 80 D-G, this Court held: </w:t>
      </w:r>
    </w:p>
    <w:p w14:paraId="564246C4" w14:textId="77777777" w:rsidR="001D74C3" w:rsidRDefault="00B743D9" w:rsidP="00864F27">
      <w:pPr>
        <w:spacing w:line="240" w:lineRule="auto"/>
        <w:ind w:left="1134"/>
        <w:jc w:val="both"/>
        <w:rPr>
          <w:rFonts w:ascii="Times New Roman" w:hAnsi="Times New Roman" w:cs="Times New Roman"/>
          <w:sz w:val="24"/>
          <w:szCs w:val="24"/>
        </w:rPr>
      </w:pPr>
      <w:r w:rsidRPr="003D1371">
        <w:rPr>
          <w:rFonts w:ascii="Times New Roman" w:hAnsi="Times New Roman" w:cs="Times New Roman"/>
          <w:sz w:val="24"/>
          <w:szCs w:val="24"/>
        </w:rPr>
        <w:t xml:space="preserve">“It is the generally accepted rule of interpretation that the use of peremptory words such as “shall” as opposed to “may” is indicative of the legislature’s intention to make the provision peremptory. The use of the word “may” as opposed to “shall” is construed as indicative of the legislature’s intention to make a provision directory. In some instances, the legislature explicitly provides that failure to comply with a statutory provision is fatal. In other instances, the legislature specifically provides that failure to comply is not fatal. In both of the above instances no difficulty arises. The difficulty usually arises where the legislature has made no specific indication as to whether failure to comply is fatal or not.” </w:t>
      </w:r>
    </w:p>
    <w:p w14:paraId="7EC99CF6" w14:textId="77777777" w:rsidR="00864F27" w:rsidRPr="003D1371" w:rsidRDefault="00864F27" w:rsidP="00864F27">
      <w:pPr>
        <w:spacing w:line="240" w:lineRule="auto"/>
        <w:ind w:left="1134"/>
        <w:jc w:val="both"/>
        <w:rPr>
          <w:rFonts w:ascii="Times New Roman" w:hAnsi="Times New Roman" w:cs="Times New Roman"/>
          <w:sz w:val="24"/>
          <w:szCs w:val="24"/>
        </w:rPr>
      </w:pPr>
    </w:p>
    <w:p w14:paraId="47A1A58B" w14:textId="32E29181" w:rsidR="00CE142E" w:rsidRPr="003D1371" w:rsidRDefault="00B743D9" w:rsidP="00E0403D">
      <w:pPr>
        <w:pStyle w:val="ListParagraph"/>
        <w:numPr>
          <w:ilvl w:val="0"/>
          <w:numId w:val="8"/>
        </w:numPr>
        <w:spacing w:after="0" w:line="480" w:lineRule="auto"/>
        <w:ind w:left="426" w:hanging="426"/>
        <w:jc w:val="both"/>
        <w:rPr>
          <w:rFonts w:ascii="Times New Roman" w:hAnsi="Times New Roman" w:cs="Times New Roman"/>
          <w:sz w:val="24"/>
          <w:szCs w:val="24"/>
        </w:rPr>
      </w:pPr>
      <w:r w:rsidRPr="003D1371">
        <w:rPr>
          <w:rFonts w:ascii="Times New Roman" w:hAnsi="Times New Roman" w:cs="Times New Roman"/>
          <w:sz w:val="24"/>
          <w:szCs w:val="24"/>
        </w:rPr>
        <w:lastRenderedPageBreak/>
        <w:t xml:space="preserve">Further, in </w:t>
      </w:r>
      <w:r w:rsidRPr="003D1371">
        <w:rPr>
          <w:rFonts w:ascii="Times New Roman" w:hAnsi="Times New Roman" w:cs="Times New Roman"/>
          <w:i/>
          <w:sz w:val="24"/>
          <w:szCs w:val="24"/>
        </w:rPr>
        <w:t>Sibanda &amp; Anor</w:t>
      </w:r>
      <w:r w:rsidRPr="003D1371">
        <w:rPr>
          <w:rFonts w:ascii="Times New Roman" w:hAnsi="Times New Roman" w:cs="Times New Roman"/>
          <w:sz w:val="24"/>
          <w:szCs w:val="24"/>
        </w:rPr>
        <w:t xml:space="preserve"> v </w:t>
      </w:r>
      <w:r w:rsidRPr="003D1371">
        <w:rPr>
          <w:rFonts w:ascii="Times New Roman" w:hAnsi="Times New Roman" w:cs="Times New Roman"/>
          <w:i/>
          <w:sz w:val="24"/>
          <w:szCs w:val="24"/>
        </w:rPr>
        <w:t>Ncube &amp; Ors</w:t>
      </w:r>
      <w:r w:rsidR="00516A20">
        <w:rPr>
          <w:rFonts w:ascii="Times New Roman" w:hAnsi="Times New Roman" w:cs="Times New Roman"/>
          <w:sz w:val="24"/>
          <w:szCs w:val="24"/>
        </w:rPr>
        <w:t>/</w:t>
      </w:r>
      <w:r w:rsidRPr="003D1371">
        <w:rPr>
          <w:rFonts w:ascii="Times New Roman" w:hAnsi="Times New Roman" w:cs="Times New Roman"/>
          <w:sz w:val="24"/>
          <w:szCs w:val="24"/>
        </w:rPr>
        <w:t xml:space="preserve"> </w:t>
      </w:r>
      <w:r w:rsidRPr="003D1371">
        <w:rPr>
          <w:rFonts w:ascii="Times New Roman" w:hAnsi="Times New Roman" w:cs="Times New Roman"/>
          <w:i/>
          <w:sz w:val="24"/>
          <w:szCs w:val="24"/>
        </w:rPr>
        <w:t>Khumalo &amp; Anor</w:t>
      </w:r>
      <w:r w:rsidRPr="003D1371">
        <w:rPr>
          <w:rFonts w:ascii="Times New Roman" w:hAnsi="Times New Roman" w:cs="Times New Roman"/>
          <w:sz w:val="24"/>
          <w:szCs w:val="24"/>
        </w:rPr>
        <w:t xml:space="preserve"> v </w:t>
      </w:r>
      <w:r w:rsidRPr="003D1371">
        <w:rPr>
          <w:rFonts w:ascii="Times New Roman" w:hAnsi="Times New Roman" w:cs="Times New Roman"/>
          <w:i/>
          <w:sz w:val="24"/>
          <w:szCs w:val="24"/>
        </w:rPr>
        <w:t>Mudimba &amp; Ors</w:t>
      </w:r>
      <w:r w:rsidR="00CE142E" w:rsidRPr="003D1371">
        <w:rPr>
          <w:rFonts w:ascii="Times New Roman" w:hAnsi="Times New Roman" w:cs="Times New Roman"/>
          <w:sz w:val="24"/>
          <w:szCs w:val="24"/>
        </w:rPr>
        <w:t xml:space="preserve"> SC 158-</w:t>
      </w:r>
      <w:r w:rsidRPr="003D1371">
        <w:rPr>
          <w:rFonts w:ascii="Times New Roman" w:hAnsi="Times New Roman" w:cs="Times New Roman"/>
          <w:sz w:val="24"/>
          <w:szCs w:val="24"/>
        </w:rPr>
        <w:t>20 at p. 15, P</w:t>
      </w:r>
      <w:r w:rsidR="00E0403D" w:rsidRPr="00E0403D">
        <w:rPr>
          <w:rFonts w:ascii="Times New Roman" w:hAnsi="Times New Roman" w:cs="Times New Roman"/>
          <w:smallCaps/>
          <w:sz w:val="24"/>
          <w:szCs w:val="24"/>
        </w:rPr>
        <w:t xml:space="preserve">atel </w:t>
      </w:r>
      <w:r w:rsidRPr="003D1371">
        <w:rPr>
          <w:rFonts w:ascii="Times New Roman" w:hAnsi="Times New Roman" w:cs="Times New Roman"/>
          <w:sz w:val="24"/>
          <w:szCs w:val="24"/>
        </w:rPr>
        <w:t xml:space="preserve">JA (as he then was) held that: </w:t>
      </w:r>
    </w:p>
    <w:p w14:paraId="1F58A542" w14:textId="2764FD05" w:rsidR="00CE142E" w:rsidRDefault="00B743D9" w:rsidP="00E0403D">
      <w:pPr>
        <w:spacing w:line="240" w:lineRule="auto"/>
        <w:ind w:left="1134"/>
        <w:jc w:val="both"/>
        <w:rPr>
          <w:rFonts w:ascii="Times New Roman" w:hAnsi="Times New Roman" w:cs="Times New Roman"/>
          <w:sz w:val="24"/>
          <w:szCs w:val="24"/>
        </w:rPr>
      </w:pPr>
      <w:r w:rsidRPr="003D1371">
        <w:rPr>
          <w:rFonts w:ascii="Times New Roman" w:hAnsi="Times New Roman" w:cs="Times New Roman"/>
          <w:sz w:val="24"/>
          <w:szCs w:val="24"/>
        </w:rPr>
        <w:t>“The broad test for ascertaining the true nature of a statutory duty was</w:t>
      </w:r>
      <w:r w:rsidR="00075E2F">
        <w:rPr>
          <w:rFonts w:ascii="Times New Roman" w:hAnsi="Times New Roman" w:cs="Times New Roman"/>
          <w:sz w:val="24"/>
          <w:szCs w:val="24"/>
        </w:rPr>
        <w:t xml:space="preserve"> enunciated</w:t>
      </w:r>
      <w:r w:rsidRPr="003D1371">
        <w:rPr>
          <w:rFonts w:ascii="Times New Roman" w:hAnsi="Times New Roman" w:cs="Times New Roman"/>
          <w:sz w:val="24"/>
          <w:szCs w:val="24"/>
        </w:rPr>
        <w:t xml:space="preserve"> more than a century ago in the case of </w:t>
      </w:r>
      <w:r w:rsidRPr="00E0403D">
        <w:rPr>
          <w:rFonts w:ascii="Times New Roman" w:hAnsi="Times New Roman" w:cs="Times New Roman"/>
          <w:i/>
          <w:sz w:val="24"/>
          <w:szCs w:val="24"/>
        </w:rPr>
        <w:t>Howard</w:t>
      </w:r>
      <w:r w:rsidRPr="003D1371">
        <w:rPr>
          <w:rFonts w:ascii="Times New Roman" w:hAnsi="Times New Roman" w:cs="Times New Roman"/>
          <w:sz w:val="24"/>
          <w:szCs w:val="24"/>
        </w:rPr>
        <w:t xml:space="preserve"> v </w:t>
      </w:r>
      <w:r w:rsidRPr="00E0403D">
        <w:rPr>
          <w:rFonts w:ascii="Times New Roman" w:hAnsi="Times New Roman" w:cs="Times New Roman"/>
          <w:i/>
          <w:sz w:val="24"/>
          <w:szCs w:val="24"/>
        </w:rPr>
        <w:t>Bodingto</w:t>
      </w:r>
      <w:r w:rsidR="00CE142E" w:rsidRPr="00E0403D">
        <w:rPr>
          <w:rFonts w:ascii="Times New Roman" w:hAnsi="Times New Roman" w:cs="Times New Roman"/>
          <w:i/>
          <w:sz w:val="24"/>
          <w:szCs w:val="24"/>
        </w:rPr>
        <w:t>n</w:t>
      </w:r>
      <w:r w:rsidR="00CE142E" w:rsidRPr="003D1371">
        <w:rPr>
          <w:rFonts w:ascii="Times New Roman" w:hAnsi="Times New Roman" w:cs="Times New Roman"/>
          <w:sz w:val="24"/>
          <w:szCs w:val="24"/>
        </w:rPr>
        <w:t xml:space="preserve"> (1877) 2 PD 203, at 211: ‘…</w:t>
      </w:r>
      <w:r w:rsidRPr="003D1371">
        <w:rPr>
          <w:rFonts w:ascii="Times New Roman" w:hAnsi="Times New Roman" w:cs="Times New Roman"/>
          <w:sz w:val="24"/>
          <w:szCs w:val="24"/>
        </w:rPr>
        <w:t xml:space="preserve"> in each case you must look to the subject-matter, consider the importance of the provision and the relation of that provision to the general object intended to be secured by the Act, and upon a review of the case on that aspect decide whether the enactment is what is called</w:t>
      </w:r>
      <w:r w:rsidR="00CE142E" w:rsidRPr="003D1371">
        <w:rPr>
          <w:rFonts w:ascii="Times New Roman" w:hAnsi="Times New Roman" w:cs="Times New Roman"/>
          <w:sz w:val="24"/>
          <w:szCs w:val="24"/>
        </w:rPr>
        <w:t xml:space="preserve"> imperative or only directory…</w:t>
      </w:r>
      <w:r w:rsidR="00E0403D">
        <w:rPr>
          <w:rFonts w:ascii="Times New Roman" w:hAnsi="Times New Roman" w:cs="Times New Roman"/>
          <w:sz w:val="24"/>
          <w:szCs w:val="24"/>
        </w:rPr>
        <w:t>’”</w:t>
      </w:r>
    </w:p>
    <w:p w14:paraId="77EF5E1C" w14:textId="77777777" w:rsidR="00E0403D" w:rsidRPr="003D1371" w:rsidRDefault="00E0403D" w:rsidP="00E0403D">
      <w:pPr>
        <w:spacing w:line="240" w:lineRule="auto"/>
        <w:ind w:left="1134"/>
        <w:jc w:val="both"/>
        <w:rPr>
          <w:rFonts w:ascii="Times New Roman" w:hAnsi="Times New Roman" w:cs="Times New Roman"/>
          <w:sz w:val="24"/>
          <w:szCs w:val="24"/>
        </w:rPr>
      </w:pPr>
    </w:p>
    <w:p w14:paraId="26C88DB3" w14:textId="429CA6F6" w:rsidR="009A4D60" w:rsidRDefault="00B743D9" w:rsidP="00E0403D">
      <w:pPr>
        <w:pStyle w:val="ListParagraph"/>
        <w:numPr>
          <w:ilvl w:val="0"/>
          <w:numId w:val="8"/>
        </w:numPr>
        <w:spacing w:line="480" w:lineRule="auto"/>
        <w:ind w:left="426" w:hanging="426"/>
        <w:jc w:val="both"/>
        <w:rPr>
          <w:rFonts w:ascii="Times New Roman" w:hAnsi="Times New Roman" w:cs="Times New Roman"/>
          <w:sz w:val="24"/>
          <w:szCs w:val="24"/>
        </w:rPr>
      </w:pPr>
      <w:r w:rsidRPr="003D1371">
        <w:rPr>
          <w:rFonts w:ascii="Times New Roman" w:hAnsi="Times New Roman" w:cs="Times New Roman"/>
          <w:sz w:val="24"/>
          <w:szCs w:val="24"/>
        </w:rPr>
        <w:t xml:space="preserve">In </w:t>
      </w:r>
      <w:r w:rsidRPr="003D1371">
        <w:rPr>
          <w:rFonts w:ascii="Times New Roman" w:hAnsi="Times New Roman" w:cs="Times New Roman"/>
          <w:i/>
          <w:sz w:val="24"/>
          <w:szCs w:val="24"/>
        </w:rPr>
        <w:t>Chirosva Minerals (Pvt) Ltd</w:t>
      </w:r>
      <w:r w:rsidRPr="003D1371">
        <w:rPr>
          <w:rFonts w:ascii="Times New Roman" w:hAnsi="Times New Roman" w:cs="Times New Roman"/>
          <w:sz w:val="24"/>
          <w:szCs w:val="24"/>
        </w:rPr>
        <w:t xml:space="preserve"> v </w:t>
      </w:r>
      <w:r w:rsidRPr="003D1371">
        <w:rPr>
          <w:rFonts w:ascii="Times New Roman" w:hAnsi="Times New Roman" w:cs="Times New Roman"/>
          <w:i/>
          <w:sz w:val="24"/>
          <w:szCs w:val="24"/>
        </w:rPr>
        <w:t>Minister of Mines and Ors</w:t>
      </w:r>
      <w:r w:rsidRPr="003D1371">
        <w:rPr>
          <w:rFonts w:ascii="Times New Roman" w:hAnsi="Times New Roman" w:cs="Times New Roman"/>
          <w:sz w:val="24"/>
          <w:szCs w:val="24"/>
        </w:rPr>
        <w:t xml:space="preserve"> 2011 (2) ZLR 274, the court held that the disregard of a peremptory provision in a statute is fatal to the valid</w:t>
      </w:r>
      <w:r w:rsidR="009A4D60" w:rsidRPr="003D1371">
        <w:rPr>
          <w:rFonts w:ascii="Times New Roman" w:hAnsi="Times New Roman" w:cs="Times New Roman"/>
          <w:sz w:val="24"/>
          <w:szCs w:val="24"/>
        </w:rPr>
        <w:t>i</w:t>
      </w:r>
      <w:r w:rsidR="00E0403D">
        <w:rPr>
          <w:rFonts w:ascii="Times New Roman" w:hAnsi="Times New Roman" w:cs="Times New Roman"/>
          <w:sz w:val="24"/>
          <w:szCs w:val="24"/>
        </w:rPr>
        <w:t xml:space="preserve">ty of the proceedings affected.  </w:t>
      </w:r>
      <w:r w:rsidR="009A4D60" w:rsidRPr="003D1371">
        <w:rPr>
          <w:rFonts w:ascii="Times New Roman" w:hAnsi="Times New Roman" w:cs="Times New Roman"/>
          <w:sz w:val="24"/>
          <w:szCs w:val="24"/>
        </w:rPr>
        <w:t xml:space="preserve">It </w:t>
      </w:r>
      <w:r w:rsidR="00EE7C5F" w:rsidRPr="003D1371">
        <w:rPr>
          <w:rFonts w:ascii="Times New Roman" w:hAnsi="Times New Roman" w:cs="Times New Roman"/>
          <w:sz w:val="24"/>
          <w:szCs w:val="24"/>
        </w:rPr>
        <w:t xml:space="preserve">can be </w:t>
      </w:r>
      <w:r w:rsidR="00270D77">
        <w:rPr>
          <w:rFonts w:ascii="Times New Roman" w:hAnsi="Times New Roman" w:cs="Times New Roman"/>
          <w:sz w:val="24"/>
          <w:szCs w:val="24"/>
        </w:rPr>
        <w:t>deduced</w:t>
      </w:r>
      <w:r w:rsidR="000E12B9" w:rsidRPr="003D1371">
        <w:rPr>
          <w:rFonts w:ascii="Times New Roman" w:hAnsi="Times New Roman" w:cs="Times New Roman"/>
          <w:sz w:val="24"/>
          <w:szCs w:val="24"/>
        </w:rPr>
        <w:t xml:space="preserve"> that the intention of the legislature was to limit the exercise of the first respondent’s power in alie</w:t>
      </w:r>
      <w:r w:rsidR="007220DF" w:rsidRPr="003D1371">
        <w:rPr>
          <w:rFonts w:ascii="Times New Roman" w:hAnsi="Times New Roman" w:cs="Times New Roman"/>
          <w:sz w:val="24"/>
          <w:szCs w:val="24"/>
        </w:rPr>
        <w:t>nating State land. The lack of a</w:t>
      </w:r>
      <w:r w:rsidR="000E12B9" w:rsidRPr="003D1371">
        <w:rPr>
          <w:rFonts w:ascii="Times New Roman" w:hAnsi="Times New Roman" w:cs="Times New Roman"/>
          <w:sz w:val="24"/>
          <w:szCs w:val="24"/>
        </w:rPr>
        <w:t xml:space="preserve"> specific </w:t>
      </w:r>
      <w:r w:rsidR="007220DF" w:rsidRPr="003D1371">
        <w:rPr>
          <w:rFonts w:ascii="Times New Roman" w:hAnsi="Times New Roman" w:cs="Times New Roman"/>
          <w:sz w:val="24"/>
          <w:szCs w:val="24"/>
        </w:rPr>
        <w:t>provision indicating the effects of the</w:t>
      </w:r>
      <w:r w:rsidR="001E4093" w:rsidRPr="003D1371">
        <w:rPr>
          <w:rFonts w:ascii="Times New Roman" w:hAnsi="Times New Roman" w:cs="Times New Roman"/>
          <w:sz w:val="24"/>
          <w:szCs w:val="24"/>
        </w:rPr>
        <w:t xml:space="preserve"> failure to comply</w:t>
      </w:r>
      <w:r w:rsidR="00FF3281" w:rsidRPr="003D1371">
        <w:rPr>
          <w:rFonts w:ascii="Times New Roman" w:hAnsi="Times New Roman" w:cs="Times New Roman"/>
          <w:sz w:val="24"/>
          <w:szCs w:val="24"/>
        </w:rPr>
        <w:t xml:space="preserve"> </w:t>
      </w:r>
      <w:r w:rsidR="001E4093" w:rsidRPr="003D1371">
        <w:rPr>
          <w:rFonts w:ascii="Times New Roman" w:hAnsi="Times New Roman" w:cs="Times New Roman"/>
          <w:sz w:val="24"/>
          <w:szCs w:val="24"/>
        </w:rPr>
        <w:t xml:space="preserve">does not take away the legislature’s </w:t>
      </w:r>
      <w:r w:rsidR="00FF3281" w:rsidRPr="003D1371">
        <w:rPr>
          <w:rFonts w:ascii="Times New Roman" w:hAnsi="Times New Roman" w:cs="Times New Roman"/>
          <w:sz w:val="24"/>
          <w:szCs w:val="24"/>
        </w:rPr>
        <w:t>intention to create a</w:t>
      </w:r>
      <w:r w:rsidR="001E4093" w:rsidRPr="003D1371">
        <w:rPr>
          <w:rFonts w:ascii="Times New Roman" w:hAnsi="Times New Roman" w:cs="Times New Roman"/>
          <w:sz w:val="24"/>
          <w:szCs w:val="24"/>
        </w:rPr>
        <w:t xml:space="preserve"> mandatory duty on the first and second respondents</w:t>
      </w:r>
      <w:r w:rsidR="00FF3281" w:rsidRPr="003D1371">
        <w:rPr>
          <w:rFonts w:ascii="Times New Roman" w:hAnsi="Times New Roman" w:cs="Times New Roman"/>
          <w:sz w:val="24"/>
          <w:szCs w:val="24"/>
        </w:rPr>
        <w:t xml:space="preserve">, which ought to be </w:t>
      </w:r>
      <w:r w:rsidR="00D708E1" w:rsidRPr="003D1371">
        <w:rPr>
          <w:rFonts w:ascii="Times New Roman" w:hAnsi="Times New Roman" w:cs="Times New Roman"/>
          <w:sz w:val="24"/>
          <w:szCs w:val="24"/>
        </w:rPr>
        <w:t xml:space="preserve">complied </w:t>
      </w:r>
      <w:r w:rsidR="00FF3281" w:rsidRPr="003D1371">
        <w:rPr>
          <w:rFonts w:ascii="Times New Roman" w:hAnsi="Times New Roman" w:cs="Times New Roman"/>
          <w:sz w:val="24"/>
          <w:szCs w:val="24"/>
        </w:rPr>
        <w:t>with</w:t>
      </w:r>
      <w:r w:rsidR="001E4093" w:rsidRPr="003D1371">
        <w:rPr>
          <w:rFonts w:ascii="Times New Roman" w:hAnsi="Times New Roman" w:cs="Times New Roman"/>
          <w:sz w:val="24"/>
          <w:szCs w:val="24"/>
        </w:rPr>
        <w:t xml:space="preserve">. </w:t>
      </w:r>
    </w:p>
    <w:p w14:paraId="2EB3B8DE" w14:textId="77777777" w:rsidR="00E0403D" w:rsidRPr="003D1371" w:rsidRDefault="00E0403D" w:rsidP="00E0403D">
      <w:pPr>
        <w:pStyle w:val="ListParagraph"/>
        <w:spacing w:after="0" w:line="240" w:lineRule="auto"/>
        <w:ind w:left="426"/>
        <w:jc w:val="both"/>
        <w:rPr>
          <w:rFonts w:ascii="Times New Roman" w:hAnsi="Times New Roman" w:cs="Times New Roman"/>
          <w:sz w:val="24"/>
          <w:szCs w:val="24"/>
        </w:rPr>
      </w:pPr>
    </w:p>
    <w:p w14:paraId="7536A2A9" w14:textId="1B475817" w:rsidR="00305FFC" w:rsidRDefault="001E4093" w:rsidP="00305FFC">
      <w:pPr>
        <w:pStyle w:val="ListParagraph"/>
        <w:numPr>
          <w:ilvl w:val="0"/>
          <w:numId w:val="8"/>
        </w:numPr>
        <w:spacing w:line="480" w:lineRule="auto"/>
        <w:ind w:left="426" w:hanging="426"/>
        <w:jc w:val="both"/>
        <w:rPr>
          <w:rFonts w:ascii="Times New Roman" w:hAnsi="Times New Roman" w:cs="Times New Roman"/>
          <w:sz w:val="24"/>
          <w:szCs w:val="24"/>
        </w:rPr>
      </w:pPr>
      <w:r w:rsidRPr="003D1371">
        <w:rPr>
          <w:rFonts w:ascii="Times New Roman" w:hAnsi="Times New Roman" w:cs="Times New Roman"/>
          <w:sz w:val="24"/>
          <w:szCs w:val="24"/>
        </w:rPr>
        <w:t>It is not in contention that the appellant was allocated the land by the first respondent</w:t>
      </w:r>
      <w:r w:rsidR="00075E2F">
        <w:rPr>
          <w:rFonts w:ascii="Times New Roman" w:hAnsi="Times New Roman" w:cs="Times New Roman"/>
          <w:sz w:val="24"/>
          <w:szCs w:val="24"/>
        </w:rPr>
        <w:t>. T</w:t>
      </w:r>
      <w:r w:rsidRPr="003D1371">
        <w:rPr>
          <w:rFonts w:ascii="Times New Roman" w:hAnsi="Times New Roman" w:cs="Times New Roman"/>
          <w:sz w:val="24"/>
          <w:szCs w:val="24"/>
        </w:rPr>
        <w:t>he dispute is on the legality of such allocation.</w:t>
      </w:r>
      <w:r w:rsidR="009A4D60" w:rsidRPr="003D1371">
        <w:rPr>
          <w:rFonts w:ascii="Times New Roman" w:hAnsi="Times New Roman" w:cs="Times New Roman"/>
          <w:sz w:val="24"/>
          <w:szCs w:val="24"/>
        </w:rPr>
        <w:t xml:space="preserve"> </w:t>
      </w:r>
      <w:r w:rsidR="00FF1E0C" w:rsidRPr="003D1371">
        <w:rPr>
          <w:rFonts w:ascii="Times New Roman" w:hAnsi="Times New Roman" w:cs="Times New Roman"/>
          <w:sz w:val="24"/>
          <w:szCs w:val="24"/>
        </w:rPr>
        <w:t xml:space="preserve">After </w:t>
      </w:r>
      <w:r w:rsidR="00EC3AA0">
        <w:rPr>
          <w:rFonts w:ascii="Times New Roman" w:hAnsi="Times New Roman" w:cs="Times New Roman"/>
          <w:sz w:val="24"/>
          <w:szCs w:val="24"/>
        </w:rPr>
        <w:t>examining the provision of</w:t>
      </w:r>
      <w:r w:rsidR="00FF1E0C" w:rsidRPr="003D1371">
        <w:rPr>
          <w:rFonts w:ascii="Times New Roman" w:hAnsi="Times New Roman" w:cs="Times New Roman"/>
          <w:sz w:val="24"/>
          <w:szCs w:val="24"/>
        </w:rPr>
        <w:t xml:space="preserve"> </w:t>
      </w:r>
      <w:r w:rsidR="00606147">
        <w:rPr>
          <w:rFonts w:ascii="Times New Roman" w:hAnsi="Times New Roman" w:cs="Times New Roman"/>
          <w:sz w:val="24"/>
          <w:szCs w:val="24"/>
        </w:rPr>
        <w:t xml:space="preserve">s </w:t>
      </w:r>
      <w:r w:rsidR="004454FC" w:rsidRPr="003D1371">
        <w:rPr>
          <w:rFonts w:ascii="Times New Roman" w:hAnsi="Times New Roman" w:cs="Times New Roman"/>
          <w:sz w:val="24"/>
          <w:szCs w:val="24"/>
        </w:rPr>
        <w:t>205 of the</w:t>
      </w:r>
      <w:r w:rsidR="000A7F11" w:rsidRPr="003D1371">
        <w:rPr>
          <w:rFonts w:ascii="Times New Roman" w:hAnsi="Times New Roman" w:cs="Times New Roman"/>
          <w:sz w:val="24"/>
          <w:szCs w:val="24"/>
        </w:rPr>
        <w:t xml:space="preserve"> Act, </w:t>
      </w:r>
      <w:r w:rsidR="004454FC" w:rsidRPr="003D1371">
        <w:rPr>
          <w:rFonts w:ascii="Times New Roman" w:hAnsi="Times New Roman" w:cs="Times New Roman"/>
          <w:sz w:val="24"/>
          <w:szCs w:val="24"/>
        </w:rPr>
        <w:t xml:space="preserve">it becomes clear that </w:t>
      </w:r>
      <w:r w:rsidR="000A7F11" w:rsidRPr="003D1371">
        <w:rPr>
          <w:rFonts w:ascii="Times New Roman" w:hAnsi="Times New Roman" w:cs="Times New Roman"/>
          <w:sz w:val="24"/>
          <w:szCs w:val="24"/>
        </w:rPr>
        <w:t xml:space="preserve">the </w:t>
      </w:r>
      <w:r w:rsidR="004454FC" w:rsidRPr="003D1371">
        <w:rPr>
          <w:rFonts w:ascii="Times New Roman" w:hAnsi="Times New Roman" w:cs="Times New Roman"/>
          <w:sz w:val="24"/>
          <w:szCs w:val="24"/>
        </w:rPr>
        <w:t xml:space="preserve">land </w:t>
      </w:r>
      <w:r w:rsidR="000A7F11" w:rsidRPr="003D1371">
        <w:rPr>
          <w:rFonts w:ascii="Times New Roman" w:hAnsi="Times New Roman" w:cs="Times New Roman"/>
          <w:sz w:val="24"/>
          <w:szCs w:val="24"/>
        </w:rPr>
        <w:t>allocation did not follow due proce</w:t>
      </w:r>
      <w:r w:rsidR="00656B76" w:rsidRPr="003D1371">
        <w:rPr>
          <w:rFonts w:ascii="Times New Roman" w:hAnsi="Times New Roman" w:cs="Times New Roman"/>
          <w:sz w:val="24"/>
          <w:szCs w:val="24"/>
        </w:rPr>
        <w:t xml:space="preserve">ss. </w:t>
      </w:r>
      <w:r w:rsidR="008C3A82" w:rsidRPr="003D1371">
        <w:rPr>
          <w:rFonts w:ascii="Times New Roman" w:hAnsi="Times New Roman" w:cs="Times New Roman"/>
          <w:sz w:val="24"/>
          <w:szCs w:val="24"/>
        </w:rPr>
        <w:t xml:space="preserve"> </w:t>
      </w:r>
      <w:r w:rsidR="009A4D60" w:rsidRPr="003D1371">
        <w:rPr>
          <w:rFonts w:ascii="Times New Roman" w:hAnsi="Times New Roman" w:cs="Times New Roman"/>
          <w:sz w:val="24"/>
          <w:szCs w:val="24"/>
        </w:rPr>
        <w:t>From a reading of section 205 of the Act, the first respondent’s powers in alienating State l</w:t>
      </w:r>
      <w:r w:rsidR="00D65315">
        <w:rPr>
          <w:rFonts w:ascii="Times New Roman" w:hAnsi="Times New Roman" w:cs="Times New Roman"/>
          <w:sz w:val="24"/>
          <w:szCs w:val="24"/>
        </w:rPr>
        <w:t>and are subject to approval by</w:t>
      </w:r>
      <w:r w:rsidR="009A4D60" w:rsidRPr="003D1371">
        <w:rPr>
          <w:rFonts w:ascii="Times New Roman" w:hAnsi="Times New Roman" w:cs="Times New Roman"/>
          <w:sz w:val="24"/>
          <w:szCs w:val="24"/>
        </w:rPr>
        <w:t xml:space="preserve"> the second respondent. </w:t>
      </w:r>
      <w:r w:rsidR="008C3A82" w:rsidRPr="003D1371">
        <w:rPr>
          <w:rFonts w:ascii="Times New Roman" w:hAnsi="Times New Roman" w:cs="Times New Roman"/>
          <w:sz w:val="24"/>
          <w:szCs w:val="24"/>
        </w:rPr>
        <w:t xml:space="preserve">In the court </w:t>
      </w:r>
      <w:r w:rsidR="009A492D" w:rsidRPr="003D1371">
        <w:rPr>
          <w:rFonts w:ascii="Times New Roman" w:hAnsi="Times New Roman" w:cs="Times New Roman"/>
          <w:i/>
          <w:sz w:val="24"/>
          <w:szCs w:val="24"/>
        </w:rPr>
        <w:t>a quo</w:t>
      </w:r>
      <w:r w:rsidR="008C3A82" w:rsidRPr="003D1371">
        <w:rPr>
          <w:rFonts w:ascii="Times New Roman" w:hAnsi="Times New Roman" w:cs="Times New Roman"/>
          <w:i/>
          <w:sz w:val="24"/>
          <w:szCs w:val="24"/>
        </w:rPr>
        <w:t xml:space="preserve">, </w:t>
      </w:r>
      <w:r w:rsidR="008C3A82" w:rsidRPr="003D1371">
        <w:rPr>
          <w:rFonts w:ascii="Times New Roman" w:hAnsi="Times New Roman" w:cs="Times New Roman"/>
          <w:sz w:val="24"/>
          <w:szCs w:val="24"/>
        </w:rPr>
        <w:t>t</w:t>
      </w:r>
      <w:r w:rsidR="00656B76" w:rsidRPr="003D1371">
        <w:rPr>
          <w:rFonts w:ascii="Times New Roman" w:hAnsi="Times New Roman" w:cs="Times New Roman"/>
          <w:sz w:val="24"/>
          <w:szCs w:val="24"/>
        </w:rPr>
        <w:t xml:space="preserve">he </w:t>
      </w:r>
      <w:r w:rsidR="000A7F11" w:rsidRPr="003D1371">
        <w:rPr>
          <w:rFonts w:ascii="Times New Roman" w:hAnsi="Times New Roman" w:cs="Times New Roman"/>
          <w:sz w:val="24"/>
          <w:szCs w:val="24"/>
        </w:rPr>
        <w:t xml:space="preserve">appellant </w:t>
      </w:r>
      <w:r w:rsidR="008C3A82" w:rsidRPr="003D1371">
        <w:rPr>
          <w:rFonts w:ascii="Times New Roman" w:hAnsi="Times New Roman" w:cs="Times New Roman"/>
          <w:sz w:val="24"/>
          <w:szCs w:val="24"/>
        </w:rPr>
        <w:t xml:space="preserve">made </w:t>
      </w:r>
      <w:r w:rsidR="00075E2F">
        <w:rPr>
          <w:rFonts w:ascii="Times New Roman" w:hAnsi="Times New Roman" w:cs="Times New Roman"/>
          <w:sz w:val="24"/>
          <w:szCs w:val="24"/>
        </w:rPr>
        <w:t>a</w:t>
      </w:r>
      <w:r w:rsidR="008C3A82" w:rsidRPr="003D1371">
        <w:rPr>
          <w:rFonts w:ascii="Times New Roman" w:hAnsi="Times New Roman" w:cs="Times New Roman"/>
          <w:sz w:val="24"/>
          <w:szCs w:val="24"/>
        </w:rPr>
        <w:t xml:space="preserve"> concession </w:t>
      </w:r>
      <w:r w:rsidR="000E12C8" w:rsidRPr="003D1371">
        <w:rPr>
          <w:rFonts w:ascii="Times New Roman" w:hAnsi="Times New Roman" w:cs="Times New Roman"/>
          <w:sz w:val="24"/>
          <w:szCs w:val="24"/>
        </w:rPr>
        <w:t>that</w:t>
      </w:r>
      <w:r w:rsidR="000A7F11" w:rsidRPr="003D1371">
        <w:rPr>
          <w:rFonts w:ascii="Times New Roman" w:hAnsi="Times New Roman" w:cs="Times New Roman"/>
          <w:sz w:val="24"/>
          <w:szCs w:val="24"/>
        </w:rPr>
        <w:t xml:space="preserve"> title deed </w:t>
      </w:r>
      <w:r w:rsidR="000E12C8" w:rsidRPr="003D1371">
        <w:rPr>
          <w:rFonts w:ascii="Times New Roman" w:hAnsi="Times New Roman" w:cs="Times New Roman"/>
          <w:sz w:val="24"/>
          <w:szCs w:val="24"/>
        </w:rPr>
        <w:t xml:space="preserve">No. 3034/60, </w:t>
      </w:r>
      <w:r w:rsidR="000A7F11" w:rsidRPr="003D1371">
        <w:rPr>
          <w:rFonts w:ascii="Times New Roman" w:hAnsi="Times New Roman" w:cs="Times New Roman"/>
          <w:sz w:val="24"/>
          <w:szCs w:val="24"/>
        </w:rPr>
        <w:t>dated 29 November 1960</w:t>
      </w:r>
      <w:r w:rsidR="000E12C8" w:rsidRPr="003D1371">
        <w:rPr>
          <w:rFonts w:ascii="Times New Roman" w:hAnsi="Times New Roman" w:cs="Times New Roman"/>
          <w:sz w:val="24"/>
          <w:szCs w:val="24"/>
        </w:rPr>
        <w:t xml:space="preserve">, </w:t>
      </w:r>
      <w:r w:rsidR="004454FC" w:rsidRPr="003D1371">
        <w:rPr>
          <w:rFonts w:ascii="Times New Roman" w:hAnsi="Times New Roman" w:cs="Times New Roman"/>
          <w:sz w:val="24"/>
          <w:szCs w:val="24"/>
        </w:rPr>
        <w:t>indicated</w:t>
      </w:r>
      <w:r w:rsidR="000A7F11" w:rsidRPr="003D1371">
        <w:rPr>
          <w:rFonts w:ascii="Times New Roman" w:hAnsi="Times New Roman" w:cs="Times New Roman"/>
          <w:sz w:val="24"/>
          <w:szCs w:val="24"/>
        </w:rPr>
        <w:t xml:space="preserve"> that</w:t>
      </w:r>
      <w:r w:rsidR="000E12C8" w:rsidRPr="003D1371">
        <w:rPr>
          <w:rFonts w:ascii="Times New Roman" w:hAnsi="Times New Roman" w:cs="Times New Roman"/>
          <w:sz w:val="24"/>
          <w:szCs w:val="24"/>
        </w:rPr>
        <w:t xml:space="preserve"> the land belonged to the State. </w:t>
      </w:r>
      <w:r w:rsidR="00236380" w:rsidRPr="003D1371">
        <w:rPr>
          <w:rFonts w:ascii="Times New Roman" w:hAnsi="Times New Roman" w:cs="Times New Roman"/>
          <w:sz w:val="24"/>
          <w:szCs w:val="24"/>
        </w:rPr>
        <w:t>Nevertheless</w:t>
      </w:r>
      <w:r w:rsidR="000E12C8" w:rsidRPr="003D1371">
        <w:rPr>
          <w:rFonts w:ascii="Times New Roman" w:hAnsi="Times New Roman" w:cs="Times New Roman"/>
          <w:sz w:val="24"/>
          <w:szCs w:val="24"/>
        </w:rPr>
        <w:t>, the appellant</w:t>
      </w:r>
      <w:r w:rsidR="000A7F11" w:rsidRPr="003D1371">
        <w:rPr>
          <w:rFonts w:ascii="Times New Roman" w:hAnsi="Times New Roman" w:cs="Times New Roman"/>
          <w:sz w:val="24"/>
          <w:szCs w:val="24"/>
        </w:rPr>
        <w:t xml:space="preserve"> maintained its position that the first respondent had the jurisdiction to alienate the said piece of land.</w:t>
      </w:r>
      <w:r w:rsidR="00807910" w:rsidRPr="003D1371">
        <w:rPr>
          <w:rFonts w:ascii="Times New Roman" w:hAnsi="Times New Roman" w:cs="Times New Roman"/>
          <w:sz w:val="24"/>
          <w:szCs w:val="24"/>
        </w:rPr>
        <w:t xml:space="preserve"> </w:t>
      </w:r>
      <w:r w:rsidR="00361390">
        <w:rPr>
          <w:rFonts w:ascii="Times New Roman" w:hAnsi="Times New Roman" w:cs="Times New Roman"/>
          <w:sz w:val="24"/>
          <w:szCs w:val="24"/>
        </w:rPr>
        <w:t xml:space="preserve">This insistence that the first respondent had authority to allocate State land had no firm basis on which to stand as it is clear from the wording of the </w:t>
      </w:r>
      <w:r w:rsidR="00361390">
        <w:rPr>
          <w:rFonts w:ascii="Times New Roman" w:hAnsi="Times New Roman" w:cs="Times New Roman"/>
          <w:sz w:val="24"/>
          <w:szCs w:val="24"/>
        </w:rPr>
        <w:lastRenderedPageBreak/>
        <w:t>relevant statute,</w:t>
      </w:r>
      <w:r w:rsidR="00D65315">
        <w:rPr>
          <w:rFonts w:ascii="Times New Roman" w:hAnsi="Times New Roman" w:cs="Times New Roman"/>
          <w:sz w:val="24"/>
          <w:szCs w:val="24"/>
        </w:rPr>
        <w:t xml:space="preserve"> that authorization by the second</w:t>
      </w:r>
      <w:r w:rsidR="00361390">
        <w:rPr>
          <w:rFonts w:ascii="Times New Roman" w:hAnsi="Times New Roman" w:cs="Times New Roman"/>
          <w:sz w:val="24"/>
          <w:szCs w:val="24"/>
        </w:rPr>
        <w:t xml:space="preserve"> respondent is a condition precedent to the first respondent’s allocation of State land.</w:t>
      </w:r>
    </w:p>
    <w:p w14:paraId="1B0B2208" w14:textId="77777777" w:rsidR="00305FFC" w:rsidRPr="00305FFC" w:rsidRDefault="00305FFC" w:rsidP="00305FFC">
      <w:pPr>
        <w:spacing w:after="0" w:line="240" w:lineRule="auto"/>
        <w:jc w:val="both"/>
        <w:rPr>
          <w:rFonts w:ascii="Times New Roman" w:hAnsi="Times New Roman" w:cs="Times New Roman"/>
          <w:sz w:val="24"/>
          <w:szCs w:val="24"/>
        </w:rPr>
      </w:pPr>
    </w:p>
    <w:p w14:paraId="0FD2484D" w14:textId="203CE94D" w:rsidR="0077767A" w:rsidRPr="003D1371" w:rsidRDefault="00807910" w:rsidP="00606147">
      <w:pPr>
        <w:pStyle w:val="ListParagraph"/>
        <w:numPr>
          <w:ilvl w:val="0"/>
          <w:numId w:val="8"/>
        </w:numPr>
        <w:spacing w:after="0" w:line="480" w:lineRule="auto"/>
        <w:ind w:left="426" w:hanging="426"/>
        <w:jc w:val="both"/>
        <w:rPr>
          <w:rFonts w:ascii="Times New Roman" w:hAnsi="Times New Roman" w:cs="Times New Roman"/>
          <w:sz w:val="24"/>
          <w:szCs w:val="24"/>
        </w:rPr>
      </w:pPr>
      <w:r w:rsidRPr="00305FFC">
        <w:rPr>
          <w:rFonts w:ascii="Times New Roman" w:hAnsi="Times New Roman" w:cs="Times New Roman"/>
          <w:i/>
          <w:sz w:val="24"/>
          <w:szCs w:val="24"/>
        </w:rPr>
        <w:t>In</w:t>
      </w:r>
      <w:r w:rsidRPr="003D1371">
        <w:rPr>
          <w:rFonts w:ascii="Times New Roman" w:hAnsi="Times New Roman" w:cs="Times New Roman"/>
          <w:sz w:val="24"/>
          <w:szCs w:val="24"/>
        </w:rPr>
        <w:t xml:space="preserve"> </w:t>
      </w:r>
      <w:r w:rsidRPr="003D1371">
        <w:rPr>
          <w:rFonts w:ascii="Times New Roman" w:hAnsi="Times New Roman" w:cs="Times New Roman"/>
          <w:i/>
          <w:sz w:val="24"/>
          <w:szCs w:val="24"/>
        </w:rPr>
        <w:t>casu</w:t>
      </w:r>
      <w:r w:rsidR="00D708E1" w:rsidRPr="003D1371">
        <w:rPr>
          <w:rFonts w:ascii="Times New Roman" w:hAnsi="Times New Roman" w:cs="Times New Roman"/>
          <w:i/>
          <w:sz w:val="24"/>
          <w:szCs w:val="24"/>
        </w:rPr>
        <w:t>,</w:t>
      </w:r>
      <w:r w:rsidR="000A7F11" w:rsidRPr="003D1371">
        <w:rPr>
          <w:rFonts w:ascii="Times New Roman" w:hAnsi="Times New Roman" w:cs="Times New Roman"/>
          <w:sz w:val="24"/>
          <w:szCs w:val="24"/>
        </w:rPr>
        <w:t xml:space="preserve"> </w:t>
      </w:r>
      <w:r w:rsidR="009A4D60" w:rsidRPr="003D1371">
        <w:rPr>
          <w:rFonts w:ascii="Times New Roman" w:hAnsi="Times New Roman" w:cs="Times New Roman"/>
          <w:sz w:val="24"/>
          <w:szCs w:val="24"/>
        </w:rPr>
        <w:t>it is clear that there was no approval from the second respondent</w:t>
      </w:r>
      <w:r w:rsidR="00D7319F">
        <w:rPr>
          <w:rFonts w:ascii="Times New Roman" w:hAnsi="Times New Roman" w:cs="Times New Roman"/>
          <w:sz w:val="24"/>
          <w:szCs w:val="24"/>
        </w:rPr>
        <w:t xml:space="preserve"> as mandated by                        s 205</w:t>
      </w:r>
      <w:r w:rsidR="0013098F" w:rsidRPr="003D1371">
        <w:rPr>
          <w:rFonts w:ascii="Times New Roman" w:hAnsi="Times New Roman" w:cs="Times New Roman"/>
          <w:sz w:val="24"/>
          <w:szCs w:val="24"/>
        </w:rPr>
        <w:t xml:space="preserve"> </w:t>
      </w:r>
      <w:r w:rsidR="00D7319F">
        <w:rPr>
          <w:rFonts w:ascii="Times New Roman" w:hAnsi="Times New Roman" w:cs="Times New Roman"/>
          <w:sz w:val="24"/>
          <w:szCs w:val="24"/>
        </w:rPr>
        <w:t>(</w:t>
      </w:r>
      <w:r w:rsidR="0013098F" w:rsidRPr="003D1371">
        <w:rPr>
          <w:rFonts w:ascii="Times New Roman" w:hAnsi="Times New Roman" w:cs="Times New Roman"/>
          <w:sz w:val="24"/>
          <w:szCs w:val="24"/>
        </w:rPr>
        <w:t>3</w:t>
      </w:r>
      <w:r w:rsidR="00D7319F">
        <w:rPr>
          <w:rFonts w:ascii="Times New Roman" w:hAnsi="Times New Roman" w:cs="Times New Roman"/>
          <w:sz w:val="24"/>
          <w:szCs w:val="24"/>
        </w:rPr>
        <w:t>)</w:t>
      </w:r>
      <w:r w:rsidR="0013098F" w:rsidRPr="003D1371">
        <w:rPr>
          <w:rFonts w:ascii="Times New Roman" w:hAnsi="Times New Roman" w:cs="Times New Roman"/>
          <w:sz w:val="24"/>
          <w:szCs w:val="24"/>
        </w:rPr>
        <w:t xml:space="preserve"> of the Act</w:t>
      </w:r>
      <w:r w:rsidR="009A4D60" w:rsidRPr="003D1371">
        <w:rPr>
          <w:rFonts w:ascii="Times New Roman" w:hAnsi="Times New Roman" w:cs="Times New Roman"/>
          <w:sz w:val="24"/>
          <w:szCs w:val="24"/>
        </w:rPr>
        <w:t xml:space="preserve">, which </w:t>
      </w:r>
      <w:r w:rsidR="000A7F11" w:rsidRPr="003D1371">
        <w:rPr>
          <w:rFonts w:ascii="Times New Roman" w:hAnsi="Times New Roman" w:cs="Times New Roman"/>
          <w:sz w:val="24"/>
          <w:szCs w:val="24"/>
        </w:rPr>
        <w:t>absence vitiated the allocation of the land to the appellant.</w:t>
      </w:r>
      <w:r w:rsidR="0013098F" w:rsidRPr="003D1371">
        <w:rPr>
          <w:rFonts w:ascii="Times New Roman" w:hAnsi="Times New Roman" w:cs="Times New Roman"/>
          <w:sz w:val="24"/>
          <w:szCs w:val="24"/>
        </w:rPr>
        <w:t xml:space="preserve"> </w:t>
      </w:r>
      <w:r w:rsidR="0077767A" w:rsidRPr="003D1371">
        <w:rPr>
          <w:rFonts w:ascii="Times New Roman" w:hAnsi="Times New Roman" w:cs="Times New Roman"/>
          <w:sz w:val="24"/>
          <w:szCs w:val="24"/>
        </w:rPr>
        <w:t xml:space="preserve">In </w:t>
      </w:r>
      <w:r w:rsidR="0077767A" w:rsidRPr="003D1371">
        <w:rPr>
          <w:rFonts w:ascii="Times New Roman" w:hAnsi="Times New Roman" w:cs="Times New Roman"/>
          <w:i/>
          <w:sz w:val="24"/>
          <w:szCs w:val="24"/>
        </w:rPr>
        <w:t>Mcfoy</w:t>
      </w:r>
      <w:r w:rsidR="0077767A" w:rsidRPr="003D1371">
        <w:rPr>
          <w:rFonts w:ascii="Times New Roman" w:hAnsi="Times New Roman" w:cs="Times New Roman"/>
          <w:sz w:val="24"/>
          <w:szCs w:val="24"/>
        </w:rPr>
        <w:t xml:space="preserve"> v </w:t>
      </w:r>
      <w:r w:rsidR="0077767A" w:rsidRPr="003D1371">
        <w:rPr>
          <w:rFonts w:ascii="Times New Roman" w:hAnsi="Times New Roman" w:cs="Times New Roman"/>
          <w:i/>
          <w:sz w:val="24"/>
          <w:szCs w:val="24"/>
        </w:rPr>
        <w:t>United Africa Co Ltd</w:t>
      </w:r>
      <w:r w:rsidR="0077767A" w:rsidRPr="003D1371">
        <w:rPr>
          <w:rFonts w:ascii="Times New Roman" w:hAnsi="Times New Roman" w:cs="Times New Roman"/>
          <w:sz w:val="24"/>
          <w:szCs w:val="24"/>
        </w:rPr>
        <w:t xml:space="preserve"> 1961 (3) ALL ER 1169 at 1172</w:t>
      </w:r>
      <w:r w:rsidR="00D708E1" w:rsidRPr="003D1371">
        <w:rPr>
          <w:rFonts w:ascii="Times New Roman" w:hAnsi="Times New Roman" w:cs="Times New Roman"/>
          <w:sz w:val="24"/>
          <w:szCs w:val="24"/>
        </w:rPr>
        <w:t>,</w:t>
      </w:r>
      <w:r w:rsidR="0077767A" w:rsidRPr="003D1371">
        <w:rPr>
          <w:rFonts w:ascii="Times New Roman" w:hAnsi="Times New Roman" w:cs="Times New Roman"/>
          <w:sz w:val="24"/>
          <w:szCs w:val="24"/>
        </w:rPr>
        <w:t xml:space="preserve"> Lord DENNING observed that: </w:t>
      </w:r>
    </w:p>
    <w:p w14:paraId="112C7423" w14:textId="77777777" w:rsidR="0077767A" w:rsidRDefault="0077767A" w:rsidP="00606147">
      <w:pPr>
        <w:spacing w:line="240" w:lineRule="auto"/>
        <w:ind w:left="1134"/>
        <w:jc w:val="both"/>
        <w:rPr>
          <w:rFonts w:ascii="Times New Roman" w:hAnsi="Times New Roman" w:cs="Times New Roman"/>
          <w:sz w:val="24"/>
          <w:szCs w:val="24"/>
        </w:rPr>
      </w:pPr>
      <w:r w:rsidRPr="003D1371">
        <w:rPr>
          <w:rFonts w:ascii="Times New Roman" w:hAnsi="Times New Roman" w:cs="Times New Roman"/>
          <w:sz w:val="24"/>
          <w:szCs w:val="24"/>
        </w:rPr>
        <w:t xml:space="preserve">“If an act is void, then, it is in law a nullity. It is not only bad but incurably bad. There is no need for an order of court for it to be set aside. It is automatically null and void without more ado, although it is sometimes more convenient to have the court declare it to be so. And every proceeding which is founded on it is also bad. You cannot put something on nothing and expect it to stay there. It will collapse.” </w:t>
      </w:r>
    </w:p>
    <w:p w14:paraId="62A68D52" w14:textId="77777777" w:rsidR="00606147" w:rsidRPr="003D1371" w:rsidRDefault="00606147" w:rsidP="00606147">
      <w:pPr>
        <w:spacing w:line="240" w:lineRule="auto"/>
        <w:ind w:left="1134"/>
        <w:jc w:val="both"/>
        <w:rPr>
          <w:rFonts w:ascii="Times New Roman" w:hAnsi="Times New Roman" w:cs="Times New Roman"/>
          <w:sz w:val="24"/>
          <w:szCs w:val="24"/>
        </w:rPr>
      </w:pPr>
    </w:p>
    <w:p w14:paraId="71702519" w14:textId="2E92D2C3" w:rsidR="000E12C8" w:rsidRDefault="000A7F11" w:rsidP="00606147">
      <w:pPr>
        <w:pStyle w:val="ListParagraph"/>
        <w:numPr>
          <w:ilvl w:val="0"/>
          <w:numId w:val="8"/>
        </w:numPr>
        <w:spacing w:line="480" w:lineRule="auto"/>
        <w:ind w:left="426" w:hanging="426"/>
        <w:jc w:val="both"/>
        <w:rPr>
          <w:rFonts w:ascii="Times New Roman" w:hAnsi="Times New Roman" w:cs="Times New Roman"/>
          <w:sz w:val="24"/>
          <w:szCs w:val="24"/>
        </w:rPr>
      </w:pPr>
      <w:r w:rsidRPr="003D1371">
        <w:rPr>
          <w:rFonts w:ascii="Times New Roman" w:hAnsi="Times New Roman" w:cs="Times New Roman"/>
          <w:sz w:val="24"/>
          <w:szCs w:val="24"/>
        </w:rPr>
        <w:t xml:space="preserve"> </w:t>
      </w:r>
      <w:r w:rsidR="004F56CD" w:rsidRPr="003D1371">
        <w:rPr>
          <w:rFonts w:ascii="Times New Roman" w:hAnsi="Times New Roman" w:cs="Times New Roman"/>
          <w:sz w:val="24"/>
          <w:szCs w:val="24"/>
        </w:rPr>
        <w:t>In that regard, t</w:t>
      </w:r>
      <w:r w:rsidRPr="003D1371">
        <w:rPr>
          <w:rFonts w:ascii="Times New Roman" w:hAnsi="Times New Roman" w:cs="Times New Roman"/>
          <w:sz w:val="24"/>
          <w:szCs w:val="24"/>
        </w:rPr>
        <w:t xml:space="preserve">he court </w:t>
      </w:r>
      <w:r w:rsidR="009A492D" w:rsidRPr="003D1371">
        <w:rPr>
          <w:rFonts w:ascii="Times New Roman" w:hAnsi="Times New Roman" w:cs="Times New Roman"/>
          <w:i/>
          <w:sz w:val="24"/>
          <w:szCs w:val="24"/>
        </w:rPr>
        <w:t>a quo</w:t>
      </w:r>
      <w:r w:rsidRPr="003D1371">
        <w:rPr>
          <w:rFonts w:ascii="Times New Roman" w:hAnsi="Times New Roman" w:cs="Times New Roman"/>
          <w:sz w:val="24"/>
          <w:szCs w:val="24"/>
        </w:rPr>
        <w:t xml:space="preserve"> cannot be faulted for finding that the entire process was a nullity from the beginning. </w:t>
      </w:r>
      <w:r w:rsidR="00606147">
        <w:rPr>
          <w:rFonts w:ascii="Times New Roman" w:hAnsi="Times New Roman" w:cs="Times New Roman"/>
          <w:sz w:val="24"/>
          <w:szCs w:val="24"/>
        </w:rPr>
        <w:t xml:space="preserve"> </w:t>
      </w:r>
      <w:r w:rsidR="00A936EC" w:rsidRPr="003D1371">
        <w:rPr>
          <w:rFonts w:ascii="Times New Roman" w:hAnsi="Times New Roman" w:cs="Times New Roman"/>
          <w:sz w:val="24"/>
          <w:szCs w:val="24"/>
        </w:rPr>
        <w:t>This Court cannot interfere with th</w:t>
      </w:r>
      <w:r w:rsidR="00CF1DC7" w:rsidRPr="003D1371">
        <w:rPr>
          <w:rFonts w:ascii="Times New Roman" w:hAnsi="Times New Roman" w:cs="Times New Roman"/>
          <w:sz w:val="24"/>
          <w:szCs w:val="24"/>
        </w:rPr>
        <w:t xml:space="preserve">is finding made by the court </w:t>
      </w:r>
      <w:r w:rsidR="009A492D" w:rsidRPr="003D1371">
        <w:rPr>
          <w:rFonts w:ascii="Times New Roman" w:hAnsi="Times New Roman" w:cs="Times New Roman"/>
          <w:i/>
          <w:sz w:val="24"/>
          <w:szCs w:val="24"/>
        </w:rPr>
        <w:t>a quo</w:t>
      </w:r>
      <w:r w:rsidR="00CF1DC7" w:rsidRPr="003D1371">
        <w:rPr>
          <w:rFonts w:ascii="Times New Roman" w:hAnsi="Times New Roman" w:cs="Times New Roman"/>
          <w:sz w:val="24"/>
          <w:szCs w:val="24"/>
        </w:rPr>
        <w:t xml:space="preserve">. </w:t>
      </w:r>
    </w:p>
    <w:p w14:paraId="51AC53FD" w14:textId="77777777" w:rsidR="00606147" w:rsidRPr="003D1371" w:rsidRDefault="00606147" w:rsidP="00606147">
      <w:pPr>
        <w:pStyle w:val="ListParagraph"/>
        <w:spacing w:after="0" w:line="240" w:lineRule="auto"/>
        <w:ind w:left="426"/>
        <w:jc w:val="both"/>
        <w:rPr>
          <w:rFonts w:ascii="Times New Roman" w:hAnsi="Times New Roman" w:cs="Times New Roman"/>
          <w:sz w:val="24"/>
          <w:szCs w:val="24"/>
        </w:rPr>
      </w:pPr>
    </w:p>
    <w:p w14:paraId="764C2DBC" w14:textId="51F2C455" w:rsidR="00B2411E" w:rsidRPr="003D1371" w:rsidRDefault="00D9760B" w:rsidP="00606147">
      <w:pPr>
        <w:pStyle w:val="ListParagraph"/>
        <w:numPr>
          <w:ilvl w:val="0"/>
          <w:numId w:val="8"/>
        </w:numPr>
        <w:spacing w:after="0" w:line="480" w:lineRule="auto"/>
        <w:ind w:left="426" w:hanging="426"/>
        <w:jc w:val="both"/>
        <w:rPr>
          <w:rFonts w:ascii="Times New Roman" w:hAnsi="Times New Roman" w:cs="Times New Roman"/>
          <w:sz w:val="24"/>
          <w:szCs w:val="24"/>
        </w:rPr>
      </w:pPr>
      <w:r w:rsidRPr="003D1371">
        <w:rPr>
          <w:rFonts w:ascii="Times New Roman" w:hAnsi="Times New Roman" w:cs="Times New Roman"/>
          <w:sz w:val="24"/>
          <w:szCs w:val="24"/>
        </w:rPr>
        <w:t>T</w:t>
      </w:r>
      <w:r w:rsidR="005924EB" w:rsidRPr="003D1371">
        <w:rPr>
          <w:rFonts w:ascii="Times New Roman" w:hAnsi="Times New Roman" w:cs="Times New Roman"/>
          <w:sz w:val="24"/>
          <w:szCs w:val="24"/>
        </w:rPr>
        <w:t xml:space="preserve">he appellant’s argument </w:t>
      </w:r>
      <w:r w:rsidR="000A7F11" w:rsidRPr="003D1371">
        <w:rPr>
          <w:rFonts w:ascii="Times New Roman" w:hAnsi="Times New Roman" w:cs="Times New Roman"/>
          <w:sz w:val="24"/>
          <w:szCs w:val="24"/>
        </w:rPr>
        <w:t xml:space="preserve">that none of the respondents pleaded that </w:t>
      </w:r>
      <w:r w:rsidR="005924EB" w:rsidRPr="003D1371">
        <w:rPr>
          <w:rFonts w:ascii="Times New Roman" w:hAnsi="Times New Roman" w:cs="Times New Roman"/>
          <w:sz w:val="24"/>
          <w:szCs w:val="24"/>
        </w:rPr>
        <w:t xml:space="preserve">its </w:t>
      </w:r>
      <w:r w:rsidR="000A7F11" w:rsidRPr="003D1371">
        <w:rPr>
          <w:rFonts w:ascii="Times New Roman" w:hAnsi="Times New Roman" w:cs="Times New Roman"/>
          <w:sz w:val="24"/>
          <w:szCs w:val="24"/>
        </w:rPr>
        <w:t>allocation was invalid on account</w:t>
      </w:r>
      <w:r w:rsidR="00305FFC">
        <w:rPr>
          <w:rFonts w:ascii="Times New Roman" w:hAnsi="Times New Roman" w:cs="Times New Roman"/>
          <w:sz w:val="24"/>
          <w:szCs w:val="24"/>
        </w:rPr>
        <w:t xml:space="preserve"> of the fact</w:t>
      </w:r>
      <w:r w:rsidR="000A7F11" w:rsidRPr="003D1371">
        <w:rPr>
          <w:rFonts w:ascii="Times New Roman" w:hAnsi="Times New Roman" w:cs="Times New Roman"/>
          <w:sz w:val="24"/>
          <w:szCs w:val="24"/>
        </w:rPr>
        <w:t xml:space="preserve"> that the first respondent did not follow the </w:t>
      </w:r>
      <w:r w:rsidR="00D7319F">
        <w:rPr>
          <w:rFonts w:ascii="Times New Roman" w:hAnsi="Times New Roman" w:cs="Times New Roman"/>
          <w:sz w:val="24"/>
          <w:szCs w:val="24"/>
        </w:rPr>
        <w:t xml:space="preserve">due process stated in s </w:t>
      </w:r>
      <w:r w:rsidR="000A7F11" w:rsidRPr="003D1371">
        <w:rPr>
          <w:rFonts w:ascii="Times New Roman" w:hAnsi="Times New Roman" w:cs="Times New Roman"/>
          <w:sz w:val="24"/>
          <w:szCs w:val="24"/>
        </w:rPr>
        <w:t>2</w:t>
      </w:r>
      <w:r w:rsidR="00BC2CEF" w:rsidRPr="003D1371">
        <w:rPr>
          <w:rFonts w:ascii="Times New Roman" w:hAnsi="Times New Roman" w:cs="Times New Roman"/>
          <w:sz w:val="24"/>
          <w:szCs w:val="24"/>
        </w:rPr>
        <w:t xml:space="preserve">05 of the </w:t>
      </w:r>
      <w:r w:rsidR="00605397" w:rsidRPr="003D1371">
        <w:rPr>
          <w:rFonts w:ascii="Times New Roman" w:hAnsi="Times New Roman" w:cs="Times New Roman"/>
          <w:sz w:val="24"/>
          <w:szCs w:val="24"/>
        </w:rPr>
        <w:t>Act</w:t>
      </w:r>
      <w:r w:rsidR="005924EB" w:rsidRPr="003D1371">
        <w:rPr>
          <w:rFonts w:ascii="Times New Roman" w:hAnsi="Times New Roman" w:cs="Times New Roman"/>
          <w:sz w:val="24"/>
          <w:szCs w:val="24"/>
        </w:rPr>
        <w:t xml:space="preserve"> does not </w:t>
      </w:r>
      <w:r w:rsidR="00952086">
        <w:rPr>
          <w:rFonts w:ascii="Times New Roman" w:hAnsi="Times New Roman" w:cs="Times New Roman"/>
          <w:sz w:val="24"/>
          <w:szCs w:val="24"/>
        </w:rPr>
        <w:t>change the complexion of the matter</w:t>
      </w:r>
      <w:r w:rsidR="00605397" w:rsidRPr="003D1371">
        <w:rPr>
          <w:rFonts w:ascii="Times New Roman" w:hAnsi="Times New Roman" w:cs="Times New Roman"/>
          <w:sz w:val="24"/>
          <w:szCs w:val="24"/>
        </w:rPr>
        <w:t xml:space="preserve">. </w:t>
      </w:r>
      <w:r w:rsidR="00B2411E" w:rsidRPr="003D1371">
        <w:rPr>
          <w:rFonts w:ascii="Times New Roman" w:hAnsi="Times New Roman" w:cs="Times New Roman"/>
          <w:sz w:val="24"/>
          <w:szCs w:val="24"/>
        </w:rPr>
        <w:t xml:space="preserve">In </w:t>
      </w:r>
      <w:r w:rsidR="00B2411E" w:rsidRPr="003D1371">
        <w:rPr>
          <w:rFonts w:ascii="Times New Roman" w:hAnsi="Times New Roman" w:cs="Times New Roman"/>
          <w:i/>
          <w:sz w:val="24"/>
          <w:szCs w:val="24"/>
        </w:rPr>
        <w:t xml:space="preserve">Silonda </w:t>
      </w:r>
      <w:r w:rsidR="00B2411E" w:rsidRPr="003D1371">
        <w:rPr>
          <w:rFonts w:ascii="Times New Roman" w:hAnsi="Times New Roman" w:cs="Times New Roman"/>
          <w:sz w:val="24"/>
          <w:szCs w:val="24"/>
        </w:rPr>
        <w:t xml:space="preserve">v </w:t>
      </w:r>
      <w:r w:rsidR="00B2411E" w:rsidRPr="003D1371">
        <w:rPr>
          <w:rFonts w:ascii="Times New Roman" w:hAnsi="Times New Roman" w:cs="Times New Roman"/>
          <w:i/>
          <w:sz w:val="24"/>
          <w:szCs w:val="24"/>
        </w:rPr>
        <w:t>Nkomo</w:t>
      </w:r>
      <w:r w:rsidR="00D7319F">
        <w:rPr>
          <w:rFonts w:ascii="Times New Roman" w:hAnsi="Times New Roman" w:cs="Times New Roman"/>
          <w:sz w:val="24"/>
          <w:szCs w:val="24"/>
        </w:rPr>
        <w:t xml:space="preserve">, SC 6-22, at p </w:t>
      </w:r>
      <w:r w:rsidR="00B2411E" w:rsidRPr="003D1371">
        <w:rPr>
          <w:rFonts w:ascii="Times New Roman" w:hAnsi="Times New Roman" w:cs="Times New Roman"/>
          <w:sz w:val="24"/>
          <w:szCs w:val="24"/>
        </w:rPr>
        <w:t>19, it was stated :</w:t>
      </w:r>
    </w:p>
    <w:p w14:paraId="638376A9" w14:textId="77777777" w:rsidR="00752686" w:rsidRPr="003D1371" w:rsidRDefault="00A570F3" w:rsidP="00606147">
      <w:pPr>
        <w:tabs>
          <w:tab w:val="left" w:pos="1134"/>
        </w:tabs>
        <w:spacing w:after="0" w:line="240" w:lineRule="auto"/>
        <w:ind w:left="1134"/>
        <w:jc w:val="both"/>
        <w:rPr>
          <w:rFonts w:ascii="Times New Roman" w:hAnsi="Times New Roman" w:cs="Times New Roman"/>
          <w:sz w:val="24"/>
          <w:szCs w:val="24"/>
        </w:rPr>
      </w:pPr>
      <w:r w:rsidRPr="003D1371">
        <w:rPr>
          <w:rFonts w:ascii="Times New Roman" w:hAnsi="Times New Roman" w:cs="Times New Roman"/>
          <w:sz w:val="24"/>
          <w:szCs w:val="24"/>
        </w:rPr>
        <w:t>“</w:t>
      </w:r>
      <w:r w:rsidR="00752686" w:rsidRPr="003D1371">
        <w:rPr>
          <w:rFonts w:ascii="Times New Roman" w:hAnsi="Times New Roman" w:cs="Times New Roman"/>
          <w:sz w:val="24"/>
          <w:szCs w:val="24"/>
        </w:rPr>
        <w:t xml:space="preserve">But, even if it had not been so pleaded, such a failure would, as was noted </w:t>
      </w:r>
      <w:r w:rsidR="00752686" w:rsidRPr="003D1371">
        <w:rPr>
          <w:rFonts w:ascii="Times New Roman" w:hAnsi="Times New Roman" w:cs="Times New Roman"/>
          <w:i/>
          <w:sz w:val="24"/>
          <w:szCs w:val="24"/>
        </w:rPr>
        <w:t>en passant</w:t>
      </w:r>
      <w:r w:rsidR="00752686" w:rsidRPr="003D1371">
        <w:rPr>
          <w:rFonts w:ascii="Times New Roman" w:hAnsi="Times New Roman" w:cs="Times New Roman"/>
          <w:sz w:val="24"/>
          <w:szCs w:val="24"/>
        </w:rPr>
        <w:t xml:space="preserve"> by the court </w:t>
      </w:r>
      <w:r w:rsidR="009A492D" w:rsidRPr="003D1371">
        <w:rPr>
          <w:rFonts w:ascii="Times New Roman" w:hAnsi="Times New Roman" w:cs="Times New Roman"/>
          <w:i/>
          <w:sz w:val="24"/>
          <w:szCs w:val="24"/>
        </w:rPr>
        <w:t>a quo</w:t>
      </w:r>
      <w:r w:rsidR="00752686" w:rsidRPr="003D1371">
        <w:rPr>
          <w:rFonts w:ascii="Times New Roman" w:hAnsi="Times New Roman" w:cs="Times New Roman"/>
          <w:sz w:val="24"/>
          <w:szCs w:val="24"/>
        </w:rPr>
        <w:t>, have been cured by the evidence led at the trial. This finding accords with both judicial precedent and the academic works of reputable legal writers.</w:t>
      </w:r>
    </w:p>
    <w:p w14:paraId="456C2ADA" w14:textId="77777777" w:rsidR="00A570F3" w:rsidRPr="003D1371" w:rsidRDefault="00A570F3" w:rsidP="00A570F3">
      <w:pPr>
        <w:tabs>
          <w:tab w:val="left" w:pos="1134"/>
        </w:tabs>
        <w:spacing w:after="0" w:line="240" w:lineRule="auto"/>
        <w:ind w:left="1134"/>
        <w:jc w:val="both"/>
        <w:rPr>
          <w:rFonts w:ascii="Times New Roman" w:hAnsi="Times New Roman" w:cs="Times New Roman"/>
          <w:sz w:val="24"/>
          <w:szCs w:val="24"/>
        </w:rPr>
      </w:pPr>
    </w:p>
    <w:p w14:paraId="61B4D7E4" w14:textId="424411DE" w:rsidR="00752686" w:rsidRPr="003D1371" w:rsidRDefault="00752686" w:rsidP="00606147">
      <w:pPr>
        <w:tabs>
          <w:tab w:val="left" w:pos="1134"/>
        </w:tabs>
        <w:spacing w:after="0" w:line="240" w:lineRule="auto"/>
        <w:ind w:left="1134"/>
        <w:jc w:val="both"/>
        <w:rPr>
          <w:rFonts w:ascii="Times New Roman" w:hAnsi="Times New Roman" w:cs="Times New Roman"/>
          <w:sz w:val="24"/>
          <w:szCs w:val="24"/>
        </w:rPr>
      </w:pPr>
      <w:r w:rsidRPr="003D1371">
        <w:rPr>
          <w:rFonts w:ascii="Times New Roman" w:hAnsi="Times New Roman" w:cs="Times New Roman"/>
          <w:sz w:val="24"/>
          <w:szCs w:val="24"/>
        </w:rPr>
        <w:t xml:space="preserve">In </w:t>
      </w:r>
      <w:r w:rsidRPr="003D1371">
        <w:rPr>
          <w:rFonts w:ascii="Times New Roman" w:hAnsi="Times New Roman" w:cs="Times New Roman"/>
          <w:i/>
          <w:sz w:val="24"/>
          <w:szCs w:val="24"/>
        </w:rPr>
        <w:t>Mtuda v Ndudzo</w:t>
      </w:r>
      <w:r w:rsidRPr="003D1371">
        <w:rPr>
          <w:rFonts w:ascii="Times New Roman" w:hAnsi="Times New Roman" w:cs="Times New Roman"/>
          <w:sz w:val="24"/>
          <w:szCs w:val="24"/>
        </w:rPr>
        <w:t xml:space="preserve"> 2000 (1) ZLR 710 (H) at 719B- F, G</w:t>
      </w:r>
      <w:r w:rsidR="00606147" w:rsidRPr="00606147">
        <w:rPr>
          <w:rFonts w:ascii="Times New Roman" w:hAnsi="Times New Roman" w:cs="Times New Roman"/>
          <w:smallCaps/>
          <w:sz w:val="24"/>
          <w:szCs w:val="24"/>
        </w:rPr>
        <w:t>arwe</w:t>
      </w:r>
      <w:r w:rsidRPr="003D1371">
        <w:rPr>
          <w:rFonts w:ascii="Times New Roman" w:hAnsi="Times New Roman" w:cs="Times New Roman"/>
          <w:sz w:val="24"/>
          <w:szCs w:val="24"/>
        </w:rPr>
        <w:t xml:space="preserve"> J, as he then was, held that where an issue is not raised in the pleadings but has been identified for determination at a pre-trial conference and fully canvased at the trial, even if an amendment is not moved, a court is entitled to adjudicate on it. This effectively means that a defective pleading will be cured by evidence.  </w:t>
      </w:r>
    </w:p>
    <w:p w14:paraId="71CB38D7" w14:textId="77777777" w:rsidR="00B2411E" w:rsidRPr="003D1371" w:rsidRDefault="00B2411E" w:rsidP="00B2411E">
      <w:pPr>
        <w:tabs>
          <w:tab w:val="left" w:pos="1134"/>
        </w:tabs>
        <w:spacing w:after="0" w:line="240" w:lineRule="auto"/>
        <w:ind w:left="1134"/>
        <w:jc w:val="both"/>
        <w:rPr>
          <w:rFonts w:ascii="Times New Roman" w:hAnsi="Times New Roman" w:cs="Times New Roman"/>
          <w:sz w:val="24"/>
          <w:szCs w:val="24"/>
        </w:rPr>
      </w:pPr>
    </w:p>
    <w:p w14:paraId="1C508958" w14:textId="77777777" w:rsidR="00752686" w:rsidRDefault="00752686" w:rsidP="00606147">
      <w:pPr>
        <w:tabs>
          <w:tab w:val="left" w:pos="1134"/>
        </w:tabs>
        <w:spacing w:after="0" w:line="240" w:lineRule="auto"/>
        <w:ind w:left="1134"/>
        <w:jc w:val="both"/>
        <w:rPr>
          <w:rFonts w:ascii="Times New Roman" w:hAnsi="Times New Roman" w:cs="Times New Roman"/>
          <w:sz w:val="24"/>
          <w:szCs w:val="24"/>
        </w:rPr>
      </w:pPr>
      <w:r w:rsidRPr="003D1371">
        <w:rPr>
          <w:rFonts w:ascii="Times New Roman" w:hAnsi="Times New Roman" w:cs="Times New Roman"/>
          <w:sz w:val="24"/>
          <w:szCs w:val="24"/>
        </w:rPr>
        <w:t xml:space="preserve">To similar effect is </w:t>
      </w:r>
      <w:r w:rsidRPr="003D1371">
        <w:rPr>
          <w:rFonts w:ascii="Times New Roman" w:hAnsi="Times New Roman" w:cs="Times New Roman"/>
          <w:i/>
          <w:sz w:val="24"/>
          <w:szCs w:val="24"/>
        </w:rPr>
        <w:t>Herbstein and Van Winsen’s</w:t>
      </w:r>
      <w:r w:rsidRPr="003D1371">
        <w:rPr>
          <w:rFonts w:ascii="Times New Roman" w:hAnsi="Times New Roman" w:cs="Times New Roman"/>
          <w:sz w:val="24"/>
          <w:szCs w:val="24"/>
        </w:rPr>
        <w:t xml:space="preserve"> </w:t>
      </w:r>
      <w:r w:rsidRPr="003D1371">
        <w:rPr>
          <w:rFonts w:ascii="Times New Roman" w:hAnsi="Times New Roman" w:cs="Times New Roman"/>
          <w:i/>
          <w:sz w:val="24"/>
          <w:szCs w:val="24"/>
        </w:rPr>
        <w:t xml:space="preserve">Civil Practice of the High Courts of South Africa </w:t>
      </w:r>
      <w:r w:rsidRPr="003D1371">
        <w:rPr>
          <w:rFonts w:ascii="Times New Roman" w:hAnsi="Times New Roman" w:cs="Times New Roman"/>
          <w:sz w:val="24"/>
          <w:szCs w:val="24"/>
        </w:rPr>
        <w:t>5</w:t>
      </w:r>
      <w:r w:rsidRPr="003D1371">
        <w:rPr>
          <w:rFonts w:ascii="Times New Roman" w:hAnsi="Times New Roman" w:cs="Times New Roman"/>
          <w:sz w:val="24"/>
          <w:szCs w:val="24"/>
          <w:vertAlign w:val="superscript"/>
        </w:rPr>
        <w:t>th</w:t>
      </w:r>
      <w:r w:rsidRPr="003D1371">
        <w:rPr>
          <w:rFonts w:ascii="Times New Roman" w:hAnsi="Times New Roman" w:cs="Times New Roman"/>
          <w:sz w:val="24"/>
          <w:szCs w:val="24"/>
        </w:rPr>
        <w:t xml:space="preserve"> ed by Cilliers </w:t>
      </w:r>
      <w:r w:rsidRPr="003D1371">
        <w:rPr>
          <w:rFonts w:ascii="Times New Roman" w:hAnsi="Times New Roman" w:cs="Times New Roman"/>
          <w:i/>
          <w:sz w:val="24"/>
          <w:szCs w:val="24"/>
        </w:rPr>
        <w:t>et al</w:t>
      </w:r>
      <w:r w:rsidRPr="003D1371">
        <w:rPr>
          <w:rFonts w:ascii="Times New Roman" w:hAnsi="Times New Roman" w:cs="Times New Roman"/>
          <w:sz w:val="24"/>
          <w:szCs w:val="24"/>
        </w:rPr>
        <w:t xml:space="preserve"> at p 575-576 where it is stated that:</w:t>
      </w:r>
    </w:p>
    <w:p w14:paraId="6F65D3AE" w14:textId="77777777" w:rsidR="00606147" w:rsidRPr="003D1371" w:rsidRDefault="00606147" w:rsidP="00606147">
      <w:pPr>
        <w:tabs>
          <w:tab w:val="left" w:pos="1134"/>
        </w:tabs>
        <w:spacing w:after="0" w:line="240" w:lineRule="auto"/>
        <w:ind w:left="1276"/>
        <w:jc w:val="both"/>
        <w:rPr>
          <w:rFonts w:ascii="Times New Roman" w:hAnsi="Times New Roman" w:cs="Times New Roman"/>
          <w:sz w:val="24"/>
          <w:szCs w:val="24"/>
        </w:rPr>
      </w:pPr>
    </w:p>
    <w:p w14:paraId="58B1A48C" w14:textId="77777777" w:rsidR="00752686" w:rsidRPr="003D1371" w:rsidRDefault="00752686" w:rsidP="00606147">
      <w:pPr>
        <w:spacing w:after="0" w:line="240" w:lineRule="auto"/>
        <w:ind w:left="1134"/>
        <w:jc w:val="both"/>
        <w:rPr>
          <w:rFonts w:ascii="Times New Roman" w:hAnsi="Times New Roman" w:cs="Times New Roman"/>
          <w:sz w:val="24"/>
          <w:szCs w:val="24"/>
        </w:rPr>
      </w:pPr>
      <w:r w:rsidRPr="003D1371">
        <w:rPr>
          <w:rFonts w:ascii="Times New Roman" w:hAnsi="Times New Roman" w:cs="Times New Roman"/>
          <w:sz w:val="24"/>
          <w:szCs w:val="24"/>
        </w:rPr>
        <w:t>“Even where no amendments have been applied for, both trial and appeal courts have adjudicated on issues not raised on the pleadings but fully canvassed at the trial.”</w:t>
      </w:r>
    </w:p>
    <w:p w14:paraId="320275D0" w14:textId="77777777" w:rsidR="00752686" w:rsidRPr="003D1371" w:rsidRDefault="00752686" w:rsidP="00752686">
      <w:pPr>
        <w:tabs>
          <w:tab w:val="left" w:pos="1134"/>
        </w:tabs>
        <w:spacing w:after="0" w:line="240" w:lineRule="auto"/>
        <w:ind w:left="720"/>
        <w:jc w:val="both"/>
        <w:rPr>
          <w:rFonts w:ascii="Times New Roman" w:hAnsi="Times New Roman" w:cs="Times New Roman"/>
          <w:sz w:val="24"/>
          <w:szCs w:val="24"/>
        </w:rPr>
      </w:pPr>
      <w:r w:rsidRPr="003D1371">
        <w:rPr>
          <w:rFonts w:ascii="Times New Roman" w:hAnsi="Times New Roman" w:cs="Times New Roman"/>
          <w:sz w:val="24"/>
          <w:szCs w:val="24"/>
        </w:rPr>
        <w:lastRenderedPageBreak/>
        <w:tab/>
      </w:r>
    </w:p>
    <w:p w14:paraId="236E7612" w14:textId="6E4DCF36" w:rsidR="00752686" w:rsidRPr="003D1371" w:rsidRDefault="00752686" w:rsidP="00606147">
      <w:pPr>
        <w:tabs>
          <w:tab w:val="left" w:pos="0"/>
        </w:tabs>
        <w:jc w:val="both"/>
        <w:rPr>
          <w:rFonts w:ascii="Times New Roman" w:hAnsi="Times New Roman" w:cs="Times New Roman"/>
          <w:sz w:val="24"/>
          <w:szCs w:val="24"/>
        </w:rPr>
      </w:pPr>
      <w:r w:rsidRPr="003D1371">
        <w:rPr>
          <w:rFonts w:ascii="Times New Roman" w:hAnsi="Times New Roman" w:cs="Times New Roman"/>
          <w:sz w:val="24"/>
          <w:szCs w:val="24"/>
        </w:rPr>
        <w:t xml:space="preserve">Again </w:t>
      </w:r>
      <w:r w:rsidRPr="003D1371">
        <w:rPr>
          <w:rFonts w:ascii="Times New Roman" w:hAnsi="Times New Roman" w:cs="Times New Roman"/>
          <w:i/>
          <w:sz w:val="24"/>
          <w:szCs w:val="24"/>
        </w:rPr>
        <w:t>du Plessis</w:t>
      </w:r>
      <w:r w:rsidRPr="003D1371">
        <w:rPr>
          <w:rFonts w:ascii="Times New Roman" w:hAnsi="Times New Roman" w:cs="Times New Roman"/>
          <w:sz w:val="24"/>
          <w:szCs w:val="24"/>
        </w:rPr>
        <w:t xml:space="preserve">, </w:t>
      </w:r>
      <w:r w:rsidRPr="003D1371">
        <w:rPr>
          <w:rFonts w:ascii="Times New Roman" w:hAnsi="Times New Roman" w:cs="Times New Roman"/>
          <w:i/>
          <w:sz w:val="24"/>
          <w:szCs w:val="24"/>
        </w:rPr>
        <w:t>supra</w:t>
      </w:r>
      <w:r w:rsidRPr="003D1371">
        <w:rPr>
          <w:rFonts w:ascii="Times New Roman" w:hAnsi="Times New Roman" w:cs="Times New Roman"/>
          <w:sz w:val="24"/>
          <w:szCs w:val="24"/>
        </w:rPr>
        <w:t xml:space="preserve">, at p 3 footnote 10 writes that: </w:t>
      </w:r>
    </w:p>
    <w:p w14:paraId="5FB44B48" w14:textId="77777777" w:rsidR="00752686" w:rsidRDefault="00752686" w:rsidP="00606147">
      <w:pPr>
        <w:spacing w:line="240" w:lineRule="auto"/>
        <w:ind w:left="1134"/>
        <w:jc w:val="both"/>
        <w:rPr>
          <w:rFonts w:ascii="Times New Roman" w:hAnsi="Times New Roman" w:cs="Times New Roman"/>
          <w:sz w:val="24"/>
          <w:szCs w:val="24"/>
        </w:rPr>
      </w:pPr>
      <w:r w:rsidRPr="003D1371">
        <w:rPr>
          <w:rFonts w:ascii="Times New Roman" w:hAnsi="Times New Roman" w:cs="Times New Roman"/>
          <w:sz w:val="24"/>
          <w:szCs w:val="24"/>
        </w:rPr>
        <w:t xml:space="preserve">“A plaintiff who initially pleads the incorrect action may be allowed to amend his claim (see </w:t>
      </w:r>
      <w:r w:rsidRPr="003D1371">
        <w:rPr>
          <w:rFonts w:ascii="Times New Roman" w:hAnsi="Times New Roman" w:cs="Times New Roman"/>
          <w:i/>
          <w:sz w:val="24"/>
          <w:szCs w:val="24"/>
        </w:rPr>
        <w:t>Hughes v Levy</w:t>
      </w:r>
      <w:r w:rsidRPr="003D1371">
        <w:rPr>
          <w:rFonts w:ascii="Times New Roman" w:hAnsi="Times New Roman" w:cs="Times New Roman"/>
          <w:sz w:val="24"/>
          <w:szCs w:val="24"/>
        </w:rPr>
        <w:t xml:space="preserve"> 1907 TS 276). But even if such a plaintiff did not amend his claim, the court can still award the action that he should have relied on, as long as its requirements were fully canvassed in evidence and the defendant would not be prejudiced by reliance on the incorrect action in the pleadings. …</w:t>
      </w:r>
      <w:r w:rsidRPr="003D1371">
        <w:rPr>
          <w:rFonts w:ascii="Times New Roman" w:hAnsi="Times New Roman" w:cs="Times New Roman"/>
          <w:sz w:val="24"/>
          <w:szCs w:val="24"/>
          <w:u w:val="single"/>
        </w:rPr>
        <w:t>If the pleadings contain some of the customary allegations of a specific enrichment claim, and the defendant was alive to the basis of the claim, the defendant may not maintain a passive stance; he must raise an exception if he considers that the case has not been properly pleaded.</w:t>
      </w:r>
      <w:r w:rsidRPr="00606147">
        <w:rPr>
          <w:rFonts w:ascii="Times New Roman" w:hAnsi="Times New Roman" w:cs="Times New Roman"/>
          <w:sz w:val="24"/>
          <w:szCs w:val="24"/>
        </w:rPr>
        <w:t>” (My underlining for emphasis).”</w:t>
      </w:r>
    </w:p>
    <w:p w14:paraId="77E9563D" w14:textId="77777777" w:rsidR="000F13D5" w:rsidRPr="003D1371" w:rsidRDefault="000F13D5" w:rsidP="0048036C">
      <w:pPr>
        <w:spacing w:line="240" w:lineRule="auto"/>
        <w:ind w:left="2160"/>
        <w:jc w:val="both"/>
        <w:rPr>
          <w:rFonts w:ascii="Times New Roman" w:hAnsi="Times New Roman" w:cs="Times New Roman"/>
          <w:sz w:val="24"/>
          <w:szCs w:val="24"/>
        </w:rPr>
      </w:pPr>
    </w:p>
    <w:p w14:paraId="3CED6F4B" w14:textId="22694677" w:rsidR="00215949" w:rsidRPr="00606147" w:rsidRDefault="000A7F11" w:rsidP="00606147">
      <w:pPr>
        <w:pStyle w:val="ListParagraph"/>
        <w:numPr>
          <w:ilvl w:val="0"/>
          <w:numId w:val="8"/>
        </w:numPr>
        <w:spacing w:line="480" w:lineRule="auto"/>
        <w:ind w:left="426" w:hanging="426"/>
        <w:jc w:val="both"/>
        <w:rPr>
          <w:rFonts w:ascii="Times New Roman" w:hAnsi="Times New Roman" w:cs="Times New Roman"/>
          <w:b/>
          <w:i/>
          <w:sz w:val="24"/>
          <w:szCs w:val="24"/>
        </w:rPr>
      </w:pPr>
      <w:r w:rsidRPr="00795C29">
        <w:rPr>
          <w:rFonts w:ascii="Times New Roman" w:hAnsi="Times New Roman" w:cs="Times New Roman"/>
          <w:sz w:val="24"/>
          <w:szCs w:val="24"/>
        </w:rPr>
        <w:t>The issue that due proc</w:t>
      </w:r>
      <w:r w:rsidR="00606147">
        <w:rPr>
          <w:rFonts w:ascii="Times New Roman" w:hAnsi="Times New Roman" w:cs="Times New Roman"/>
          <w:sz w:val="24"/>
          <w:szCs w:val="24"/>
        </w:rPr>
        <w:t xml:space="preserve">ess was not followed as per s </w:t>
      </w:r>
      <w:r w:rsidRPr="00795C29">
        <w:rPr>
          <w:rFonts w:ascii="Times New Roman" w:hAnsi="Times New Roman" w:cs="Times New Roman"/>
          <w:sz w:val="24"/>
          <w:szCs w:val="24"/>
        </w:rPr>
        <w:t>205 of th</w:t>
      </w:r>
      <w:r w:rsidR="00E343AA" w:rsidRPr="00795C29">
        <w:rPr>
          <w:rFonts w:ascii="Times New Roman" w:hAnsi="Times New Roman" w:cs="Times New Roman"/>
          <w:sz w:val="24"/>
          <w:szCs w:val="24"/>
        </w:rPr>
        <w:t xml:space="preserve">e </w:t>
      </w:r>
      <w:r w:rsidR="00605397" w:rsidRPr="00795C29">
        <w:rPr>
          <w:rFonts w:ascii="Times New Roman" w:hAnsi="Times New Roman" w:cs="Times New Roman"/>
          <w:sz w:val="24"/>
          <w:szCs w:val="24"/>
        </w:rPr>
        <w:t>Act was raised as a</w:t>
      </w:r>
      <w:r w:rsidRPr="00795C29">
        <w:rPr>
          <w:rFonts w:ascii="Times New Roman" w:hAnsi="Times New Roman" w:cs="Times New Roman"/>
          <w:sz w:val="24"/>
          <w:szCs w:val="24"/>
        </w:rPr>
        <w:t xml:space="preserve"> defence by the</w:t>
      </w:r>
      <w:r w:rsidR="0048036C" w:rsidRPr="00795C29">
        <w:rPr>
          <w:rFonts w:ascii="Times New Roman" w:hAnsi="Times New Roman" w:cs="Times New Roman"/>
          <w:sz w:val="24"/>
          <w:szCs w:val="24"/>
        </w:rPr>
        <w:t xml:space="preserve"> </w:t>
      </w:r>
      <w:r w:rsidR="008D6DEE" w:rsidRPr="00795C29">
        <w:rPr>
          <w:rFonts w:ascii="Times New Roman" w:hAnsi="Times New Roman" w:cs="Times New Roman"/>
          <w:sz w:val="24"/>
          <w:szCs w:val="24"/>
        </w:rPr>
        <w:t>second</w:t>
      </w:r>
      <w:r w:rsidR="0048036C" w:rsidRPr="00795C29">
        <w:rPr>
          <w:rFonts w:ascii="Times New Roman" w:hAnsi="Times New Roman" w:cs="Times New Roman"/>
          <w:sz w:val="24"/>
          <w:szCs w:val="24"/>
        </w:rPr>
        <w:t xml:space="preserve"> and </w:t>
      </w:r>
      <w:r w:rsidR="008D6DEE" w:rsidRPr="00795C29">
        <w:rPr>
          <w:rFonts w:ascii="Times New Roman" w:hAnsi="Times New Roman" w:cs="Times New Roman"/>
          <w:sz w:val="24"/>
          <w:szCs w:val="24"/>
        </w:rPr>
        <w:t>third</w:t>
      </w:r>
      <w:r w:rsidR="0048036C" w:rsidRPr="00795C29">
        <w:rPr>
          <w:rFonts w:ascii="Times New Roman" w:hAnsi="Times New Roman" w:cs="Times New Roman"/>
          <w:sz w:val="24"/>
          <w:szCs w:val="24"/>
        </w:rPr>
        <w:t xml:space="preserve"> respondent</w:t>
      </w:r>
      <w:r w:rsidR="002C1775" w:rsidRPr="00795C29">
        <w:rPr>
          <w:rFonts w:ascii="Times New Roman" w:hAnsi="Times New Roman" w:cs="Times New Roman"/>
          <w:sz w:val="24"/>
          <w:szCs w:val="24"/>
        </w:rPr>
        <w:t>s</w:t>
      </w:r>
      <w:r w:rsidR="0048036C" w:rsidRPr="00795C29">
        <w:rPr>
          <w:rFonts w:ascii="Times New Roman" w:hAnsi="Times New Roman" w:cs="Times New Roman"/>
          <w:sz w:val="24"/>
          <w:szCs w:val="24"/>
        </w:rPr>
        <w:t xml:space="preserve"> during </w:t>
      </w:r>
      <w:r w:rsidR="00606147">
        <w:rPr>
          <w:rFonts w:ascii="Times New Roman" w:hAnsi="Times New Roman" w:cs="Times New Roman"/>
          <w:sz w:val="24"/>
          <w:szCs w:val="24"/>
        </w:rPr>
        <w:t xml:space="preserve">trial.  </w:t>
      </w:r>
      <w:r w:rsidR="008D6DEE" w:rsidRPr="00795C29">
        <w:rPr>
          <w:rFonts w:ascii="Times New Roman" w:hAnsi="Times New Roman" w:cs="Times New Roman"/>
          <w:sz w:val="24"/>
          <w:szCs w:val="24"/>
        </w:rPr>
        <w:t>T</w:t>
      </w:r>
      <w:r w:rsidRPr="00795C29">
        <w:rPr>
          <w:rFonts w:ascii="Times New Roman" w:hAnsi="Times New Roman" w:cs="Times New Roman"/>
          <w:sz w:val="24"/>
          <w:szCs w:val="24"/>
        </w:rPr>
        <w:t xml:space="preserve">he need for the </w:t>
      </w:r>
      <w:r w:rsidR="008D6DEE" w:rsidRPr="00795C29">
        <w:rPr>
          <w:rFonts w:ascii="Times New Roman" w:hAnsi="Times New Roman" w:cs="Times New Roman"/>
          <w:sz w:val="24"/>
          <w:szCs w:val="24"/>
        </w:rPr>
        <w:t xml:space="preserve">first </w:t>
      </w:r>
      <w:r w:rsidRPr="00795C29">
        <w:rPr>
          <w:rFonts w:ascii="Times New Roman" w:hAnsi="Times New Roman" w:cs="Times New Roman"/>
          <w:sz w:val="24"/>
          <w:szCs w:val="24"/>
        </w:rPr>
        <w:t xml:space="preserve">respondent to comply with </w:t>
      </w:r>
      <w:r w:rsidR="00E408CA">
        <w:rPr>
          <w:rFonts w:ascii="Times New Roman" w:hAnsi="Times New Roman" w:cs="Times New Roman"/>
          <w:sz w:val="24"/>
          <w:szCs w:val="24"/>
        </w:rPr>
        <w:t xml:space="preserve">the </w:t>
      </w:r>
      <w:r w:rsidRPr="00795C29">
        <w:rPr>
          <w:rFonts w:ascii="Times New Roman" w:hAnsi="Times New Roman" w:cs="Times New Roman"/>
          <w:sz w:val="24"/>
          <w:szCs w:val="24"/>
        </w:rPr>
        <w:t>said section is a statutory req</w:t>
      </w:r>
      <w:r w:rsidR="00640306" w:rsidRPr="00795C29">
        <w:rPr>
          <w:rFonts w:ascii="Times New Roman" w:hAnsi="Times New Roman" w:cs="Times New Roman"/>
          <w:sz w:val="24"/>
          <w:szCs w:val="24"/>
        </w:rPr>
        <w:t>uirement which is peremptory</w:t>
      </w:r>
      <w:r w:rsidRPr="00795C29">
        <w:rPr>
          <w:rFonts w:ascii="Times New Roman" w:hAnsi="Times New Roman" w:cs="Times New Roman"/>
          <w:sz w:val="24"/>
          <w:szCs w:val="24"/>
        </w:rPr>
        <w:t>.</w:t>
      </w:r>
      <w:r w:rsidR="00640306" w:rsidRPr="00795C29">
        <w:rPr>
          <w:rFonts w:ascii="Times New Roman" w:hAnsi="Times New Roman" w:cs="Times New Roman"/>
          <w:sz w:val="24"/>
          <w:szCs w:val="24"/>
        </w:rPr>
        <w:t xml:space="preserve"> In view of the above</w:t>
      </w:r>
      <w:r w:rsidRPr="00795C29">
        <w:rPr>
          <w:rFonts w:ascii="Times New Roman" w:hAnsi="Times New Roman" w:cs="Times New Roman"/>
          <w:sz w:val="24"/>
          <w:szCs w:val="24"/>
        </w:rPr>
        <w:t>, the argument by the appella</w:t>
      </w:r>
      <w:r w:rsidR="00795C29" w:rsidRPr="00795C29">
        <w:rPr>
          <w:rFonts w:ascii="Times New Roman" w:hAnsi="Times New Roman" w:cs="Times New Roman"/>
          <w:sz w:val="24"/>
          <w:szCs w:val="24"/>
        </w:rPr>
        <w:t>nt lacks merit and ought to fail</w:t>
      </w:r>
      <w:r w:rsidRPr="00795C29">
        <w:rPr>
          <w:rFonts w:ascii="Times New Roman" w:hAnsi="Times New Roman" w:cs="Times New Roman"/>
          <w:sz w:val="24"/>
          <w:szCs w:val="24"/>
        </w:rPr>
        <w:t xml:space="preserve">. </w:t>
      </w:r>
      <w:r w:rsidR="00795C29">
        <w:rPr>
          <w:rFonts w:ascii="Times New Roman" w:hAnsi="Times New Roman" w:cs="Times New Roman"/>
          <w:sz w:val="24"/>
          <w:szCs w:val="24"/>
        </w:rPr>
        <w:t xml:space="preserve">The allocation of </w:t>
      </w:r>
      <w:r w:rsidR="00CC57FC">
        <w:rPr>
          <w:rFonts w:ascii="Times New Roman" w:hAnsi="Times New Roman" w:cs="Times New Roman"/>
          <w:sz w:val="24"/>
          <w:szCs w:val="24"/>
        </w:rPr>
        <w:t>stands</w:t>
      </w:r>
      <w:r w:rsidR="00606147">
        <w:rPr>
          <w:rFonts w:ascii="Times New Roman" w:hAnsi="Times New Roman" w:cs="Times New Roman"/>
          <w:sz w:val="24"/>
          <w:szCs w:val="24"/>
        </w:rPr>
        <w:t xml:space="preserve"> outside the</w:t>
      </w:r>
      <w:r w:rsidR="00795C29">
        <w:rPr>
          <w:rFonts w:ascii="Times New Roman" w:hAnsi="Times New Roman" w:cs="Times New Roman"/>
          <w:sz w:val="24"/>
          <w:szCs w:val="24"/>
        </w:rPr>
        <w:t xml:space="preserve"> statutory requirement as provided in the Ac</w:t>
      </w:r>
      <w:r w:rsidR="00310865">
        <w:rPr>
          <w:rFonts w:ascii="Times New Roman" w:hAnsi="Times New Roman" w:cs="Times New Roman"/>
          <w:sz w:val="24"/>
          <w:szCs w:val="24"/>
        </w:rPr>
        <w:t xml:space="preserve">t is a nullity.  To this extent </w:t>
      </w:r>
      <w:r w:rsidR="00795C29">
        <w:rPr>
          <w:rFonts w:ascii="Times New Roman" w:hAnsi="Times New Roman" w:cs="Times New Roman"/>
          <w:sz w:val="24"/>
          <w:szCs w:val="24"/>
        </w:rPr>
        <w:t xml:space="preserve">therefore the court </w:t>
      </w:r>
      <w:r w:rsidR="00606147">
        <w:rPr>
          <w:rFonts w:ascii="Times New Roman" w:hAnsi="Times New Roman" w:cs="Times New Roman"/>
          <w:sz w:val="24"/>
          <w:szCs w:val="24"/>
        </w:rPr>
        <w:t xml:space="preserve">                   </w:t>
      </w:r>
      <w:r w:rsidR="00795C29" w:rsidRPr="00606147">
        <w:rPr>
          <w:rFonts w:ascii="Times New Roman" w:hAnsi="Times New Roman" w:cs="Times New Roman"/>
          <w:i/>
          <w:sz w:val="24"/>
          <w:szCs w:val="24"/>
        </w:rPr>
        <w:t>a quo</w:t>
      </w:r>
      <w:r w:rsidR="00CC57FC">
        <w:rPr>
          <w:rFonts w:ascii="Times New Roman" w:hAnsi="Times New Roman" w:cs="Times New Roman"/>
          <w:sz w:val="24"/>
          <w:szCs w:val="24"/>
        </w:rPr>
        <w:t xml:space="preserve"> correctly</w:t>
      </w:r>
      <w:r w:rsidR="00795C29">
        <w:rPr>
          <w:rFonts w:ascii="Times New Roman" w:hAnsi="Times New Roman" w:cs="Times New Roman"/>
          <w:sz w:val="24"/>
          <w:szCs w:val="24"/>
        </w:rPr>
        <w:t xml:space="preserve"> found that the </w:t>
      </w:r>
      <w:r w:rsidR="00310865">
        <w:rPr>
          <w:rFonts w:ascii="Times New Roman" w:hAnsi="Times New Roman" w:cs="Times New Roman"/>
          <w:sz w:val="24"/>
          <w:szCs w:val="24"/>
        </w:rPr>
        <w:t>second</w:t>
      </w:r>
      <w:r w:rsidR="00795C29">
        <w:rPr>
          <w:rFonts w:ascii="Times New Roman" w:hAnsi="Times New Roman" w:cs="Times New Roman"/>
          <w:sz w:val="24"/>
          <w:szCs w:val="24"/>
        </w:rPr>
        <w:t xml:space="preserve"> respon</w:t>
      </w:r>
      <w:r w:rsidR="00CC57FC">
        <w:rPr>
          <w:rFonts w:ascii="Times New Roman" w:hAnsi="Times New Roman" w:cs="Times New Roman"/>
          <w:sz w:val="24"/>
          <w:szCs w:val="24"/>
        </w:rPr>
        <w:t>dent was</w:t>
      </w:r>
      <w:r w:rsidR="00795C29">
        <w:rPr>
          <w:rFonts w:ascii="Times New Roman" w:hAnsi="Times New Roman" w:cs="Times New Roman"/>
          <w:sz w:val="24"/>
          <w:szCs w:val="24"/>
        </w:rPr>
        <w:t xml:space="preserve"> the owner of the land and had rights to allocate the stands whereas the first respondent could not valid</w:t>
      </w:r>
      <w:r w:rsidR="00E408CA">
        <w:rPr>
          <w:rFonts w:ascii="Times New Roman" w:hAnsi="Times New Roman" w:cs="Times New Roman"/>
          <w:sz w:val="24"/>
          <w:szCs w:val="24"/>
        </w:rPr>
        <w:t>ly</w:t>
      </w:r>
      <w:r w:rsidR="00795C29">
        <w:rPr>
          <w:rFonts w:ascii="Times New Roman" w:hAnsi="Times New Roman" w:cs="Times New Roman"/>
          <w:sz w:val="24"/>
          <w:szCs w:val="24"/>
        </w:rPr>
        <w:t xml:space="preserve"> allocate stands </w:t>
      </w:r>
      <w:r w:rsidR="00215949">
        <w:rPr>
          <w:rFonts w:ascii="Times New Roman" w:hAnsi="Times New Roman" w:cs="Times New Roman"/>
          <w:sz w:val="24"/>
          <w:szCs w:val="24"/>
        </w:rPr>
        <w:t xml:space="preserve">outside the provisions of s 205(3) of the Act.  The </w:t>
      </w:r>
      <w:r w:rsidR="0090108B">
        <w:rPr>
          <w:rFonts w:ascii="Times New Roman" w:hAnsi="Times New Roman" w:cs="Times New Roman"/>
          <w:sz w:val="24"/>
          <w:szCs w:val="24"/>
        </w:rPr>
        <w:t>appellant’</w:t>
      </w:r>
      <w:r w:rsidR="00CC57FC">
        <w:rPr>
          <w:rFonts w:ascii="Times New Roman" w:hAnsi="Times New Roman" w:cs="Times New Roman"/>
          <w:sz w:val="24"/>
          <w:szCs w:val="24"/>
        </w:rPr>
        <w:t xml:space="preserve">s appeal against the court </w:t>
      </w:r>
      <w:r w:rsidR="00CC57FC" w:rsidRPr="00A13473">
        <w:rPr>
          <w:rFonts w:ascii="Times New Roman" w:hAnsi="Times New Roman" w:cs="Times New Roman"/>
          <w:i/>
          <w:sz w:val="24"/>
          <w:szCs w:val="24"/>
        </w:rPr>
        <w:t>a</w:t>
      </w:r>
      <w:r w:rsidR="00A13473" w:rsidRPr="00A13473">
        <w:rPr>
          <w:rFonts w:ascii="Times New Roman" w:hAnsi="Times New Roman" w:cs="Times New Roman"/>
          <w:i/>
          <w:sz w:val="24"/>
          <w:szCs w:val="24"/>
        </w:rPr>
        <w:t xml:space="preserve"> quo’</w:t>
      </w:r>
      <w:r w:rsidR="00CC57FC">
        <w:rPr>
          <w:rFonts w:ascii="Times New Roman" w:hAnsi="Times New Roman" w:cs="Times New Roman"/>
          <w:sz w:val="24"/>
          <w:szCs w:val="24"/>
        </w:rPr>
        <w:t>s dismissal of its claim should be dismissed.</w:t>
      </w:r>
    </w:p>
    <w:p w14:paraId="5F11E142" w14:textId="77777777" w:rsidR="00606147" w:rsidRPr="00606147" w:rsidRDefault="00606147" w:rsidP="00606147">
      <w:pPr>
        <w:spacing w:after="0" w:line="240" w:lineRule="auto"/>
        <w:jc w:val="both"/>
        <w:rPr>
          <w:rFonts w:ascii="Times New Roman" w:hAnsi="Times New Roman" w:cs="Times New Roman"/>
          <w:b/>
          <w:i/>
          <w:sz w:val="24"/>
          <w:szCs w:val="24"/>
        </w:rPr>
      </w:pPr>
    </w:p>
    <w:p w14:paraId="2C3F0769" w14:textId="7F85D9A3" w:rsidR="00640306" w:rsidRPr="00606147" w:rsidRDefault="00640306" w:rsidP="00606147">
      <w:pPr>
        <w:pStyle w:val="ListParagraph"/>
        <w:spacing w:line="480" w:lineRule="auto"/>
        <w:ind w:left="360" w:hanging="360"/>
        <w:jc w:val="both"/>
        <w:rPr>
          <w:rFonts w:ascii="Times New Roman" w:hAnsi="Times New Roman" w:cs="Times New Roman"/>
          <w:b/>
          <w:sz w:val="24"/>
          <w:szCs w:val="24"/>
        </w:rPr>
      </w:pPr>
      <w:r w:rsidRPr="00606147">
        <w:rPr>
          <w:rFonts w:ascii="Times New Roman" w:hAnsi="Times New Roman" w:cs="Times New Roman"/>
          <w:b/>
          <w:sz w:val="24"/>
          <w:szCs w:val="24"/>
        </w:rPr>
        <w:t>Whether or not the award f</w:t>
      </w:r>
      <w:r w:rsidR="00606147">
        <w:rPr>
          <w:rFonts w:ascii="Times New Roman" w:hAnsi="Times New Roman" w:cs="Times New Roman"/>
          <w:b/>
          <w:sz w:val="24"/>
          <w:szCs w:val="24"/>
        </w:rPr>
        <w:t>or punitive costs was justified.</w:t>
      </w:r>
      <w:r w:rsidRPr="00606147">
        <w:rPr>
          <w:rFonts w:ascii="Times New Roman" w:hAnsi="Times New Roman" w:cs="Times New Roman"/>
          <w:b/>
          <w:sz w:val="24"/>
          <w:szCs w:val="24"/>
        </w:rPr>
        <w:t xml:space="preserve"> </w:t>
      </w:r>
    </w:p>
    <w:p w14:paraId="77F2E729" w14:textId="6B562BDA" w:rsidR="00215949" w:rsidRDefault="00215949" w:rsidP="00606147">
      <w:pPr>
        <w:pStyle w:val="ListParagraph"/>
        <w:numPr>
          <w:ilvl w:val="0"/>
          <w:numId w:val="8"/>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Regarding the second ground of appeal with the issue arising being whether or not an award of costs on a punitive scale was justified</w:t>
      </w:r>
      <w:r w:rsidR="00B24282">
        <w:rPr>
          <w:rFonts w:ascii="Times New Roman" w:hAnsi="Times New Roman" w:cs="Times New Roman"/>
          <w:sz w:val="24"/>
          <w:szCs w:val="24"/>
        </w:rPr>
        <w:t xml:space="preserve">, this will not detain this court as </w:t>
      </w:r>
      <w:r>
        <w:rPr>
          <w:rFonts w:ascii="Times New Roman" w:hAnsi="Times New Roman" w:cs="Times New Roman"/>
          <w:sz w:val="24"/>
          <w:szCs w:val="24"/>
        </w:rPr>
        <w:t>both counsel conceded that the court a quo erred by awarding costs on a punitive scale without giving reasons.</w:t>
      </w:r>
    </w:p>
    <w:p w14:paraId="29D47BB7" w14:textId="77777777" w:rsidR="00606147" w:rsidRPr="00215949" w:rsidRDefault="00606147" w:rsidP="00606147">
      <w:pPr>
        <w:pStyle w:val="ListParagraph"/>
        <w:spacing w:after="0" w:line="240" w:lineRule="auto"/>
        <w:ind w:left="426"/>
        <w:jc w:val="both"/>
        <w:rPr>
          <w:rFonts w:ascii="Times New Roman" w:hAnsi="Times New Roman" w:cs="Times New Roman"/>
          <w:sz w:val="24"/>
          <w:szCs w:val="24"/>
        </w:rPr>
      </w:pPr>
    </w:p>
    <w:p w14:paraId="2F4F0CC2" w14:textId="1F24663E" w:rsidR="001C58C5" w:rsidRPr="003D1371" w:rsidRDefault="00640306" w:rsidP="00606147">
      <w:pPr>
        <w:pStyle w:val="ListParagraph"/>
        <w:numPr>
          <w:ilvl w:val="0"/>
          <w:numId w:val="8"/>
        </w:numPr>
        <w:spacing w:after="0" w:line="480" w:lineRule="auto"/>
        <w:jc w:val="both"/>
        <w:rPr>
          <w:rFonts w:ascii="Times New Roman" w:hAnsi="Times New Roman" w:cs="Times New Roman"/>
          <w:sz w:val="24"/>
          <w:szCs w:val="24"/>
        </w:rPr>
      </w:pPr>
      <w:r w:rsidRPr="003D1371">
        <w:rPr>
          <w:rFonts w:ascii="Times New Roman" w:hAnsi="Times New Roman" w:cs="Times New Roman"/>
          <w:sz w:val="24"/>
          <w:szCs w:val="24"/>
        </w:rPr>
        <w:lastRenderedPageBreak/>
        <w:t xml:space="preserve">It is common cause that the award of costs is at the discretion of the court. </w:t>
      </w:r>
      <w:r w:rsidR="00606147">
        <w:rPr>
          <w:rFonts w:ascii="Times New Roman" w:hAnsi="Times New Roman" w:cs="Times New Roman"/>
          <w:sz w:val="24"/>
          <w:szCs w:val="24"/>
        </w:rPr>
        <w:t xml:space="preserve"> </w:t>
      </w:r>
      <w:r w:rsidRPr="003D1371">
        <w:rPr>
          <w:rFonts w:ascii="Times New Roman" w:hAnsi="Times New Roman" w:cs="Times New Roman"/>
          <w:sz w:val="24"/>
          <w:szCs w:val="24"/>
        </w:rPr>
        <w:t xml:space="preserve">However, where the court has awarded costs on a legal practitioner and client scale, it ought to justify the awarding of such costs. </w:t>
      </w:r>
      <w:r w:rsidR="00606147">
        <w:rPr>
          <w:rFonts w:ascii="Times New Roman" w:hAnsi="Times New Roman" w:cs="Times New Roman"/>
          <w:sz w:val="24"/>
          <w:szCs w:val="24"/>
        </w:rPr>
        <w:t xml:space="preserve"> </w:t>
      </w:r>
      <w:r w:rsidRPr="003D1371">
        <w:rPr>
          <w:rFonts w:ascii="Times New Roman" w:hAnsi="Times New Roman" w:cs="Times New Roman"/>
          <w:sz w:val="24"/>
          <w:szCs w:val="24"/>
        </w:rPr>
        <w:t xml:space="preserve">AC Cilliers in </w:t>
      </w:r>
      <w:r w:rsidRPr="003D1371">
        <w:rPr>
          <w:rFonts w:ascii="Times New Roman" w:hAnsi="Times New Roman" w:cs="Times New Roman"/>
          <w:i/>
          <w:iCs/>
          <w:sz w:val="24"/>
          <w:szCs w:val="24"/>
        </w:rPr>
        <w:t>The Law of Costs</w:t>
      </w:r>
      <w:r w:rsidR="00606147">
        <w:rPr>
          <w:rFonts w:ascii="Times New Roman" w:hAnsi="Times New Roman" w:cs="Times New Roman"/>
          <w:sz w:val="24"/>
          <w:szCs w:val="24"/>
        </w:rPr>
        <w:t xml:space="preserve"> 2</w:t>
      </w:r>
      <w:r w:rsidR="00606147" w:rsidRPr="00606147">
        <w:rPr>
          <w:rFonts w:ascii="Times New Roman" w:hAnsi="Times New Roman" w:cs="Times New Roman"/>
          <w:sz w:val="24"/>
          <w:szCs w:val="24"/>
          <w:vertAlign w:val="superscript"/>
        </w:rPr>
        <w:t>nd</w:t>
      </w:r>
      <w:r w:rsidR="00606147">
        <w:rPr>
          <w:rFonts w:ascii="Times New Roman" w:hAnsi="Times New Roman" w:cs="Times New Roman"/>
          <w:sz w:val="24"/>
          <w:szCs w:val="24"/>
        </w:rPr>
        <w:t xml:space="preserve"> </w:t>
      </w:r>
      <w:r w:rsidRPr="003D1371">
        <w:rPr>
          <w:rFonts w:ascii="Times New Roman" w:hAnsi="Times New Roman" w:cs="Times New Roman"/>
          <w:sz w:val="24"/>
          <w:szCs w:val="24"/>
        </w:rPr>
        <w:t xml:space="preserve"> ed p 66, classified the grounds upon which the court would be justified in awarding cost</w:t>
      </w:r>
      <w:r w:rsidR="00C062C3" w:rsidRPr="003D1371">
        <w:rPr>
          <w:rFonts w:ascii="Times New Roman" w:hAnsi="Times New Roman" w:cs="Times New Roman"/>
          <w:sz w:val="24"/>
          <w:szCs w:val="24"/>
        </w:rPr>
        <w:t>s</w:t>
      </w:r>
      <w:r w:rsidRPr="003D1371">
        <w:rPr>
          <w:rFonts w:ascii="Times New Roman" w:hAnsi="Times New Roman" w:cs="Times New Roman"/>
          <w:sz w:val="24"/>
          <w:szCs w:val="24"/>
        </w:rPr>
        <w:t xml:space="preserve"> as between attorney and client, and they are as follows: </w:t>
      </w:r>
    </w:p>
    <w:p w14:paraId="06A936A3" w14:textId="77777777" w:rsidR="001C58C5" w:rsidRPr="003D1371" w:rsidRDefault="00640306" w:rsidP="00606147">
      <w:pPr>
        <w:spacing w:line="240" w:lineRule="auto"/>
        <w:ind w:left="720" w:firstLine="414"/>
        <w:jc w:val="both"/>
        <w:rPr>
          <w:rFonts w:ascii="Times New Roman" w:hAnsi="Times New Roman" w:cs="Times New Roman"/>
          <w:sz w:val="24"/>
          <w:szCs w:val="24"/>
        </w:rPr>
      </w:pPr>
      <w:r w:rsidRPr="003D1371">
        <w:rPr>
          <w:rFonts w:ascii="Times New Roman" w:hAnsi="Times New Roman" w:cs="Times New Roman"/>
          <w:sz w:val="24"/>
          <w:szCs w:val="24"/>
        </w:rPr>
        <w:t xml:space="preserve">(a) Vexatious and frivolous proceedings </w:t>
      </w:r>
    </w:p>
    <w:p w14:paraId="24A1BB9F" w14:textId="4EC3A8F3" w:rsidR="001C58C5" w:rsidRPr="003D1371" w:rsidRDefault="00215949" w:rsidP="00606147">
      <w:pPr>
        <w:spacing w:line="240" w:lineRule="auto"/>
        <w:ind w:left="720" w:firstLine="414"/>
        <w:jc w:val="both"/>
        <w:rPr>
          <w:rFonts w:ascii="Times New Roman" w:hAnsi="Times New Roman" w:cs="Times New Roman"/>
          <w:sz w:val="24"/>
          <w:szCs w:val="24"/>
        </w:rPr>
      </w:pPr>
      <w:r>
        <w:rPr>
          <w:rFonts w:ascii="Times New Roman" w:hAnsi="Times New Roman" w:cs="Times New Roman"/>
          <w:sz w:val="24"/>
          <w:szCs w:val="24"/>
        </w:rPr>
        <w:t>(b) Dishonesty or</w:t>
      </w:r>
      <w:r w:rsidR="00640306" w:rsidRPr="003D1371">
        <w:rPr>
          <w:rFonts w:ascii="Times New Roman" w:hAnsi="Times New Roman" w:cs="Times New Roman"/>
          <w:sz w:val="24"/>
          <w:szCs w:val="24"/>
        </w:rPr>
        <w:t xml:space="preserve"> fraud of litigant </w:t>
      </w:r>
    </w:p>
    <w:p w14:paraId="6BA78346" w14:textId="77777777" w:rsidR="001C58C5" w:rsidRPr="003D1371" w:rsidRDefault="00640306" w:rsidP="00606147">
      <w:pPr>
        <w:spacing w:line="240" w:lineRule="auto"/>
        <w:ind w:left="720" w:firstLine="414"/>
        <w:jc w:val="both"/>
        <w:rPr>
          <w:rFonts w:ascii="Times New Roman" w:hAnsi="Times New Roman" w:cs="Times New Roman"/>
          <w:sz w:val="24"/>
          <w:szCs w:val="24"/>
        </w:rPr>
      </w:pPr>
      <w:r w:rsidRPr="003D1371">
        <w:rPr>
          <w:rFonts w:ascii="Times New Roman" w:hAnsi="Times New Roman" w:cs="Times New Roman"/>
          <w:sz w:val="24"/>
          <w:szCs w:val="24"/>
        </w:rPr>
        <w:t xml:space="preserve">(c) Reckless or malicious proceedings </w:t>
      </w:r>
    </w:p>
    <w:p w14:paraId="1463FD55" w14:textId="77777777" w:rsidR="001C58C5" w:rsidRPr="003D1371" w:rsidRDefault="00640306" w:rsidP="00606147">
      <w:pPr>
        <w:spacing w:line="240" w:lineRule="auto"/>
        <w:ind w:left="720" w:firstLine="414"/>
        <w:jc w:val="both"/>
        <w:rPr>
          <w:rFonts w:ascii="Times New Roman" w:hAnsi="Times New Roman" w:cs="Times New Roman"/>
          <w:sz w:val="24"/>
          <w:szCs w:val="24"/>
        </w:rPr>
      </w:pPr>
      <w:r w:rsidRPr="003D1371">
        <w:rPr>
          <w:rFonts w:ascii="Times New Roman" w:hAnsi="Times New Roman" w:cs="Times New Roman"/>
          <w:sz w:val="24"/>
          <w:szCs w:val="24"/>
        </w:rPr>
        <w:t xml:space="preserve">(d) Litigant’s deplorable attitude towards the court </w:t>
      </w:r>
    </w:p>
    <w:p w14:paraId="5AFA64BE" w14:textId="77777777" w:rsidR="00F848A3" w:rsidRDefault="00640306" w:rsidP="00606147">
      <w:pPr>
        <w:spacing w:line="240" w:lineRule="auto"/>
        <w:ind w:left="720" w:firstLine="414"/>
        <w:jc w:val="both"/>
        <w:rPr>
          <w:rFonts w:ascii="Times New Roman" w:hAnsi="Times New Roman" w:cs="Times New Roman"/>
          <w:sz w:val="24"/>
          <w:szCs w:val="24"/>
        </w:rPr>
      </w:pPr>
      <w:r w:rsidRPr="003D1371">
        <w:rPr>
          <w:rFonts w:ascii="Times New Roman" w:hAnsi="Times New Roman" w:cs="Times New Roman"/>
          <w:sz w:val="24"/>
          <w:szCs w:val="24"/>
        </w:rPr>
        <w:t xml:space="preserve">(e) Other circumstances </w:t>
      </w:r>
    </w:p>
    <w:p w14:paraId="6C5628FA" w14:textId="77777777" w:rsidR="00606147" w:rsidRPr="003D1371" w:rsidRDefault="00606147" w:rsidP="00606147">
      <w:pPr>
        <w:spacing w:line="240" w:lineRule="auto"/>
        <w:ind w:left="720" w:firstLine="414"/>
        <w:jc w:val="both"/>
        <w:rPr>
          <w:rFonts w:ascii="Times New Roman" w:hAnsi="Times New Roman" w:cs="Times New Roman"/>
          <w:sz w:val="24"/>
          <w:szCs w:val="24"/>
        </w:rPr>
      </w:pPr>
    </w:p>
    <w:p w14:paraId="52F7B612" w14:textId="048FC9C4" w:rsidR="009A74EB" w:rsidRPr="002D49E7" w:rsidRDefault="00640306" w:rsidP="002D49E7">
      <w:pPr>
        <w:pStyle w:val="ListParagraph"/>
        <w:numPr>
          <w:ilvl w:val="0"/>
          <w:numId w:val="8"/>
        </w:numPr>
        <w:spacing w:after="0" w:line="480" w:lineRule="auto"/>
        <w:ind w:left="426" w:hanging="426"/>
        <w:jc w:val="both"/>
        <w:rPr>
          <w:rFonts w:ascii="Times New Roman" w:hAnsi="Times New Roman" w:cs="Times New Roman"/>
          <w:sz w:val="24"/>
          <w:szCs w:val="24"/>
        </w:rPr>
      </w:pPr>
      <w:r w:rsidRPr="002D49E7">
        <w:rPr>
          <w:rFonts w:ascii="Times New Roman" w:hAnsi="Times New Roman" w:cs="Times New Roman"/>
          <w:sz w:val="24"/>
          <w:szCs w:val="24"/>
        </w:rPr>
        <w:t xml:space="preserve">In </w:t>
      </w:r>
      <w:r w:rsidRPr="002D49E7">
        <w:rPr>
          <w:rFonts w:ascii="Times New Roman" w:hAnsi="Times New Roman" w:cs="Times New Roman"/>
          <w:i/>
          <w:sz w:val="24"/>
          <w:szCs w:val="24"/>
        </w:rPr>
        <w:t>Dongo</w:t>
      </w:r>
      <w:r w:rsidRPr="002D49E7">
        <w:rPr>
          <w:rFonts w:ascii="Times New Roman" w:hAnsi="Times New Roman" w:cs="Times New Roman"/>
          <w:sz w:val="24"/>
          <w:szCs w:val="24"/>
        </w:rPr>
        <w:t xml:space="preserve"> v </w:t>
      </w:r>
      <w:r w:rsidRPr="002D49E7">
        <w:rPr>
          <w:rFonts w:ascii="Times New Roman" w:hAnsi="Times New Roman" w:cs="Times New Roman"/>
          <w:i/>
          <w:sz w:val="24"/>
          <w:szCs w:val="24"/>
        </w:rPr>
        <w:t>Joytindra Natve</w:t>
      </w:r>
      <w:r w:rsidR="00BC1252">
        <w:rPr>
          <w:rFonts w:ascii="Times New Roman" w:hAnsi="Times New Roman" w:cs="Times New Roman"/>
          <w:i/>
          <w:sz w:val="24"/>
          <w:szCs w:val="24"/>
        </w:rPr>
        <w:t>r</w:t>
      </w:r>
      <w:r w:rsidRPr="002D49E7">
        <w:rPr>
          <w:rFonts w:ascii="Times New Roman" w:hAnsi="Times New Roman" w:cs="Times New Roman"/>
          <w:i/>
          <w:sz w:val="24"/>
          <w:szCs w:val="24"/>
        </w:rPr>
        <w:t>al Naik</w:t>
      </w:r>
      <w:r w:rsidRPr="002D49E7">
        <w:rPr>
          <w:rFonts w:ascii="Times New Roman" w:hAnsi="Times New Roman" w:cs="Times New Roman"/>
          <w:sz w:val="24"/>
          <w:szCs w:val="24"/>
        </w:rPr>
        <w:t xml:space="preserve"> &amp; </w:t>
      </w:r>
      <w:r w:rsidRPr="002D49E7">
        <w:rPr>
          <w:rFonts w:ascii="Times New Roman" w:hAnsi="Times New Roman" w:cs="Times New Roman"/>
          <w:i/>
          <w:sz w:val="24"/>
          <w:szCs w:val="24"/>
        </w:rPr>
        <w:t xml:space="preserve">Ors </w:t>
      </w:r>
      <w:r w:rsidRPr="002D49E7">
        <w:rPr>
          <w:rFonts w:ascii="Times New Roman" w:hAnsi="Times New Roman" w:cs="Times New Roman"/>
          <w:sz w:val="24"/>
          <w:szCs w:val="24"/>
        </w:rPr>
        <w:t>SC 52-20 at p.11</w:t>
      </w:r>
      <w:r w:rsidR="00B56FB7" w:rsidRPr="002D49E7">
        <w:rPr>
          <w:rFonts w:ascii="Times New Roman" w:hAnsi="Times New Roman" w:cs="Times New Roman"/>
          <w:sz w:val="24"/>
          <w:szCs w:val="24"/>
        </w:rPr>
        <w:t>,</w:t>
      </w:r>
      <w:r w:rsidR="00606147" w:rsidRPr="002D49E7">
        <w:rPr>
          <w:rFonts w:ascii="Times New Roman" w:hAnsi="Times New Roman" w:cs="Times New Roman"/>
          <w:sz w:val="24"/>
          <w:szCs w:val="24"/>
        </w:rPr>
        <w:t xml:space="preserve"> the c</w:t>
      </w:r>
      <w:r w:rsidRPr="002D49E7">
        <w:rPr>
          <w:rFonts w:ascii="Times New Roman" w:hAnsi="Times New Roman" w:cs="Times New Roman"/>
          <w:sz w:val="24"/>
          <w:szCs w:val="24"/>
        </w:rPr>
        <w:t xml:space="preserve">ourt held that: </w:t>
      </w:r>
    </w:p>
    <w:p w14:paraId="0410C3B5" w14:textId="1F92F55A" w:rsidR="009A74EB" w:rsidRDefault="00640306" w:rsidP="00606147">
      <w:pPr>
        <w:spacing w:line="240" w:lineRule="auto"/>
        <w:ind w:left="1134"/>
        <w:jc w:val="both"/>
        <w:rPr>
          <w:rFonts w:ascii="Times New Roman" w:hAnsi="Times New Roman" w:cs="Times New Roman"/>
          <w:sz w:val="24"/>
          <w:szCs w:val="24"/>
        </w:rPr>
      </w:pPr>
      <w:r w:rsidRPr="003D1371">
        <w:rPr>
          <w:rFonts w:ascii="Times New Roman" w:hAnsi="Times New Roman" w:cs="Times New Roman"/>
          <w:sz w:val="24"/>
          <w:szCs w:val="24"/>
        </w:rPr>
        <w:t>“It is settled law that costs are at the discretion of the court. The award can only be set aside where the discretion</w:t>
      </w:r>
      <w:r w:rsidR="00606147">
        <w:rPr>
          <w:rFonts w:ascii="Times New Roman" w:hAnsi="Times New Roman" w:cs="Times New Roman"/>
          <w:sz w:val="24"/>
          <w:szCs w:val="24"/>
        </w:rPr>
        <w:t xml:space="preserve"> was not exercised judiciously.  </w:t>
      </w:r>
      <w:r w:rsidRPr="003D1371">
        <w:rPr>
          <w:rFonts w:ascii="Times New Roman" w:hAnsi="Times New Roman" w:cs="Times New Roman"/>
          <w:sz w:val="24"/>
          <w:szCs w:val="24"/>
        </w:rPr>
        <w:t xml:space="preserve">It is also settled that costs on a higher scale are granted in exceptional circumstances. The grounds upon which the court would be justified to make an award for costs on a legal practitioner and client scale include dishonest or malicious conduct, and vexatious, reckless or frivolous proceedings by and on the part of the litigant concerned.” </w:t>
      </w:r>
    </w:p>
    <w:p w14:paraId="63DB2DCC" w14:textId="77777777" w:rsidR="00606147" w:rsidRPr="003D1371" w:rsidRDefault="00606147" w:rsidP="00606147">
      <w:pPr>
        <w:spacing w:line="240" w:lineRule="auto"/>
        <w:ind w:left="1134"/>
        <w:jc w:val="both"/>
        <w:rPr>
          <w:rFonts w:ascii="Times New Roman" w:hAnsi="Times New Roman" w:cs="Times New Roman"/>
          <w:sz w:val="24"/>
          <w:szCs w:val="24"/>
        </w:rPr>
      </w:pPr>
    </w:p>
    <w:p w14:paraId="692896FB" w14:textId="145CAE2E" w:rsidR="00215949" w:rsidRPr="00215949" w:rsidRDefault="00027AEF" w:rsidP="002D49E7">
      <w:pPr>
        <w:pStyle w:val="ListParagraph"/>
        <w:numPr>
          <w:ilvl w:val="0"/>
          <w:numId w:val="8"/>
        </w:numPr>
        <w:spacing w:line="480" w:lineRule="auto"/>
        <w:ind w:left="426" w:hanging="426"/>
        <w:jc w:val="both"/>
        <w:rPr>
          <w:rFonts w:ascii="Times New Roman" w:hAnsi="Times New Roman" w:cs="Times New Roman"/>
          <w:b/>
          <w:sz w:val="24"/>
          <w:szCs w:val="24"/>
        </w:rPr>
      </w:pPr>
      <w:r w:rsidRPr="00215949">
        <w:rPr>
          <w:rFonts w:ascii="Times New Roman" w:hAnsi="Times New Roman" w:cs="Times New Roman"/>
          <w:sz w:val="24"/>
          <w:szCs w:val="24"/>
        </w:rPr>
        <w:t>P</w:t>
      </w:r>
      <w:r w:rsidR="00640306" w:rsidRPr="00215949">
        <w:rPr>
          <w:rFonts w:ascii="Times New Roman" w:hAnsi="Times New Roman" w:cs="Times New Roman"/>
          <w:sz w:val="24"/>
          <w:szCs w:val="24"/>
        </w:rPr>
        <w:t xml:space="preserve">unitive costs are awarded in circumstances where the </w:t>
      </w:r>
      <w:r w:rsidRPr="00215949">
        <w:rPr>
          <w:rFonts w:ascii="Times New Roman" w:hAnsi="Times New Roman" w:cs="Times New Roman"/>
          <w:sz w:val="24"/>
          <w:szCs w:val="24"/>
        </w:rPr>
        <w:t xml:space="preserve">court sees it fit to punish a </w:t>
      </w:r>
      <w:r w:rsidR="00640306" w:rsidRPr="00215949">
        <w:rPr>
          <w:rFonts w:ascii="Times New Roman" w:hAnsi="Times New Roman" w:cs="Times New Roman"/>
          <w:sz w:val="24"/>
          <w:szCs w:val="24"/>
        </w:rPr>
        <w:t xml:space="preserve">party who has abused the court process. </w:t>
      </w:r>
      <w:r w:rsidR="002D49E7">
        <w:rPr>
          <w:rFonts w:ascii="Times New Roman" w:hAnsi="Times New Roman" w:cs="Times New Roman"/>
          <w:sz w:val="24"/>
          <w:szCs w:val="24"/>
        </w:rPr>
        <w:t xml:space="preserve"> </w:t>
      </w:r>
      <w:r w:rsidR="00640306" w:rsidRPr="00215949">
        <w:rPr>
          <w:rFonts w:ascii="Times New Roman" w:hAnsi="Times New Roman" w:cs="Times New Roman"/>
          <w:sz w:val="24"/>
          <w:szCs w:val="24"/>
        </w:rPr>
        <w:t xml:space="preserve">In this case, </w:t>
      </w:r>
      <w:r w:rsidR="00D97CDA" w:rsidRPr="00215949">
        <w:rPr>
          <w:rFonts w:ascii="Times New Roman" w:hAnsi="Times New Roman" w:cs="Times New Roman"/>
          <w:sz w:val="24"/>
          <w:szCs w:val="24"/>
        </w:rPr>
        <w:t xml:space="preserve">there is no evidence that appellant was abusing court process. The appellant’s claim was not frivolous and vexatious as </w:t>
      </w:r>
      <w:r w:rsidR="00640306" w:rsidRPr="00215949">
        <w:rPr>
          <w:rFonts w:ascii="Times New Roman" w:hAnsi="Times New Roman" w:cs="Times New Roman"/>
          <w:sz w:val="24"/>
          <w:szCs w:val="24"/>
        </w:rPr>
        <w:t>the appellant was merely trying to enforce i</w:t>
      </w:r>
      <w:r w:rsidR="00D97CDA" w:rsidRPr="00215949">
        <w:rPr>
          <w:rFonts w:ascii="Times New Roman" w:hAnsi="Times New Roman" w:cs="Times New Roman"/>
          <w:sz w:val="24"/>
          <w:szCs w:val="24"/>
        </w:rPr>
        <w:t xml:space="preserve">ts claim. </w:t>
      </w:r>
      <w:r w:rsidR="0075545C" w:rsidRPr="00215949">
        <w:rPr>
          <w:rFonts w:ascii="Times New Roman" w:hAnsi="Times New Roman" w:cs="Times New Roman"/>
          <w:sz w:val="24"/>
          <w:szCs w:val="24"/>
        </w:rPr>
        <w:t xml:space="preserve">The court </w:t>
      </w:r>
      <w:r w:rsidR="009A492D" w:rsidRPr="00215949">
        <w:rPr>
          <w:rFonts w:ascii="Times New Roman" w:hAnsi="Times New Roman" w:cs="Times New Roman"/>
          <w:i/>
          <w:sz w:val="24"/>
          <w:szCs w:val="24"/>
        </w:rPr>
        <w:t>a quo</w:t>
      </w:r>
      <w:r w:rsidR="0075545C" w:rsidRPr="00215949">
        <w:rPr>
          <w:rFonts w:ascii="Times New Roman" w:hAnsi="Times New Roman" w:cs="Times New Roman"/>
          <w:i/>
          <w:sz w:val="24"/>
          <w:szCs w:val="24"/>
        </w:rPr>
        <w:t xml:space="preserve"> </w:t>
      </w:r>
      <w:r w:rsidR="0075545C" w:rsidRPr="00215949">
        <w:rPr>
          <w:rFonts w:ascii="Times New Roman" w:hAnsi="Times New Roman" w:cs="Times New Roman"/>
          <w:sz w:val="24"/>
          <w:szCs w:val="24"/>
        </w:rPr>
        <w:t xml:space="preserve">did not explain why it saw it fit to award costs on a punitive scale. </w:t>
      </w:r>
      <w:r w:rsidR="00D97CDA" w:rsidRPr="00215949">
        <w:rPr>
          <w:rFonts w:ascii="Times New Roman" w:hAnsi="Times New Roman" w:cs="Times New Roman"/>
          <w:sz w:val="24"/>
          <w:szCs w:val="24"/>
        </w:rPr>
        <w:t>There is</w:t>
      </w:r>
      <w:r w:rsidR="0075545C" w:rsidRPr="00215949">
        <w:rPr>
          <w:rFonts w:ascii="Times New Roman" w:hAnsi="Times New Roman" w:cs="Times New Roman"/>
          <w:sz w:val="24"/>
          <w:szCs w:val="24"/>
        </w:rPr>
        <w:t xml:space="preserve"> also</w:t>
      </w:r>
      <w:r w:rsidR="00D97CDA" w:rsidRPr="00215949">
        <w:rPr>
          <w:rFonts w:ascii="Times New Roman" w:hAnsi="Times New Roman" w:cs="Times New Roman"/>
          <w:sz w:val="24"/>
          <w:szCs w:val="24"/>
        </w:rPr>
        <w:t xml:space="preserve"> </w:t>
      </w:r>
      <w:r w:rsidR="00640306" w:rsidRPr="00215949">
        <w:rPr>
          <w:rFonts w:ascii="Times New Roman" w:hAnsi="Times New Roman" w:cs="Times New Roman"/>
          <w:sz w:val="24"/>
          <w:szCs w:val="24"/>
        </w:rPr>
        <w:t xml:space="preserve">no evidence </w:t>
      </w:r>
      <w:r w:rsidR="00D97CDA" w:rsidRPr="00215949">
        <w:rPr>
          <w:rFonts w:ascii="Times New Roman" w:hAnsi="Times New Roman" w:cs="Times New Roman"/>
          <w:sz w:val="24"/>
          <w:szCs w:val="24"/>
        </w:rPr>
        <w:t xml:space="preserve">justifying the </w:t>
      </w:r>
      <w:r w:rsidR="00640306" w:rsidRPr="00215949">
        <w:rPr>
          <w:rFonts w:ascii="Times New Roman" w:hAnsi="Times New Roman" w:cs="Times New Roman"/>
          <w:sz w:val="24"/>
          <w:szCs w:val="24"/>
        </w:rPr>
        <w:t xml:space="preserve">court </w:t>
      </w:r>
      <w:r w:rsidR="009A492D" w:rsidRPr="00215949">
        <w:rPr>
          <w:rFonts w:ascii="Times New Roman" w:hAnsi="Times New Roman" w:cs="Times New Roman"/>
          <w:i/>
          <w:sz w:val="24"/>
          <w:szCs w:val="24"/>
        </w:rPr>
        <w:t>a quo</w:t>
      </w:r>
      <w:r w:rsidR="00D97CDA" w:rsidRPr="00215949">
        <w:rPr>
          <w:rFonts w:ascii="Times New Roman" w:hAnsi="Times New Roman" w:cs="Times New Roman"/>
          <w:sz w:val="24"/>
          <w:szCs w:val="24"/>
        </w:rPr>
        <w:t xml:space="preserve">’s </w:t>
      </w:r>
      <w:r w:rsidR="00640306" w:rsidRPr="00215949">
        <w:rPr>
          <w:rFonts w:ascii="Times New Roman" w:hAnsi="Times New Roman" w:cs="Times New Roman"/>
          <w:sz w:val="24"/>
          <w:szCs w:val="24"/>
        </w:rPr>
        <w:t>order of puni</w:t>
      </w:r>
      <w:r w:rsidR="0077719F" w:rsidRPr="00215949">
        <w:rPr>
          <w:rFonts w:ascii="Times New Roman" w:hAnsi="Times New Roman" w:cs="Times New Roman"/>
          <w:sz w:val="24"/>
          <w:szCs w:val="24"/>
        </w:rPr>
        <w:t xml:space="preserve">tive costs. </w:t>
      </w:r>
      <w:r w:rsidR="00215949">
        <w:rPr>
          <w:rFonts w:ascii="Times New Roman" w:hAnsi="Times New Roman" w:cs="Times New Roman"/>
          <w:sz w:val="24"/>
          <w:szCs w:val="24"/>
        </w:rPr>
        <w:t xml:space="preserve"> This court agrees with </w:t>
      </w:r>
      <w:r w:rsidR="00DE1F09">
        <w:rPr>
          <w:rFonts w:ascii="Times New Roman" w:hAnsi="Times New Roman" w:cs="Times New Roman"/>
          <w:sz w:val="24"/>
          <w:szCs w:val="24"/>
        </w:rPr>
        <w:t xml:space="preserve">both </w:t>
      </w:r>
      <w:r w:rsidR="00215949">
        <w:rPr>
          <w:rFonts w:ascii="Times New Roman" w:hAnsi="Times New Roman" w:cs="Times New Roman"/>
          <w:sz w:val="24"/>
          <w:szCs w:val="24"/>
        </w:rPr>
        <w:t>counsel that the court a quo erred in awar</w:t>
      </w:r>
      <w:r w:rsidR="00DE1F09">
        <w:rPr>
          <w:rFonts w:ascii="Times New Roman" w:hAnsi="Times New Roman" w:cs="Times New Roman"/>
          <w:sz w:val="24"/>
          <w:szCs w:val="24"/>
        </w:rPr>
        <w:t>ding</w:t>
      </w:r>
      <w:r w:rsidR="00215949">
        <w:rPr>
          <w:rFonts w:ascii="Times New Roman" w:hAnsi="Times New Roman" w:cs="Times New Roman"/>
          <w:sz w:val="24"/>
          <w:szCs w:val="24"/>
        </w:rPr>
        <w:t xml:space="preserve"> costs on a punitive scale without giving reason.  The </w:t>
      </w:r>
      <w:r w:rsidR="002D49E7">
        <w:rPr>
          <w:rFonts w:ascii="Times New Roman" w:hAnsi="Times New Roman" w:cs="Times New Roman"/>
          <w:sz w:val="24"/>
          <w:szCs w:val="24"/>
        </w:rPr>
        <w:t>second ground</w:t>
      </w:r>
      <w:r w:rsidR="00215949">
        <w:rPr>
          <w:rFonts w:ascii="Times New Roman" w:hAnsi="Times New Roman" w:cs="Times New Roman"/>
          <w:sz w:val="24"/>
          <w:szCs w:val="24"/>
        </w:rPr>
        <w:t xml:space="preserve"> of appeal therefore has merit </w:t>
      </w:r>
      <w:r w:rsidR="006C2CF1">
        <w:rPr>
          <w:rFonts w:ascii="Times New Roman" w:hAnsi="Times New Roman" w:cs="Times New Roman"/>
          <w:sz w:val="24"/>
          <w:szCs w:val="24"/>
        </w:rPr>
        <w:t>and ought to succeed.</w:t>
      </w:r>
    </w:p>
    <w:p w14:paraId="71B61324" w14:textId="77777777" w:rsidR="00215949" w:rsidRPr="00215949" w:rsidRDefault="00215949" w:rsidP="002D49E7">
      <w:pPr>
        <w:pStyle w:val="ListParagraph"/>
        <w:spacing w:after="0" w:line="480" w:lineRule="auto"/>
        <w:ind w:left="644"/>
        <w:jc w:val="both"/>
        <w:rPr>
          <w:rFonts w:ascii="Times New Roman" w:hAnsi="Times New Roman" w:cs="Times New Roman"/>
          <w:b/>
          <w:sz w:val="24"/>
          <w:szCs w:val="24"/>
        </w:rPr>
      </w:pPr>
    </w:p>
    <w:p w14:paraId="44513C08" w14:textId="55351D68" w:rsidR="004A7794" w:rsidRPr="002D49E7" w:rsidRDefault="009B10C9" w:rsidP="002D49E7">
      <w:pPr>
        <w:spacing w:after="0" w:line="480" w:lineRule="auto"/>
        <w:jc w:val="both"/>
        <w:rPr>
          <w:rFonts w:ascii="Times New Roman" w:hAnsi="Times New Roman" w:cs="Times New Roman"/>
          <w:b/>
          <w:sz w:val="24"/>
          <w:szCs w:val="24"/>
          <w:u w:val="thick"/>
        </w:rPr>
      </w:pPr>
      <w:r w:rsidRPr="002D49E7">
        <w:rPr>
          <w:rFonts w:ascii="Times New Roman" w:hAnsi="Times New Roman" w:cs="Times New Roman"/>
          <w:b/>
          <w:sz w:val="24"/>
          <w:szCs w:val="24"/>
          <w:u w:val="thick"/>
        </w:rPr>
        <w:lastRenderedPageBreak/>
        <w:t>DISPOSITION</w:t>
      </w:r>
    </w:p>
    <w:p w14:paraId="7B78C9C2" w14:textId="24F03EE5" w:rsidR="000953B8" w:rsidRPr="003D1371" w:rsidRDefault="004A7794" w:rsidP="002D49E7">
      <w:pPr>
        <w:pStyle w:val="ListParagraph"/>
        <w:numPr>
          <w:ilvl w:val="0"/>
          <w:numId w:val="8"/>
        </w:numPr>
        <w:spacing w:after="0" w:line="480" w:lineRule="auto"/>
        <w:ind w:left="426" w:hanging="426"/>
        <w:jc w:val="both"/>
        <w:rPr>
          <w:rFonts w:ascii="Times New Roman" w:hAnsi="Times New Roman" w:cs="Times New Roman"/>
          <w:b/>
          <w:sz w:val="24"/>
          <w:szCs w:val="24"/>
        </w:rPr>
      </w:pPr>
      <w:r w:rsidRPr="003D1371">
        <w:rPr>
          <w:rFonts w:ascii="Times New Roman" w:hAnsi="Times New Roman" w:cs="Times New Roman"/>
          <w:sz w:val="24"/>
          <w:szCs w:val="24"/>
        </w:rPr>
        <w:t xml:space="preserve">In view of the above considerations, it is apparent that the allocation of the stands to the appellant by the first respondent was a nullity. </w:t>
      </w:r>
      <w:r w:rsidR="002D49E7">
        <w:rPr>
          <w:rFonts w:ascii="Times New Roman" w:hAnsi="Times New Roman" w:cs="Times New Roman"/>
          <w:sz w:val="24"/>
          <w:szCs w:val="24"/>
        </w:rPr>
        <w:t xml:space="preserve"> </w:t>
      </w:r>
      <w:r w:rsidR="00C358C2" w:rsidRPr="003D1371">
        <w:rPr>
          <w:rFonts w:ascii="Times New Roman" w:hAnsi="Times New Roman" w:cs="Times New Roman"/>
          <w:sz w:val="24"/>
          <w:szCs w:val="24"/>
        </w:rPr>
        <w:t>The court</w:t>
      </w:r>
      <w:r w:rsidR="000F2444">
        <w:rPr>
          <w:rFonts w:ascii="Times New Roman" w:hAnsi="Times New Roman" w:cs="Times New Roman"/>
          <w:sz w:val="24"/>
          <w:szCs w:val="24"/>
        </w:rPr>
        <w:t xml:space="preserve"> </w:t>
      </w:r>
      <w:r w:rsidR="000F2444" w:rsidRPr="00A23CA0">
        <w:rPr>
          <w:rFonts w:ascii="Times New Roman" w:hAnsi="Times New Roman" w:cs="Times New Roman"/>
          <w:i/>
          <w:sz w:val="24"/>
          <w:szCs w:val="24"/>
        </w:rPr>
        <w:t>a</w:t>
      </w:r>
      <w:r w:rsidR="00C4491D" w:rsidRPr="00A23CA0">
        <w:rPr>
          <w:rFonts w:ascii="Times New Roman" w:hAnsi="Times New Roman" w:cs="Times New Roman"/>
          <w:i/>
          <w:sz w:val="24"/>
          <w:szCs w:val="24"/>
        </w:rPr>
        <w:t xml:space="preserve"> </w:t>
      </w:r>
      <w:r w:rsidR="000F2444" w:rsidRPr="00A23CA0">
        <w:rPr>
          <w:rFonts w:ascii="Times New Roman" w:hAnsi="Times New Roman" w:cs="Times New Roman"/>
          <w:i/>
          <w:sz w:val="24"/>
          <w:szCs w:val="24"/>
        </w:rPr>
        <w:t>quo</w:t>
      </w:r>
      <w:r w:rsidR="00C358C2" w:rsidRPr="00A23CA0">
        <w:rPr>
          <w:rFonts w:ascii="Times New Roman" w:hAnsi="Times New Roman" w:cs="Times New Roman"/>
          <w:i/>
          <w:sz w:val="24"/>
          <w:szCs w:val="24"/>
        </w:rPr>
        <w:t>’s</w:t>
      </w:r>
      <w:r w:rsidR="00C358C2" w:rsidRPr="003D1371">
        <w:rPr>
          <w:rFonts w:ascii="Times New Roman" w:hAnsi="Times New Roman" w:cs="Times New Roman"/>
          <w:sz w:val="24"/>
          <w:szCs w:val="24"/>
        </w:rPr>
        <w:t xml:space="preserve"> decision cannot be faulted in that regard. </w:t>
      </w:r>
      <w:r w:rsidR="000066E3" w:rsidRPr="003D1371">
        <w:rPr>
          <w:rFonts w:ascii="Times New Roman" w:hAnsi="Times New Roman" w:cs="Times New Roman"/>
          <w:sz w:val="24"/>
          <w:szCs w:val="24"/>
        </w:rPr>
        <w:t xml:space="preserve">However, the court </w:t>
      </w:r>
      <w:r w:rsidR="009A492D" w:rsidRPr="003D1371">
        <w:rPr>
          <w:rFonts w:ascii="Times New Roman" w:hAnsi="Times New Roman" w:cs="Times New Roman"/>
          <w:i/>
          <w:sz w:val="24"/>
          <w:szCs w:val="24"/>
        </w:rPr>
        <w:t>a quo</w:t>
      </w:r>
      <w:r w:rsidR="000066E3" w:rsidRPr="003D1371">
        <w:rPr>
          <w:rFonts w:ascii="Times New Roman" w:hAnsi="Times New Roman" w:cs="Times New Roman"/>
          <w:i/>
          <w:sz w:val="24"/>
          <w:szCs w:val="24"/>
        </w:rPr>
        <w:t xml:space="preserve"> </w:t>
      </w:r>
      <w:r w:rsidR="000066E3" w:rsidRPr="003D1371">
        <w:rPr>
          <w:rFonts w:ascii="Times New Roman" w:hAnsi="Times New Roman" w:cs="Times New Roman"/>
          <w:sz w:val="24"/>
          <w:szCs w:val="24"/>
        </w:rPr>
        <w:t xml:space="preserve">erred in </w:t>
      </w:r>
      <w:r w:rsidR="007B4A13" w:rsidRPr="003D1371">
        <w:rPr>
          <w:rFonts w:ascii="Times New Roman" w:hAnsi="Times New Roman" w:cs="Times New Roman"/>
          <w:sz w:val="24"/>
          <w:szCs w:val="24"/>
        </w:rPr>
        <w:t>awarding costs on a punitive scale, in a situati</w:t>
      </w:r>
      <w:r w:rsidR="00BC3378" w:rsidRPr="003D1371">
        <w:rPr>
          <w:rFonts w:ascii="Times New Roman" w:hAnsi="Times New Roman" w:cs="Times New Roman"/>
          <w:sz w:val="24"/>
          <w:szCs w:val="24"/>
        </w:rPr>
        <w:t xml:space="preserve">on where it was not proved that </w:t>
      </w:r>
      <w:r w:rsidR="007B4A13" w:rsidRPr="003D1371">
        <w:rPr>
          <w:rFonts w:ascii="Times New Roman" w:hAnsi="Times New Roman" w:cs="Times New Roman"/>
          <w:sz w:val="24"/>
          <w:szCs w:val="24"/>
        </w:rPr>
        <w:t xml:space="preserve">that award was warranted. </w:t>
      </w:r>
      <w:r w:rsidR="009B10C9" w:rsidRPr="003D1371">
        <w:rPr>
          <w:rFonts w:ascii="Times New Roman" w:hAnsi="Times New Roman" w:cs="Times New Roman"/>
          <w:sz w:val="24"/>
          <w:szCs w:val="24"/>
        </w:rPr>
        <w:t>Accordingly,</w:t>
      </w:r>
      <w:r w:rsidR="007B4A13" w:rsidRPr="003D1371">
        <w:rPr>
          <w:rFonts w:ascii="Times New Roman" w:hAnsi="Times New Roman" w:cs="Times New Roman"/>
          <w:sz w:val="24"/>
          <w:szCs w:val="24"/>
        </w:rPr>
        <w:t xml:space="preserve"> </w:t>
      </w:r>
      <w:r w:rsidR="009B10C9" w:rsidRPr="003D1371">
        <w:rPr>
          <w:rFonts w:ascii="Times New Roman" w:hAnsi="Times New Roman" w:cs="Times New Roman"/>
          <w:sz w:val="24"/>
          <w:szCs w:val="24"/>
        </w:rPr>
        <w:t xml:space="preserve">we </w:t>
      </w:r>
      <w:r w:rsidR="00306FA0">
        <w:rPr>
          <w:rFonts w:ascii="Times New Roman" w:hAnsi="Times New Roman" w:cs="Times New Roman"/>
          <w:sz w:val="24"/>
          <w:szCs w:val="24"/>
        </w:rPr>
        <w:t>issued</w:t>
      </w:r>
      <w:r w:rsidR="009B10C9" w:rsidRPr="003D1371">
        <w:rPr>
          <w:rFonts w:ascii="Times New Roman" w:hAnsi="Times New Roman" w:cs="Times New Roman"/>
          <w:sz w:val="24"/>
          <w:szCs w:val="24"/>
        </w:rPr>
        <w:t xml:space="preserve"> the </w:t>
      </w:r>
      <w:r w:rsidR="000953B8" w:rsidRPr="003D1371">
        <w:rPr>
          <w:rFonts w:ascii="Times New Roman" w:hAnsi="Times New Roman" w:cs="Times New Roman"/>
          <w:sz w:val="24"/>
          <w:szCs w:val="24"/>
        </w:rPr>
        <w:t>following order:</w:t>
      </w:r>
    </w:p>
    <w:p w14:paraId="63E102EC" w14:textId="77777777" w:rsidR="000953B8" w:rsidRDefault="000953B8" w:rsidP="002D49E7">
      <w:pPr>
        <w:pStyle w:val="ListParagraph"/>
        <w:numPr>
          <w:ilvl w:val="0"/>
          <w:numId w:val="2"/>
        </w:numPr>
        <w:spacing w:line="240" w:lineRule="auto"/>
        <w:ind w:left="1418" w:hanging="284"/>
        <w:jc w:val="both"/>
        <w:rPr>
          <w:rFonts w:ascii="Times New Roman" w:hAnsi="Times New Roman" w:cs="Times New Roman"/>
          <w:sz w:val="24"/>
          <w:szCs w:val="24"/>
        </w:rPr>
      </w:pPr>
      <w:r w:rsidRPr="003D1371">
        <w:rPr>
          <w:rFonts w:ascii="Times New Roman" w:hAnsi="Times New Roman" w:cs="Times New Roman"/>
          <w:sz w:val="24"/>
          <w:szCs w:val="24"/>
        </w:rPr>
        <w:t>The appeal succeeds in part.</w:t>
      </w:r>
    </w:p>
    <w:p w14:paraId="4180B357" w14:textId="77777777" w:rsidR="002D49E7" w:rsidRPr="003D1371" w:rsidRDefault="002D49E7" w:rsidP="002D49E7">
      <w:pPr>
        <w:pStyle w:val="ListParagraph"/>
        <w:spacing w:line="240" w:lineRule="auto"/>
        <w:ind w:left="1418"/>
        <w:jc w:val="both"/>
        <w:rPr>
          <w:rFonts w:ascii="Times New Roman" w:hAnsi="Times New Roman" w:cs="Times New Roman"/>
          <w:sz w:val="24"/>
          <w:szCs w:val="24"/>
        </w:rPr>
      </w:pPr>
    </w:p>
    <w:p w14:paraId="4A3A03DB" w14:textId="778CF92C" w:rsidR="000953B8" w:rsidRDefault="000953B8" w:rsidP="002D49E7">
      <w:pPr>
        <w:pStyle w:val="ListParagraph"/>
        <w:numPr>
          <w:ilvl w:val="1"/>
          <w:numId w:val="2"/>
        </w:numPr>
        <w:spacing w:line="240" w:lineRule="auto"/>
        <w:ind w:left="1560" w:hanging="426"/>
        <w:jc w:val="both"/>
        <w:rPr>
          <w:rFonts w:ascii="Times New Roman" w:hAnsi="Times New Roman" w:cs="Times New Roman"/>
          <w:sz w:val="24"/>
          <w:szCs w:val="24"/>
        </w:rPr>
      </w:pPr>
      <w:r w:rsidRPr="003D1371">
        <w:rPr>
          <w:rFonts w:ascii="Times New Roman" w:hAnsi="Times New Roman" w:cs="Times New Roman"/>
          <w:sz w:val="24"/>
          <w:szCs w:val="24"/>
        </w:rPr>
        <w:t xml:space="preserve">The appeal against the court </w:t>
      </w:r>
      <w:r w:rsidR="009A492D" w:rsidRPr="003D1371">
        <w:rPr>
          <w:rFonts w:ascii="Times New Roman" w:hAnsi="Times New Roman" w:cs="Times New Roman"/>
          <w:i/>
          <w:sz w:val="24"/>
          <w:szCs w:val="24"/>
        </w:rPr>
        <w:t>a</w:t>
      </w:r>
      <w:r w:rsidR="00A95453">
        <w:rPr>
          <w:rFonts w:ascii="Times New Roman" w:hAnsi="Times New Roman" w:cs="Times New Roman"/>
          <w:i/>
          <w:sz w:val="24"/>
          <w:szCs w:val="24"/>
        </w:rPr>
        <w:t xml:space="preserve"> </w:t>
      </w:r>
      <w:r w:rsidR="009A492D" w:rsidRPr="003D1371">
        <w:rPr>
          <w:rFonts w:ascii="Times New Roman" w:hAnsi="Times New Roman" w:cs="Times New Roman"/>
          <w:i/>
          <w:sz w:val="24"/>
          <w:szCs w:val="24"/>
        </w:rPr>
        <w:t>quo</w:t>
      </w:r>
      <w:r w:rsidRPr="003D1371">
        <w:rPr>
          <w:rFonts w:ascii="Times New Roman" w:hAnsi="Times New Roman" w:cs="Times New Roman"/>
          <w:sz w:val="24"/>
          <w:szCs w:val="24"/>
        </w:rPr>
        <w:t>’s dismissal of the appellant’s claim be and is hereby dismissed with costs.</w:t>
      </w:r>
    </w:p>
    <w:p w14:paraId="016CF22B" w14:textId="77777777" w:rsidR="002D49E7" w:rsidRPr="003D1371" w:rsidRDefault="002D49E7" w:rsidP="002D49E7">
      <w:pPr>
        <w:pStyle w:val="ListParagraph"/>
        <w:spacing w:line="240" w:lineRule="auto"/>
        <w:ind w:left="1560"/>
        <w:jc w:val="both"/>
        <w:rPr>
          <w:rFonts w:ascii="Times New Roman" w:hAnsi="Times New Roman" w:cs="Times New Roman"/>
          <w:sz w:val="24"/>
          <w:szCs w:val="24"/>
        </w:rPr>
      </w:pPr>
    </w:p>
    <w:p w14:paraId="752C78B6" w14:textId="0E6BB596" w:rsidR="002D49E7" w:rsidRPr="002D49E7" w:rsidRDefault="000953B8" w:rsidP="002D49E7">
      <w:pPr>
        <w:pStyle w:val="ListParagraph"/>
        <w:numPr>
          <w:ilvl w:val="1"/>
          <w:numId w:val="2"/>
        </w:numPr>
        <w:spacing w:after="0" w:line="240" w:lineRule="auto"/>
        <w:ind w:left="1560" w:hanging="426"/>
        <w:jc w:val="both"/>
        <w:rPr>
          <w:rFonts w:ascii="Times New Roman" w:hAnsi="Times New Roman" w:cs="Times New Roman"/>
          <w:sz w:val="24"/>
          <w:szCs w:val="24"/>
        </w:rPr>
      </w:pPr>
      <w:r w:rsidRPr="003D1371">
        <w:rPr>
          <w:rFonts w:ascii="Times New Roman" w:hAnsi="Times New Roman" w:cs="Times New Roman"/>
          <w:sz w:val="24"/>
          <w:szCs w:val="24"/>
        </w:rPr>
        <w:t xml:space="preserve">By consent of the parties the judgment of the court </w:t>
      </w:r>
      <w:r w:rsidR="009A492D" w:rsidRPr="003D1371">
        <w:rPr>
          <w:rFonts w:ascii="Times New Roman" w:hAnsi="Times New Roman" w:cs="Times New Roman"/>
          <w:i/>
          <w:sz w:val="24"/>
          <w:szCs w:val="24"/>
        </w:rPr>
        <w:t>a quo</w:t>
      </w:r>
      <w:r w:rsidRPr="003D1371">
        <w:rPr>
          <w:rFonts w:ascii="Times New Roman" w:hAnsi="Times New Roman" w:cs="Times New Roman"/>
          <w:sz w:val="24"/>
          <w:szCs w:val="24"/>
        </w:rPr>
        <w:t xml:space="preserve"> on costs on a legal practitioner and client scale be and is hereby set aside and substituted as follows:</w:t>
      </w:r>
    </w:p>
    <w:p w14:paraId="23A1D3F7" w14:textId="77777777" w:rsidR="002D49E7" w:rsidRDefault="002D49E7" w:rsidP="002D49E7">
      <w:pPr>
        <w:pStyle w:val="ListParagraph"/>
        <w:spacing w:line="240" w:lineRule="auto"/>
        <w:ind w:left="2160" w:hanging="175"/>
        <w:jc w:val="both"/>
        <w:rPr>
          <w:rFonts w:ascii="Times New Roman" w:hAnsi="Times New Roman" w:cs="Times New Roman"/>
          <w:sz w:val="24"/>
          <w:szCs w:val="24"/>
        </w:rPr>
      </w:pPr>
    </w:p>
    <w:p w14:paraId="1B76AD9E" w14:textId="77777777" w:rsidR="000953B8" w:rsidRPr="003D1371" w:rsidRDefault="000953B8" w:rsidP="002D49E7">
      <w:pPr>
        <w:pStyle w:val="ListParagraph"/>
        <w:spacing w:line="240" w:lineRule="auto"/>
        <w:ind w:left="2160" w:hanging="175"/>
        <w:jc w:val="both"/>
        <w:rPr>
          <w:rFonts w:ascii="Times New Roman" w:hAnsi="Times New Roman" w:cs="Times New Roman"/>
          <w:sz w:val="24"/>
          <w:szCs w:val="24"/>
        </w:rPr>
      </w:pPr>
      <w:r w:rsidRPr="003D1371">
        <w:rPr>
          <w:rFonts w:ascii="Times New Roman" w:hAnsi="Times New Roman" w:cs="Times New Roman"/>
          <w:sz w:val="24"/>
          <w:szCs w:val="24"/>
        </w:rPr>
        <w:t>“The plaintiff shall pay the first and third defendant’s costs of suit on the ordinary scale.”</w:t>
      </w:r>
    </w:p>
    <w:p w14:paraId="1F01F2BF" w14:textId="77777777" w:rsidR="00D87DD8" w:rsidRPr="003D1371" w:rsidRDefault="00D87DD8" w:rsidP="002D49E7">
      <w:pPr>
        <w:spacing w:line="240" w:lineRule="auto"/>
        <w:jc w:val="both"/>
        <w:rPr>
          <w:rFonts w:ascii="Times New Roman" w:hAnsi="Times New Roman" w:cs="Times New Roman"/>
          <w:sz w:val="24"/>
          <w:szCs w:val="24"/>
        </w:rPr>
      </w:pPr>
    </w:p>
    <w:p w14:paraId="28CA5345" w14:textId="77777777" w:rsidR="00D87DD8" w:rsidRPr="003D1371" w:rsidRDefault="00D87DD8" w:rsidP="002D49E7">
      <w:pPr>
        <w:spacing w:line="240" w:lineRule="auto"/>
        <w:jc w:val="both"/>
        <w:rPr>
          <w:rFonts w:ascii="Times New Roman" w:hAnsi="Times New Roman" w:cs="Times New Roman"/>
          <w:sz w:val="24"/>
          <w:szCs w:val="24"/>
        </w:rPr>
      </w:pPr>
    </w:p>
    <w:p w14:paraId="74E93549" w14:textId="77777777" w:rsidR="00D87DD8" w:rsidRPr="003D1371" w:rsidRDefault="00D87DD8" w:rsidP="002D49E7">
      <w:pPr>
        <w:spacing w:line="240" w:lineRule="auto"/>
        <w:jc w:val="both"/>
        <w:rPr>
          <w:rFonts w:ascii="Times New Roman" w:hAnsi="Times New Roman" w:cs="Times New Roman"/>
          <w:sz w:val="24"/>
          <w:szCs w:val="24"/>
        </w:rPr>
      </w:pPr>
    </w:p>
    <w:p w14:paraId="31AE2CB4" w14:textId="6FB0607A" w:rsidR="00D87DD8" w:rsidRPr="002D49E7" w:rsidRDefault="00D87DD8" w:rsidP="002D49E7">
      <w:pPr>
        <w:spacing w:line="276" w:lineRule="auto"/>
        <w:ind w:firstLine="1134"/>
        <w:jc w:val="both"/>
        <w:rPr>
          <w:rFonts w:ascii="Times New Roman" w:hAnsi="Times New Roman" w:cs="Times New Roman"/>
          <w:sz w:val="24"/>
          <w:szCs w:val="24"/>
        </w:rPr>
      </w:pPr>
      <w:r w:rsidRPr="003D1371">
        <w:rPr>
          <w:rFonts w:ascii="Times New Roman" w:hAnsi="Times New Roman" w:cs="Times New Roman"/>
          <w:b/>
          <w:sz w:val="24"/>
          <w:szCs w:val="24"/>
        </w:rPr>
        <w:t>UCHENA JA</w:t>
      </w:r>
      <w:r w:rsidR="00A95453">
        <w:rPr>
          <w:rFonts w:ascii="Times New Roman" w:hAnsi="Times New Roman" w:cs="Times New Roman"/>
          <w:b/>
          <w:sz w:val="24"/>
          <w:szCs w:val="24"/>
        </w:rPr>
        <w:tab/>
      </w:r>
      <w:r w:rsidR="00A95453">
        <w:rPr>
          <w:rFonts w:ascii="Times New Roman" w:hAnsi="Times New Roman" w:cs="Times New Roman"/>
          <w:b/>
          <w:sz w:val="24"/>
          <w:szCs w:val="24"/>
        </w:rPr>
        <w:tab/>
      </w:r>
      <w:r w:rsidRPr="003D1371">
        <w:rPr>
          <w:rFonts w:ascii="Times New Roman" w:hAnsi="Times New Roman" w:cs="Times New Roman"/>
          <w:b/>
          <w:sz w:val="24"/>
          <w:szCs w:val="24"/>
        </w:rPr>
        <w:t xml:space="preserve">:  </w:t>
      </w:r>
      <w:r w:rsidRPr="003D1371">
        <w:rPr>
          <w:rFonts w:ascii="Times New Roman" w:hAnsi="Times New Roman" w:cs="Times New Roman"/>
          <w:b/>
          <w:sz w:val="24"/>
          <w:szCs w:val="24"/>
        </w:rPr>
        <w:tab/>
      </w:r>
      <w:r w:rsidRPr="003D1371">
        <w:rPr>
          <w:rFonts w:ascii="Times New Roman" w:hAnsi="Times New Roman" w:cs="Times New Roman"/>
          <w:b/>
          <w:sz w:val="24"/>
          <w:szCs w:val="24"/>
        </w:rPr>
        <w:tab/>
      </w:r>
      <w:r w:rsidRPr="002D49E7">
        <w:rPr>
          <w:rFonts w:ascii="Times New Roman" w:hAnsi="Times New Roman" w:cs="Times New Roman"/>
          <w:sz w:val="24"/>
          <w:szCs w:val="24"/>
        </w:rPr>
        <w:t>I agree</w:t>
      </w:r>
    </w:p>
    <w:p w14:paraId="01F5C08C" w14:textId="77777777" w:rsidR="00D87DD8" w:rsidRPr="002D49E7" w:rsidRDefault="00D87DD8" w:rsidP="002D49E7">
      <w:pPr>
        <w:spacing w:line="480" w:lineRule="auto"/>
        <w:jc w:val="both"/>
        <w:rPr>
          <w:rFonts w:ascii="Times New Roman" w:hAnsi="Times New Roman" w:cs="Times New Roman"/>
          <w:sz w:val="24"/>
          <w:szCs w:val="24"/>
        </w:rPr>
      </w:pPr>
    </w:p>
    <w:p w14:paraId="4BE87574" w14:textId="77777777" w:rsidR="00D87DD8" w:rsidRPr="003D1371" w:rsidRDefault="00D87DD8" w:rsidP="00D87DD8">
      <w:pPr>
        <w:spacing w:line="276" w:lineRule="auto"/>
        <w:jc w:val="both"/>
        <w:rPr>
          <w:rFonts w:ascii="Times New Roman" w:hAnsi="Times New Roman" w:cs="Times New Roman"/>
          <w:b/>
          <w:sz w:val="24"/>
          <w:szCs w:val="24"/>
        </w:rPr>
      </w:pPr>
    </w:p>
    <w:p w14:paraId="2FEEBEA2" w14:textId="20618742" w:rsidR="00D87DD8" w:rsidRPr="003D1371" w:rsidRDefault="00D87DD8" w:rsidP="002D49E7">
      <w:pPr>
        <w:spacing w:line="276" w:lineRule="auto"/>
        <w:ind w:firstLine="1134"/>
        <w:jc w:val="both"/>
        <w:rPr>
          <w:rFonts w:ascii="Times New Roman" w:hAnsi="Times New Roman" w:cs="Times New Roman"/>
          <w:b/>
          <w:sz w:val="24"/>
          <w:szCs w:val="24"/>
        </w:rPr>
      </w:pPr>
      <w:r w:rsidRPr="003D1371">
        <w:rPr>
          <w:rFonts w:ascii="Times New Roman" w:hAnsi="Times New Roman" w:cs="Times New Roman"/>
          <w:b/>
          <w:sz w:val="24"/>
          <w:szCs w:val="24"/>
        </w:rPr>
        <w:t>CHITAKUNYE JA</w:t>
      </w:r>
      <w:r w:rsidR="00A95453">
        <w:rPr>
          <w:rFonts w:ascii="Times New Roman" w:hAnsi="Times New Roman" w:cs="Times New Roman"/>
          <w:b/>
          <w:sz w:val="24"/>
          <w:szCs w:val="24"/>
        </w:rPr>
        <w:tab/>
      </w:r>
      <w:r w:rsidRPr="003D1371">
        <w:rPr>
          <w:rFonts w:ascii="Times New Roman" w:hAnsi="Times New Roman" w:cs="Times New Roman"/>
          <w:b/>
          <w:sz w:val="24"/>
          <w:szCs w:val="24"/>
        </w:rPr>
        <w:t>:</w:t>
      </w:r>
      <w:r w:rsidRPr="003D1371">
        <w:rPr>
          <w:rFonts w:ascii="Times New Roman" w:hAnsi="Times New Roman" w:cs="Times New Roman"/>
          <w:b/>
          <w:sz w:val="24"/>
          <w:szCs w:val="24"/>
        </w:rPr>
        <w:tab/>
      </w:r>
      <w:r w:rsidR="002D49E7">
        <w:rPr>
          <w:rFonts w:ascii="Times New Roman" w:hAnsi="Times New Roman" w:cs="Times New Roman"/>
          <w:b/>
          <w:sz w:val="24"/>
          <w:szCs w:val="24"/>
        </w:rPr>
        <w:tab/>
      </w:r>
      <w:r w:rsidRPr="002D49E7">
        <w:rPr>
          <w:rFonts w:ascii="Times New Roman" w:hAnsi="Times New Roman" w:cs="Times New Roman"/>
          <w:sz w:val="24"/>
          <w:szCs w:val="24"/>
        </w:rPr>
        <w:t>I agree</w:t>
      </w:r>
    </w:p>
    <w:p w14:paraId="75140F03" w14:textId="77777777" w:rsidR="004868A2" w:rsidRDefault="004868A2" w:rsidP="00074AE7">
      <w:pPr>
        <w:rPr>
          <w:rFonts w:ascii="Times New Roman" w:hAnsi="Times New Roman" w:cs="Times New Roman"/>
          <w:b/>
          <w:bCs/>
          <w:sz w:val="24"/>
          <w:szCs w:val="24"/>
          <w:u w:val="single"/>
          <w:lang w:val="en-GB"/>
        </w:rPr>
      </w:pPr>
    </w:p>
    <w:p w14:paraId="59949155" w14:textId="77777777" w:rsidR="002D49E7" w:rsidRPr="003D1371" w:rsidRDefault="002D49E7" w:rsidP="002D49E7">
      <w:pPr>
        <w:spacing w:after="0"/>
        <w:rPr>
          <w:rFonts w:ascii="Times New Roman" w:hAnsi="Times New Roman" w:cs="Times New Roman"/>
          <w:b/>
          <w:bCs/>
          <w:sz w:val="24"/>
          <w:szCs w:val="24"/>
          <w:u w:val="single"/>
          <w:lang w:val="en-GB"/>
        </w:rPr>
      </w:pPr>
    </w:p>
    <w:p w14:paraId="1D90CED8" w14:textId="77777777" w:rsidR="00D066A6" w:rsidRPr="003D1371" w:rsidRDefault="00D87DD8" w:rsidP="002D49E7">
      <w:pPr>
        <w:spacing w:after="0" w:line="240" w:lineRule="auto"/>
        <w:rPr>
          <w:rFonts w:ascii="Times New Roman" w:hAnsi="Times New Roman" w:cs="Times New Roman"/>
          <w:i/>
          <w:sz w:val="24"/>
          <w:szCs w:val="24"/>
        </w:rPr>
      </w:pPr>
      <w:r w:rsidRPr="003D1371">
        <w:rPr>
          <w:rFonts w:ascii="Times New Roman" w:hAnsi="Times New Roman" w:cs="Times New Roman"/>
          <w:i/>
          <w:sz w:val="24"/>
          <w:szCs w:val="24"/>
        </w:rPr>
        <w:t xml:space="preserve">Chizengeya Maeresera &amp; Partners, </w:t>
      </w:r>
      <w:r w:rsidRPr="002D49E7">
        <w:rPr>
          <w:rFonts w:ascii="Times New Roman" w:hAnsi="Times New Roman" w:cs="Times New Roman"/>
          <w:sz w:val="24"/>
          <w:szCs w:val="24"/>
        </w:rPr>
        <w:t>appellant’s legal practitioners</w:t>
      </w:r>
    </w:p>
    <w:p w14:paraId="575BE58C" w14:textId="77777777" w:rsidR="00D87DD8" w:rsidRPr="003D1371" w:rsidRDefault="00D87DD8" w:rsidP="002D49E7">
      <w:pPr>
        <w:spacing w:after="0" w:line="240" w:lineRule="auto"/>
        <w:rPr>
          <w:rFonts w:ascii="Times New Roman" w:hAnsi="Times New Roman" w:cs="Times New Roman"/>
          <w:i/>
          <w:sz w:val="24"/>
          <w:szCs w:val="24"/>
        </w:rPr>
      </w:pPr>
    </w:p>
    <w:p w14:paraId="7B8204B9" w14:textId="1A4072F7" w:rsidR="00D87DD8" w:rsidRPr="003D1371" w:rsidRDefault="00D87DD8" w:rsidP="002D49E7">
      <w:pPr>
        <w:spacing w:after="0" w:line="240" w:lineRule="auto"/>
        <w:rPr>
          <w:rFonts w:ascii="Times New Roman" w:hAnsi="Times New Roman" w:cs="Times New Roman"/>
          <w:i/>
          <w:sz w:val="24"/>
          <w:szCs w:val="24"/>
        </w:rPr>
      </w:pPr>
      <w:r w:rsidRPr="003D1371">
        <w:rPr>
          <w:rFonts w:ascii="Times New Roman" w:hAnsi="Times New Roman" w:cs="Times New Roman"/>
          <w:i/>
          <w:sz w:val="24"/>
          <w:szCs w:val="24"/>
        </w:rPr>
        <w:t xml:space="preserve">Gambe Law Group, </w:t>
      </w:r>
      <w:r w:rsidR="002D49E7">
        <w:rPr>
          <w:rFonts w:ascii="Times New Roman" w:hAnsi="Times New Roman" w:cs="Times New Roman"/>
          <w:sz w:val="24"/>
          <w:szCs w:val="24"/>
        </w:rPr>
        <w:t>1</w:t>
      </w:r>
      <w:r w:rsidR="002D49E7" w:rsidRPr="002D49E7">
        <w:rPr>
          <w:rFonts w:ascii="Times New Roman" w:hAnsi="Times New Roman" w:cs="Times New Roman"/>
          <w:sz w:val="24"/>
          <w:szCs w:val="24"/>
          <w:vertAlign w:val="superscript"/>
        </w:rPr>
        <w:t>st</w:t>
      </w:r>
      <w:r w:rsidR="002D49E7">
        <w:rPr>
          <w:rFonts w:ascii="Times New Roman" w:hAnsi="Times New Roman" w:cs="Times New Roman"/>
          <w:sz w:val="24"/>
          <w:szCs w:val="24"/>
        </w:rPr>
        <w:t xml:space="preserve"> </w:t>
      </w:r>
      <w:r w:rsidRPr="002D49E7">
        <w:rPr>
          <w:rFonts w:ascii="Times New Roman" w:hAnsi="Times New Roman" w:cs="Times New Roman"/>
          <w:sz w:val="24"/>
          <w:szCs w:val="24"/>
        </w:rPr>
        <w:t>respondent’s legal practitioners</w:t>
      </w:r>
    </w:p>
    <w:p w14:paraId="45FC1761" w14:textId="77777777" w:rsidR="00D87DD8" w:rsidRPr="003D1371" w:rsidRDefault="00D87DD8" w:rsidP="002D49E7">
      <w:pPr>
        <w:spacing w:after="0" w:line="240" w:lineRule="auto"/>
        <w:rPr>
          <w:rFonts w:ascii="Times New Roman" w:hAnsi="Times New Roman" w:cs="Times New Roman"/>
          <w:i/>
          <w:sz w:val="24"/>
          <w:szCs w:val="24"/>
        </w:rPr>
      </w:pPr>
    </w:p>
    <w:p w14:paraId="7319CCE9" w14:textId="1DCF4BE2" w:rsidR="00D87DD8" w:rsidRPr="002D49E7" w:rsidRDefault="00D87DD8" w:rsidP="002D49E7">
      <w:pPr>
        <w:spacing w:after="0" w:line="240" w:lineRule="auto"/>
        <w:rPr>
          <w:rFonts w:ascii="Times New Roman" w:hAnsi="Times New Roman" w:cs="Times New Roman"/>
          <w:sz w:val="24"/>
          <w:szCs w:val="24"/>
        </w:rPr>
      </w:pPr>
      <w:r w:rsidRPr="003D1371">
        <w:rPr>
          <w:rFonts w:ascii="Times New Roman" w:hAnsi="Times New Roman" w:cs="Times New Roman"/>
          <w:i/>
          <w:sz w:val="24"/>
          <w:szCs w:val="24"/>
        </w:rPr>
        <w:t xml:space="preserve">Nyangani Law Chambers, </w:t>
      </w:r>
      <w:r w:rsidR="002D49E7">
        <w:rPr>
          <w:rFonts w:ascii="Times New Roman" w:hAnsi="Times New Roman" w:cs="Times New Roman"/>
          <w:sz w:val="24"/>
          <w:szCs w:val="24"/>
        </w:rPr>
        <w:t>3</w:t>
      </w:r>
      <w:r w:rsidR="002D49E7" w:rsidRPr="002D49E7">
        <w:rPr>
          <w:rFonts w:ascii="Times New Roman" w:hAnsi="Times New Roman" w:cs="Times New Roman"/>
          <w:sz w:val="24"/>
          <w:szCs w:val="24"/>
          <w:vertAlign w:val="superscript"/>
        </w:rPr>
        <w:t>rd</w:t>
      </w:r>
      <w:r w:rsidR="002D49E7">
        <w:rPr>
          <w:rFonts w:ascii="Times New Roman" w:hAnsi="Times New Roman" w:cs="Times New Roman"/>
          <w:sz w:val="24"/>
          <w:szCs w:val="24"/>
        </w:rPr>
        <w:t xml:space="preserve"> </w:t>
      </w:r>
      <w:r w:rsidRPr="002D49E7">
        <w:rPr>
          <w:rFonts w:ascii="Times New Roman" w:hAnsi="Times New Roman" w:cs="Times New Roman"/>
          <w:sz w:val="24"/>
          <w:szCs w:val="24"/>
        </w:rPr>
        <w:t>respondent’s legal practitioners</w:t>
      </w:r>
    </w:p>
    <w:p w14:paraId="3FD6FD55" w14:textId="77777777" w:rsidR="00D87DD8" w:rsidRPr="002D49E7" w:rsidRDefault="00D87DD8">
      <w:pPr>
        <w:rPr>
          <w:rFonts w:ascii="Times New Roman" w:hAnsi="Times New Roman" w:cs="Times New Roman"/>
          <w:sz w:val="24"/>
          <w:szCs w:val="24"/>
        </w:rPr>
      </w:pPr>
    </w:p>
    <w:sectPr w:rsidR="00D87DD8" w:rsidRPr="002D49E7">
      <w:headerReference w:type="default" r:id="rId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C8E3A0" w16cex:dateUtc="2025-07-22T13:53: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C71A1" w14:textId="77777777" w:rsidR="00DE2731" w:rsidRDefault="00DE2731" w:rsidP="00074AE7">
      <w:pPr>
        <w:spacing w:after="0" w:line="240" w:lineRule="auto"/>
      </w:pPr>
      <w:r>
        <w:separator/>
      </w:r>
    </w:p>
  </w:endnote>
  <w:endnote w:type="continuationSeparator" w:id="0">
    <w:p w14:paraId="350E41EE" w14:textId="77777777" w:rsidR="00DE2731" w:rsidRDefault="00DE2731" w:rsidP="00074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B50C5" w14:textId="77777777" w:rsidR="00DE2731" w:rsidRDefault="00DE2731" w:rsidP="00074AE7">
      <w:pPr>
        <w:spacing w:after="0" w:line="240" w:lineRule="auto"/>
      </w:pPr>
      <w:r>
        <w:separator/>
      </w:r>
    </w:p>
  </w:footnote>
  <w:footnote w:type="continuationSeparator" w:id="0">
    <w:p w14:paraId="6BCB34C3" w14:textId="77777777" w:rsidR="00DE2731" w:rsidRDefault="00DE2731" w:rsidP="00074A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3ED0F" w14:textId="77777777" w:rsidR="006F698D" w:rsidRDefault="006F698D">
    <w:pPr>
      <w:pStyle w:val="Header"/>
    </w:pPr>
    <w:r>
      <w:rPr>
        <w:noProof/>
        <w:lang w:val="en-ZW" w:eastAsia="en-ZW"/>
      </w:rPr>
      <mc:AlternateContent>
        <mc:Choice Requires="wps">
          <w:drawing>
            <wp:anchor distT="0" distB="0" distL="114300" distR="114300" simplePos="0" relativeHeight="251660288" behindDoc="0" locked="0" layoutInCell="0" allowOverlap="1" wp14:anchorId="0559984D" wp14:editId="59347885">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73729" w14:textId="1D3A3F28" w:rsidR="006F698D" w:rsidRPr="003D1371" w:rsidRDefault="006F698D">
                          <w:pPr>
                            <w:spacing w:after="0" w:line="240" w:lineRule="auto"/>
                            <w:jc w:val="right"/>
                            <w:rPr>
                              <w:rFonts w:ascii="Times New Roman" w:hAnsi="Times New Roman" w:cs="Times New Roman"/>
                              <w:b/>
                              <w:noProof/>
                              <w:sz w:val="24"/>
                              <w:szCs w:val="24"/>
                            </w:rPr>
                          </w:pPr>
                          <w:r w:rsidRPr="003D1371">
                            <w:rPr>
                              <w:rFonts w:ascii="Times New Roman" w:hAnsi="Times New Roman" w:cs="Times New Roman"/>
                              <w:b/>
                              <w:noProof/>
                              <w:sz w:val="24"/>
                              <w:szCs w:val="24"/>
                            </w:rPr>
                            <w:t xml:space="preserve">Judgment No. SC </w:t>
                          </w:r>
                          <w:r w:rsidR="002D6511">
                            <w:rPr>
                              <w:rFonts w:ascii="Times New Roman" w:hAnsi="Times New Roman" w:cs="Times New Roman"/>
                              <w:b/>
                              <w:noProof/>
                              <w:sz w:val="24"/>
                              <w:szCs w:val="24"/>
                            </w:rPr>
                            <w:t>88</w:t>
                          </w:r>
                          <w:r w:rsidRPr="003D1371">
                            <w:rPr>
                              <w:rFonts w:ascii="Times New Roman" w:hAnsi="Times New Roman" w:cs="Times New Roman"/>
                              <w:b/>
                              <w:noProof/>
                              <w:sz w:val="24"/>
                              <w:szCs w:val="24"/>
                            </w:rPr>
                            <w:t>/25</w:t>
                          </w:r>
                        </w:p>
                        <w:p w14:paraId="4F0BF4B6" w14:textId="77777777" w:rsidR="006F698D" w:rsidRPr="003D1371" w:rsidRDefault="006F698D">
                          <w:pPr>
                            <w:spacing w:after="0" w:line="240" w:lineRule="auto"/>
                            <w:jc w:val="right"/>
                            <w:rPr>
                              <w:rFonts w:ascii="Times New Roman" w:hAnsi="Times New Roman" w:cs="Times New Roman"/>
                              <w:b/>
                              <w:noProof/>
                              <w:sz w:val="24"/>
                              <w:szCs w:val="24"/>
                            </w:rPr>
                          </w:pPr>
                          <w:r w:rsidRPr="003D1371">
                            <w:rPr>
                              <w:rFonts w:ascii="Times New Roman" w:hAnsi="Times New Roman" w:cs="Times New Roman"/>
                              <w:b/>
                              <w:noProof/>
                              <w:sz w:val="24"/>
                              <w:szCs w:val="24"/>
                            </w:rPr>
                            <w:t>Civil Appeal No. SC 486/24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cx="http://schemas.microsoft.com/office/drawing/2014/chartex" xmlns:w16se="http://schemas.microsoft.com/office/word/2015/wordml/symex">
          <w:pict>
            <v:shapetype w14:anchorId="0559984D"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48F73729" w14:textId="1D3A3F28" w:rsidR="006F698D" w:rsidRPr="003D1371" w:rsidRDefault="006F698D">
                    <w:pPr>
                      <w:spacing w:after="0" w:line="240" w:lineRule="auto"/>
                      <w:jc w:val="right"/>
                      <w:rPr>
                        <w:rFonts w:ascii="Times New Roman" w:hAnsi="Times New Roman" w:cs="Times New Roman"/>
                        <w:b/>
                        <w:noProof/>
                        <w:sz w:val="24"/>
                        <w:szCs w:val="24"/>
                      </w:rPr>
                    </w:pPr>
                    <w:r w:rsidRPr="003D1371">
                      <w:rPr>
                        <w:rFonts w:ascii="Times New Roman" w:hAnsi="Times New Roman" w:cs="Times New Roman"/>
                        <w:b/>
                        <w:noProof/>
                        <w:sz w:val="24"/>
                        <w:szCs w:val="24"/>
                      </w:rPr>
                      <w:t xml:space="preserve">Judgment No. SC </w:t>
                    </w:r>
                    <w:r w:rsidR="002D6511">
                      <w:rPr>
                        <w:rFonts w:ascii="Times New Roman" w:hAnsi="Times New Roman" w:cs="Times New Roman"/>
                        <w:b/>
                        <w:noProof/>
                        <w:sz w:val="24"/>
                        <w:szCs w:val="24"/>
                      </w:rPr>
                      <w:t>88</w:t>
                    </w:r>
                    <w:r w:rsidRPr="003D1371">
                      <w:rPr>
                        <w:rFonts w:ascii="Times New Roman" w:hAnsi="Times New Roman" w:cs="Times New Roman"/>
                        <w:b/>
                        <w:noProof/>
                        <w:sz w:val="24"/>
                        <w:szCs w:val="24"/>
                      </w:rPr>
                      <w:t>/25</w:t>
                    </w:r>
                  </w:p>
                  <w:p w14:paraId="4F0BF4B6" w14:textId="77777777" w:rsidR="006F698D" w:rsidRPr="003D1371" w:rsidRDefault="006F698D">
                    <w:pPr>
                      <w:spacing w:after="0" w:line="240" w:lineRule="auto"/>
                      <w:jc w:val="right"/>
                      <w:rPr>
                        <w:rFonts w:ascii="Times New Roman" w:hAnsi="Times New Roman" w:cs="Times New Roman"/>
                        <w:b/>
                        <w:noProof/>
                        <w:sz w:val="24"/>
                        <w:szCs w:val="24"/>
                      </w:rPr>
                    </w:pPr>
                    <w:r w:rsidRPr="003D1371">
                      <w:rPr>
                        <w:rFonts w:ascii="Times New Roman" w:hAnsi="Times New Roman" w:cs="Times New Roman"/>
                        <w:b/>
                        <w:noProof/>
                        <w:sz w:val="24"/>
                        <w:szCs w:val="24"/>
                      </w:rPr>
                      <w:t>Civil Appeal No. SC 486/24</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4D006925" wp14:editId="23CEA0B0">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071B6CF" w14:textId="63639BD7" w:rsidR="006F698D" w:rsidRDefault="006F698D">
                          <w:pPr>
                            <w:spacing w:after="0" w:line="240" w:lineRule="auto"/>
                            <w:rPr>
                              <w:color w:val="FFFFFF" w:themeColor="background1"/>
                            </w:rPr>
                          </w:pPr>
                          <w:r>
                            <w:fldChar w:fldCharType="begin"/>
                          </w:r>
                          <w:r>
                            <w:instrText xml:space="preserve"> PAGE   \* MERGEFORMAT </w:instrText>
                          </w:r>
                          <w:r>
                            <w:fldChar w:fldCharType="separate"/>
                          </w:r>
                          <w:r w:rsidR="00A020B2" w:rsidRPr="00A020B2">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4D006925"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6071B6CF" w14:textId="63639BD7" w:rsidR="006F698D" w:rsidRDefault="006F698D">
                    <w:pPr>
                      <w:spacing w:after="0" w:line="240" w:lineRule="auto"/>
                      <w:rPr>
                        <w:color w:val="FFFFFF" w:themeColor="background1"/>
                      </w:rPr>
                    </w:pPr>
                    <w:r>
                      <w:fldChar w:fldCharType="begin"/>
                    </w:r>
                    <w:r>
                      <w:instrText xml:space="preserve"> PAGE   \* MERGEFORMAT </w:instrText>
                    </w:r>
                    <w:r>
                      <w:fldChar w:fldCharType="separate"/>
                    </w:r>
                    <w:r w:rsidR="00A020B2" w:rsidRPr="00A020B2">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76243"/>
    <w:multiLevelType w:val="hybridMultilevel"/>
    <w:tmpl w:val="E19EE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DE1F85"/>
    <w:multiLevelType w:val="hybridMultilevel"/>
    <w:tmpl w:val="74241F3A"/>
    <w:lvl w:ilvl="0" w:tplc="4FE46A74">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B31B76"/>
    <w:multiLevelType w:val="hybridMultilevel"/>
    <w:tmpl w:val="4B6249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52651B"/>
    <w:multiLevelType w:val="hybridMultilevel"/>
    <w:tmpl w:val="06B46782"/>
    <w:lvl w:ilvl="0" w:tplc="5E1A6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DD25CA"/>
    <w:multiLevelType w:val="hybridMultilevel"/>
    <w:tmpl w:val="3648F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927306"/>
    <w:multiLevelType w:val="hybridMultilevel"/>
    <w:tmpl w:val="EA22D8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65B7607"/>
    <w:multiLevelType w:val="hybridMultilevel"/>
    <w:tmpl w:val="4A04DD60"/>
    <w:lvl w:ilvl="0" w:tplc="63540E0E">
      <w:start w:val="1"/>
      <w:numFmt w:val="lowerLetter"/>
      <w:lvlText w:val="(%1)"/>
      <w:lvlJc w:val="left"/>
      <w:pPr>
        <w:ind w:left="2771" w:hanging="360"/>
      </w:pPr>
      <w:rPr>
        <w:rFonts w:ascii="Times New Roman" w:eastAsiaTheme="minorHAnsi" w:hAnsi="Times New Roman" w:cs="Times New Roman"/>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7">
    <w:nsid w:val="3B0F6936"/>
    <w:multiLevelType w:val="hybridMultilevel"/>
    <w:tmpl w:val="15665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3D6466"/>
    <w:multiLevelType w:val="multilevel"/>
    <w:tmpl w:val="F7949590"/>
    <w:lvl w:ilvl="0">
      <w:start w:val="1"/>
      <w:numFmt w:val="decimal"/>
      <w:lvlText w:val="%1."/>
      <w:lvlJc w:val="left"/>
      <w:pPr>
        <w:ind w:left="4755" w:hanging="36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475" w:hanging="108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835" w:hanging="144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6195" w:hanging="1800"/>
      </w:pPr>
      <w:rPr>
        <w:rFonts w:hint="default"/>
      </w:rPr>
    </w:lvl>
    <w:lvl w:ilvl="8">
      <w:start w:val="1"/>
      <w:numFmt w:val="decimal"/>
      <w:isLgl/>
      <w:lvlText w:val="%1.%2.%3.%4.%5.%6.%7.%8.%9."/>
      <w:lvlJc w:val="left"/>
      <w:pPr>
        <w:ind w:left="6555" w:hanging="2160"/>
      </w:pPr>
      <w:rPr>
        <w:rFonts w:hint="default"/>
      </w:rPr>
    </w:lvl>
  </w:abstractNum>
  <w:num w:numId="1">
    <w:abstractNumId w:val="3"/>
  </w:num>
  <w:num w:numId="2">
    <w:abstractNumId w:val="8"/>
  </w:num>
  <w:num w:numId="3">
    <w:abstractNumId w:val="0"/>
  </w:num>
  <w:num w:numId="4">
    <w:abstractNumId w:val="2"/>
  </w:num>
  <w:num w:numId="5">
    <w:abstractNumId w:val="6"/>
  </w:num>
  <w:num w:numId="6">
    <w:abstractNumId w:val="5"/>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AE7"/>
    <w:rsid w:val="00000864"/>
    <w:rsid w:val="000066E3"/>
    <w:rsid w:val="00015E31"/>
    <w:rsid w:val="00023293"/>
    <w:rsid w:val="00027AEF"/>
    <w:rsid w:val="00033BE0"/>
    <w:rsid w:val="0004484E"/>
    <w:rsid w:val="000459B3"/>
    <w:rsid w:val="00050B06"/>
    <w:rsid w:val="000527CE"/>
    <w:rsid w:val="000626EE"/>
    <w:rsid w:val="0006294F"/>
    <w:rsid w:val="00074AE7"/>
    <w:rsid w:val="00075E2F"/>
    <w:rsid w:val="000953B8"/>
    <w:rsid w:val="00096C4B"/>
    <w:rsid w:val="000A7F11"/>
    <w:rsid w:val="000D1AB3"/>
    <w:rsid w:val="000D6DA7"/>
    <w:rsid w:val="000E12B9"/>
    <w:rsid w:val="000E12C8"/>
    <w:rsid w:val="000E6075"/>
    <w:rsid w:val="000E7884"/>
    <w:rsid w:val="000F13D5"/>
    <w:rsid w:val="000F2444"/>
    <w:rsid w:val="001018D9"/>
    <w:rsid w:val="001032A3"/>
    <w:rsid w:val="0013098F"/>
    <w:rsid w:val="0014247E"/>
    <w:rsid w:val="001425F7"/>
    <w:rsid w:val="00174DC2"/>
    <w:rsid w:val="001A2830"/>
    <w:rsid w:val="001B3B65"/>
    <w:rsid w:val="001C2FBA"/>
    <w:rsid w:val="001C4ABB"/>
    <w:rsid w:val="001C58C5"/>
    <w:rsid w:val="001D0AC3"/>
    <w:rsid w:val="001D449F"/>
    <w:rsid w:val="001D74C3"/>
    <w:rsid w:val="001E4093"/>
    <w:rsid w:val="001F2D18"/>
    <w:rsid w:val="00215949"/>
    <w:rsid w:val="00236380"/>
    <w:rsid w:val="002377C7"/>
    <w:rsid w:val="002428C4"/>
    <w:rsid w:val="00253D2D"/>
    <w:rsid w:val="00270D77"/>
    <w:rsid w:val="002754F3"/>
    <w:rsid w:val="002873D9"/>
    <w:rsid w:val="0029013D"/>
    <w:rsid w:val="002960F7"/>
    <w:rsid w:val="00297999"/>
    <w:rsid w:val="00297E4B"/>
    <w:rsid w:val="002B2E03"/>
    <w:rsid w:val="002B300E"/>
    <w:rsid w:val="002C0873"/>
    <w:rsid w:val="002C1775"/>
    <w:rsid w:val="002D49E7"/>
    <w:rsid w:val="002D6511"/>
    <w:rsid w:val="002F41AE"/>
    <w:rsid w:val="002F4214"/>
    <w:rsid w:val="00305FFC"/>
    <w:rsid w:val="00306FA0"/>
    <w:rsid w:val="00310865"/>
    <w:rsid w:val="00313D60"/>
    <w:rsid w:val="003148EF"/>
    <w:rsid w:val="003154EE"/>
    <w:rsid w:val="00317499"/>
    <w:rsid w:val="003353C3"/>
    <w:rsid w:val="003437C0"/>
    <w:rsid w:val="00361390"/>
    <w:rsid w:val="00385EF0"/>
    <w:rsid w:val="003A100A"/>
    <w:rsid w:val="003A154F"/>
    <w:rsid w:val="003A5DBC"/>
    <w:rsid w:val="003B49B3"/>
    <w:rsid w:val="003B5793"/>
    <w:rsid w:val="003B75FF"/>
    <w:rsid w:val="003C0225"/>
    <w:rsid w:val="003D1371"/>
    <w:rsid w:val="003D7678"/>
    <w:rsid w:val="003F6498"/>
    <w:rsid w:val="0040692A"/>
    <w:rsid w:val="00415096"/>
    <w:rsid w:val="00423AC3"/>
    <w:rsid w:val="00437705"/>
    <w:rsid w:val="00440589"/>
    <w:rsid w:val="004454FC"/>
    <w:rsid w:val="0048036C"/>
    <w:rsid w:val="0048627F"/>
    <w:rsid w:val="00486613"/>
    <w:rsid w:val="004868A2"/>
    <w:rsid w:val="004A7794"/>
    <w:rsid w:val="004A7C8D"/>
    <w:rsid w:val="004B1B2B"/>
    <w:rsid w:val="004D7A86"/>
    <w:rsid w:val="004F472B"/>
    <w:rsid w:val="004F56CD"/>
    <w:rsid w:val="00502BDA"/>
    <w:rsid w:val="00507011"/>
    <w:rsid w:val="00516A20"/>
    <w:rsid w:val="005200B8"/>
    <w:rsid w:val="00547AD5"/>
    <w:rsid w:val="0057023B"/>
    <w:rsid w:val="005718E4"/>
    <w:rsid w:val="00577D5B"/>
    <w:rsid w:val="005836A5"/>
    <w:rsid w:val="005924EB"/>
    <w:rsid w:val="00593021"/>
    <w:rsid w:val="005B474F"/>
    <w:rsid w:val="005B74FB"/>
    <w:rsid w:val="005C2229"/>
    <w:rsid w:val="005C335E"/>
    <w:rsid w:val="005C6176"/>
    <w:rsid w:val="005C6E4E"/>
    <w:rsid w:val="005F5147"/>
    <w:rsid w:val="00605397"/>
    <w:rsid w:val="00606147"/>
    <w:rsid w:val="00620910"/>
    <w:rsid w:val="00622B0A"/>
    <w:rsid w:val="0063676C"/>
    <w:rsid w:val="006376BC"/>
    <w:rsid w:val="00640306"/>
    <w:rsid w:val="006446C3"/>
    <w:rsid w:val="006529CF"/>
    <w:rsid w:val="00652C27"/>
    <w:rsid w:val="00656773"/>
    <w:rsid w:val="00656B76"/>
    <w:rsid w:val="00660D8C"/>
    <w:rsid w:val="0066193B"/>
    <w:rsid w:val="006A731F"/>
    <w:rsid w:val="006B1AB6"/>
    <w:rsid w:val="006B3ECB"/>
    <w:rsid w:val="006C2CF1"/>
    <w:rsid w:val="006F698D"/>
    <w:rsid w:val="00700DF0"/>
    <w:rsid w:val="0070457C"/>
    <w:rsid w:val="007071E3"/>
    <w:rsid w:val="007220DF"/>
    <w:rsid w:val="007249C4"/>
    <w:rsid w:val="00724B7E"/>
    <w:rsid w:val="007251CE"/>
    <w:rsid w:val="007321EB"/>
    <w:rsid w:val="0074308E"/>
    <w:rsid w:val="00752686"/>
    <w:rsid w:val="00753813"/>
    <w:rsid w:val="0075545C"/>
    <w:rsid w:val="00757421"/>
    <w:rsid w:val="00763038"/>
    <w:rsid w:val="00764549"/>
    <w:rsid w:val="00775CD4"/>
    <w:rsid w:val="0077719F"/>
    <w:rsid w:val="0077767A"/>
    <w:rsid w:val="00780685"/>
    <w:rsid w:val="00793CF4"/>
    <w:rsid w:val="00795374"/>
    <w:rsid w:val="00795C29"/>
    <w:rsid w:val="007B4A13"/>
    <w:rsid w:val="007C4886"/>
    <w:rsid w:val="007C4BF1"/>
    <w:rsid w:val="007D5C17"/>
    <w:rsid w:val="007E0EAD"/>
    <w:rsid w:val="007E1A22"/>
    <w:rsid w:val="007E2E95"/>
    <w:rsid w:val="007E66A2"/>
    <w:rsid w:val="008045C7"/>
    <w:rsid w:val="00807910"/>
    <w:rsid w:val="00811F75"/>
    <w:rsid w:val="0082069C"/>
    <w:rsid w:val="008375A2"/>
    <w:rsid w:val="00850E7B"/>
    <w:rsid w:val="00862C08"/>
    <w:rsid w:val="00862F51"/>
    <w:rsid w:val="00864F27"/>
    <w:rsid w:val="008670B5"/>
    <w:rsid w:val="00870B06"/>
    <w:rsid w:val="00872FF5"/>
    <w:rsid w:val="00873E6A"/>
    <w:rsid w:val="00881B76"/>
    <w:rsid w:val="00891DDB"/>
    <w:rsid w:val="008C3786"/>
    <w:rsid w:val="008C3A82"/>
    <w:rsid w:val="008D6DEE"/>
    <w:rsid w:val="008F3DD8"/>
    <w:rsid w:val="008F77CC"/>
    <w:rsid w:val="0090108B"/>
    <w:rsid w:val="00905346"/>
    <w:rsid w:val="00916325"/>
    <w:rsid w:val="009170EA"/>
    <w:rsid w:val="009326F3"/>
    <w:rsid w:val="00941188"/>
    <w:rsid w:val="00952086"/>
    <w:rsid w:val="009564D0"/>
    <w:rsid w:val="0095703A"/>
    <w:rsid w:val="009725A8"/>
    <w:rsid w:val="00985377"/>
    <w:rsid w:val="0099295B"/>
    <w:rsid w:val="00992B89"/>
    <w:rsid w:val="009A492D"/>
    <w:rsid w:val="009A4D60"/>
    <w:rsid w:val="009A74EB"/>
    <w:rsid w:val="009B10C9"/>
    <w:rsid w:val="009E3D49"/>
    <w:rsid w:val="009E413F"/>
    <w:rsid w:val="009F4E5A"/>
    <w:rsid w:val="00A020B2"/>
    <w:rsid w:val="00A13473"/>
    <w:rsid w:val="00A15542"/>
    <w:rsid w:val="00A23CA0"/>
    <w:rsid w:val="00A26245"/>
    <w:rsid w:val="00A43F97"/>
    <w:rsid w:val="00A5169A"/>
    <w:rsid w:val="00A56D0D"/>
    <w:rsid w:val="00A570F3"/>
    <w:rsid w:val="00A63EF2"/>
    <w:rsid w:val="00A71663"/>
    <w:rsid w:val="00A936EC"/>
    <w:rsid w:val="00A95453"/>
    <w:rsid w:val="00A95CF4"/>
    <w:rsid w:val="00AE34FD"/>
    <w:rsid w:val="00AF3C78"/>
    <w:rsid w:val="00AF41FB"/>
    <w:rsid w:val="00AF7593"/>
    <w:rsid w:val="00B03867"/>
    <w:rsid w:val="00B2085A"/>
    <w:rsid w:val="00B2130C"/>
    <w:rsid w:val="00B2411E"/>
    <w:rsid w:val="00B24282"/>
    <w:rsid w:val="00B3791F"/>
    <w:rsid w:val="00B41C46"/>
    <w:rsid w:val="00B508EF"/>
    <w:rsid w:val="00B54E03"/>
    <w:rsid w:val="00B56FB7"/>
    <w:rsid w:val="00B6144A"/>
    <w:rsid w:val="00B743D9"/>
    <w:rsid w:val="00B84899"/>
    <w:rsid w:val="00B9778B"/>
    <w:rsid w:val="00BC1252"/>
    <w:rsid w:val="00BC2A55"/>
    <w:rsid w:val="00BC2CEF"/>
    <w:rsid w:val="00BC3378"/>
    <w:rsid w:val="00C04889"/>
    <w:rsid w:val="00C06172"/>
    <w:rsid w:val="00C062C3"/>
    <w:rsid w:val="00C34676"/>
    <w:rsid w:val="00C358C2"/>
    <w:rsid w:val="00C4491D"/>
    <w:rsid w:val="00C61650"/>
    <w:rsid w:val="00C717F6"/>
    <w:rsid w:val="00C90069"/>
    <w:rsid w:val="00CA1091"/>
    <w:rsid w:val="00CB279B"/>
    <w:rsid w:val="00CC57FC"/>
    <w:rsid w:val="00CD32A5"/>
    <w:rsid w:val="00CD54D2"/>
    <w:rsid w:val="00CD6938"/>
    <w:rsid w:val="00CE142E"/>
    <w:rsid w:val="00CF1DC7"/>
    <w:rsid w:val="00CF584B"/>
    <w:rsid w:val="00D066A6"/>
    <w:rsid w:val="00D11DA1"/>
    <w:rsid w:val="00D133DF"/>
    <w:rsid w:val="00D150AC"/>
    <w:rsid w:val="00D1758F"/>
    <w:rsid w:val="00D323F2"/>
    <w:rsid w:val="00D335E8"/>
    <w:rsid w:val="00D35991"/>
    <w:rsid w:val="00D56451"/>
    <w:rsid w:val="00D60266"/>
    <w:rsid w:val="00D633AF"/>
    <w:rsid w:val="00D645E6"/>
    <w:rsid w:val="00D65315"/>
    <w:rsid w:val="00D708E1"/>
    <w:rsid w:val="00D7319F"/>
    <w:rsid w:val="00D85587"/>
    <w:rsid w:val="00D87DD8"/>
    <w:rsid w:val="00D93302"/>
    <w:rsid w:val="00D9760B"/>
    <w:rsid w:val="00D97CDA"/>
    <w:rsid w:val="00DA298A"/>
    <w:rsid w:val="00DA7D7A"/>
    <w:rsid w:val="00DB6F1A"/>
    <w:rsid w:val="00DC12E3"/>
    <w:rsid w:val="00DC400B"/>
    <w:rsid w:val="00DE1F09"/>
    <w:rsid w:val="00DE2731"/>
    <w:rsid w:val="00DF5ABF"/>
    <w:rsid w:val="00E0403D"/>
    <w:rsid w:val="00E115F0"/>
    <w:rsid w:val="00E15212"/>
    <w:rsid w:val="00E21A2B"/>
    <w:rsid w:val="00E31C1B"/>
    <w:rsid w:val="00E32576"/>
    <w:rsid w:val="00E343AA"/>
    <w:rsid w:val="00E408CA"/>
    <w:rsid w:val="00E57998"/>
    <w:rsid w:val="00E619C7"/>
    <w:rsid w:val="00E62D07"/>
    <w:rsid w:val="00E6735D"/>
    <w:rsid w:val="00EC35C8"/>
    <w:rsid w:val="00EC3AA0"/>
    <w:rsid w:val="00ED0D71"/>
    <w:rsid w:val="00ED219A"/>
    <w:rsid w:val="00EE219B"/>
    <w:rsid w:val="00EE7C5F"/>
    <w:rsid w:val="00EF1E3C"/>
    <w:rsid w:val="00F021BC"/>
    <w:rsid w:val="00F072DE"/>
    <w:rsid w:val="00F13B95"/>
    <w:rsid w:val="00F172F7"/>
    <w:rsid w:val="00F21A18"/>
    <w:rsid w:val="00F23E73"/>
    <w:rsid w:val="00F5690D"/>
    <w:rsid w:val="00F61355"/>
    <w:rsid w:val="00F848A3"/>
    <w:rsid w:val="00F859AD"/>
    <w:rsid w:val="00F87307"/>
    <w:rsid w:val="00F900F8"/>
    <w:rsid w:val="00F95EE1"/>
    <w:rsid w:val="00FA557F"/>
    <w:rsid w:val="00FB123F"/>
    <w:rsid w:val="00FB45F1"/>
    <w:rsid w:val="00FC1414"/>
    <w:rsid w:val="00FD15DF"/>
    <w:rsid w:val="00FF1E0C"/>
    <w:rsid w:val="00FF3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24E154"/>
  <w15:chartTrackingRefBased/>
  <w15:docId w15:val="{F7C75561-4147-42B5-A5AF-D49B1865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A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AE7"/>
    <w:pPr>
      <w:ind w:left="720"/>
      <w:contextualSpacing/>
    </w:pPr>
  </w:style>
  <w:style w:type="paragraph" w:styleId="Header">
    <w:name w:val="header"/>
    <w:basedOn w:val="Normal"/>
    <w:link w:val="HeaderChar"/>
    <w:uiPriority w:val="99"/>
    <w:unhideWhenUsed/>
    <w:rsid w:val="00074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AE7"/>
  </w:style>
  <w:style w:type="paragraph" w:styleId="Footer">
    <w:name w:val="footer"/>
    <w:basedOn w:val="Normal"/>
    <w:link w:val="FooterChar"/>
    <w:uiPriority w:val="99"/>
    <w:unhideWhenUsed/>
    <w:rsid w:val="00074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AE7"/>
  </w:style>
  <w:style w:type="paragraph" w:styleId="Revision">
    <w:name w:val="Revision"/>
    <w:hidden/>
    <w:uiPriority w:val="99"/>
    <w:semiHidden/>
    <w:rsid w:val="00EF1E3C"/>
    <w:pPr>
      <w:spacing w:after="0" w:line="240" w:lineRule="auto"/>
    </w:pPr>
  </w:style>
  <w:style w:type="character" w:styleId="CommentReference">
    <w:name w:val="annotation reference"/>
    <w:basedOn w:val="DefaultParagraphFont"/>
    <w:uiPriority w:val="99"/>
    <w:semiHidden/>
    <w:unhideWhenUsed/>
    <w:rsid w:val="00D708E1"/>
    <w:rPr>
      <w:sz w:val="16"/>
      <w:szCs w:val="16"/>
    </w:rPr>
  </w:style>
  <w:style w:type="paragraph" w:styleId="CommentText">
    <w:name w:val="annotation text"/>
    <w:basedOn w:val="Normal"/>
    <w:link w:val="CommentTextChar"/>
    <w:uiPriority w:val="99"/>
    <w:semiHidden/>
    <w:unhideWhenUsed/>
    <w:rsid w:val="00D708E1"/>
    <w:pPr>
      <w:spacing w:line="240" w:lineRule="auto"/>
    </w:pPr>
    <w:rPr>
      <w:sz w:val="20"/>
      <w:szCs w:val="20"/>
    </w:rPr>
  </w:style>
  <w:style w:type="character" w:customStyle="1" w:styleId="CommentTextChar">
    <w:name w:val="Comment Text Char"/>
    <w:basedOn w:val="DefaultParagraphFont"/>
    <w:link w:val="CommentText"/>
    <w:uiPriority w:val="99"/>
    <w:semiHidden/>
    <w:rsid w:val="00D708E1"/>
    <w:rPr>
      <w:sz w:val="20"/>
      <w:szCs w:val="20"/>
    </w:rPr>
  </w:style>
  <w:style w:type="paragraph" w:styleId="CommentSubject">
    <w:name w:val="annotation subject"/>
    <w:basedOn w:val="CommentText"/>
    <w:next w:val="CommentText"/>
    <w:link w:val="CommentSubjectChar"/>
    <w:uiPriority w:val="99"/>
    <w:semiHidden/>
    <w:unhideWhenUsed/>
    <w:rsid w:val="00D708E1"/>
    <w:rPr>
      <w:b/>
      <w:bCs/>
    </w:rPr>
  </w:style>
  <w:style w:type="character" w:customStyle="1" w:styleId="CommentSubjectChar">
    <w:name w:val="Comment Subject Char"/>
    <w:basedOn w:val="CommentTextChar"/>
    <w:link w:val="CommentSubject"/>
    <w:uiPriority w:val="99"/>
    <w:semiHidden/>
    <w:rsid w:val="00D708E1"/>
    <w:rPr>
      <w:b/>
      <w:bCs/>
      <w:sz w:val="20"/>
      <w:szCs w:val="20"/>
    </w:rPr>
  </w:style>
  <w:style w:type="paragraph" w:styleId="BalloonText">
    <w:name w:val="Balloon Text"/>
    <w:basedOn w:val="Normal"/>
    <w:link w:val="BalloonTextChar"/>
    <w:uiPriority w:val="99"/>
    <w:semiHidden/>
    <w:unhideWhenUsed/>
    <w:rsid w:val="00DC40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0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4416</Words>
  <Characters>25175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Millicent</cp:lastModifiedBy>
  <cp:revision>2</cp:revision>
  <dcterms:created xsi:type="dcterms:W3CDTF">2025-10-03T12:40:00Z</dcterms:created>
  <dcterms:modified xsi:type="dcterms:W3CDTF">2025-10-03T12:40:00Z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396a9208-aa0f-4b4e-b7af-a89053d33db1</vt:lpwstr>
  </property>
</Properties>
</file>