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64BF8" w14:textId="77777777" w:rsidR="00AE758A" w:rsidRDefault="00AE758A" w:rsidP="00AE758A">
      <w:pPr>
        <w:pStyle w:val="Default"/>
        <w:spacing w:line="360" w:lineRule="auto"/>
        <w:jc w:val="both"/>
        <w:rPr>
          <w:rFonts w:ascii="Times New Roman" w:hAnsi="Times New Roman" w:cs="Times New Roman"/>
        </w:rPr>
      </w:pPr>
    </w:p>
    <w:p w14:paraId="298CB2B2" w14:textId="7F5FB500" w:rsidR="003B7C62" w:rsidRPr="00AE758A" w:rsidRDefault="003B7C62" w:rsidP="00E90E8A">
      <w:pPr>
        <w:pStyle w:val="NoSpacing"/>
        <w:spacing w:line="360" w:lineRule="auto"/>
        <w:rPr>
          <w:rFonts w:ascii="Times New Roman" w:hAnsi="Times New Roman" w:cs="Times New Roman"/>
          <w:sz w:val="24"/>
          <w:szCs w:val="24"/>
        </w:rPr>
      </w:pPr>
      <w:bookmarkStart w:id="0" w:name="_GoBack"/>
      <w:bookmarkEnd w:id="0"/>
      <w:r w:rsidRPr="00AE758A">
        <w:rPr>
          <w:rFonts w:ascii="Times New Roman" w:hAnsi="Times New Roman" w:cs="Times New Roman"/>
          <w:sz w:val="24"/>
          <w:szCs w:val="24"/>
        </w:rPr>
        <w:t xml:space="preserve">TN GOLD-OPTIMIST MINE(PVT) LTD </w:t>
      </w:r>
    </w:p>
    <w:p w14:paraId="15B01156" w14:textId="5FE5DF6F" w:rsidR="003B7C62" w:rsidRPr="00AE758A" w:rsidRDefault="003B7C62" w:rsidP="00E90E8A">
      <w:pPr>
        <w:pStyle w:val="NoSpacing"/>
        <w:spacing w:line="360" w:lineRule="auto"/>
        <w:rPr>
          <w:rFonts w:ascii="Times New Roman" w:hAnsi="Times New Roman" w:cs="Times New Roman"/>
          <w:sz w:val="24"/>
          <w:szCs w:val="24"/>
        </w:rPr>
      </w:pPr>
      <w:r w:rsidRPr="00AE758A">
        <w:rPr>
          <w:rFonts w:ascii="Times New Roman" w:hAnsi="Times New Roman" w:cs="Times New Roman"/>
          <w:sz w:val="24"/>
          <w:szCs w:val="24"/>
        </w:rPr>
        <w:t xml:space="preserve">And </w:t>
      </w:r>
    </w:p>
    <w:p w14:paraId="1E95CC56" w14:textId="56BF85E0" w:rsidR="003B7C62" w:rsidRPr="00AE758A" w:rsidRDefault="003B7C62" w:rsidP="00E90E8A">
      <w:pPr>
        <w:pStyle w:val="NoSpacing"/>
        <w:spacing w:line="360" w:lineRule="auto"/>
        <w:rPr>
          <w:rFonts w:ascii="Times New Roman" w:hAnsi="Times New Roman" w:cs="Times New Roman"/>
          <w:sz w:val="24"/>
          <w:szCs w:val="24"/>
        </w:rPr>
      </w:pPr>
      <w:r w:rsidRPr="00AE758A">
        <w:rPr>
          <w:rFonts w:ascii="Times New Roman" w:hAnsi="Times New Roman" w:cs="Times New Roman"/>
          <w:sz w:val="24"/>
          <w:szCs w:val="24"/>
        </w:rPr>
        <w:t xml:space="preserve">TN GOLD-ARCTURUS MINE(PVT) LTD </w:t>
      </w:r>
    </w:p>
    <w:p w14:paraId="73CCCCA4" w14:textId="202367D4" w:rsidR="003B7C62" w:rsidRPr="00AE758A" w:rsidRDefault="00FF5EC5" w:rsidP="00E90E8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Versus </w:t>
      </w:r>
      <w:r w:rsidR="003B7C62" w:rsidRPr="00AE758A">
        <w:rPr>
          <w:rFonts w:ascii="Times New Roman" w:hAnsi="Times New Roman" w:cs="Times New Roman"/>
          <w:sz w:val="24"/>
          <w:szCs w:val="24"/>
        </w:rPr>
        <w:t xml:space="preserve"> </w:t>
      </w:r>
    </w:p>
    <w:p w14:paraId="12D3A1C6" w14:textId="3DBF727C" w:rsidR="003B7C62" w:rsidRPr="00AE758A" w:rsidRDefault="003B7C62" w:rsidP="00E90E8A">
      <w:pPr>
        <w:pStyle w:val="NoSpacing"/>
        <w:spacing w:line="360" w:lineRule="auto"/>
        <w:rPr>
          <w:rFonts w:ascii="Times New Roman" w:hAnsi="Times New Roman" w:cs="Times New Roman"/>
          <w:sz w:val="24"/>
          <w:szCs w:val="24"/>
        </w:rPr>
      </w:pPr>
      <w:r w:rsidRPr="00AE758A">
        <w:rPr>
          <w:rFonts w:ascii="Times New Roman" w:hAnsi="Times New Roman" w:cs="Times New Roman"/>
          <w:sz w:val="24"/>
          <w:szCs w:val="24"/>
        </w:rPr>
        <w:t xml:space="preserve">PROVINCIAL MINING DIRECTOR </w:t>
      </w:r>
    </w:p>
    <w:p w14:paraId="5BF1D583" w14:textId="65C74C4F" w:rsidR="003B7C62" w:rsidRPr="00AE758A" w:rsidRDefault="003B7C62" w:rsidP="00E90E8A">
      <w:pPr>
        <w:pStyle w:val="NoSpacing"/>
        <w:spacing w:line="360" w:lineRule="auto"/>
        <w:rPr>
          <w:rFonts w:ascii="Times New Roman" w:hAnsi="Times New Roman" w:cs="Times New Roman"/>
          <w:sz w:val="24"/>
          <w:szCs w:val="24"/>
        </w:rPr>
      </w:pPr>
      <w:r w:rsidRPr="00AE758A">
        <w:rPr>
          <w:rFonts w:ascii="Times New Roman" w:hAnsi="Times New Roman" w:cs="Times New Roman"/>
          <w:sz w:val="24"/>
          <w:szCs w:val="24"/>
        </w:rPr>
        <w:t xml:space="preserve">And </w:t>
      </w:r>
    </w:p>
    <w:p w14:paraId="52228CF7" w14:textId="10F8F427" w:rsidR="003B7C62" w:rsidRPr="00AE758A" w:rsidRDefault="003B7C62" w:rsidP="00E90E8A">
      <w:pPr>
        <w:pStyle w:val="NoSpacing"/>
        <w:spacing w:line="360" w:lineRule="auto"/>
        <w:rPr>
          <w:rFonts w:ascii="Times New Roman" w:hAnsi="Times New Roman" w:cs="Times New Roman"/>
          <w:sz w:val="24"/>
          <w:szCs w:val="24"/>
        </w:rPr>
      </w:pPr>
      <w:r w:rsidRPr="00AE758A">
        <w:rPr>
          <w:rFonts w:ascii="Times New Roman" w:hAnsi="Times New Roman" w:cs="Times New Roman"/>
          <w:sz w:val="24"/>
          <w:szCs w:val="24"/>
        </w:rPr>
        <w:t>METALLON GOLD ZIMBABWE(Pvt) LTD</w:t>
      </w:r>
    </w:p>
    <w:p w14:paraId="5B9B9012" w14:textId="77777777" w:rsidR="003B7C62" w:rsidRPr="00AE758A" w:rsidRDefault="003B7C62" w:rsidP="00AE758A">
      <w:pPr>
        <w:spacing w:line="360" w:lineRule="auto"/>
        <w:jc w:val="both"/>
        <w:rPr>
          <w:rFonts w:ascii="Times New Roman" w:hAnsi="Times New Roman" w:cs="Times New Roman"/>
          <w:sz w:val="24"/>
          <w:szCs w:val="24"/>
        </w:rPr>
      </w:pPr>
    </w:p>
    <w:p w14:paraId="77CEC672" w14:textId="58FDFC1B" w:rsidR="003B7C62" w:rsidRPr="00AE758A" w:rsidRDefault="003B7C62" w:rsidP="00AE758A">
      <w:pPr>
        <w:pStyle w:val="NoSpacing"/>
        <w:rPr>
          <w:rFonts w:ascii="Times New Roman" w:hAnsi="Times New Roman" w:cs="Times New Roman"/>
          <w:sz w:val="24"/>
          <w:szCs w:val="24"/>
        </w:rPr>
      </w:pPr>
      <w:r w:rsidRPr="00AE758A">
        <w:rPr>
          <w:rFonts w:ascii="Times New Roman" w:hAnsi="Times New Roman" w:cs="Times New Roman"/>
          <w:sz w:val="24"/>
          <w:szCs w:val="24"/>
        </w:rPr>
        <w:t>HIGH COURT OF ZIMBABWE</w:t>
      </w:r>
    </w:p>
    <w:p w14:paraId="5833C52F" w14:textId="62529D70" w:rsidR="003B7C62" w:rsidRPr="00AE758A" w:rsidRDefault="003B7C62" w:rsidP="00AE758A">
      <w:pPr>
        <w:pStyle w:val="NoSpacing"/>
        <w:rPr>
          <w:rFonts w:ascii="Times New Roman" w:hAnsi="Times New Roman" w:cs="Times New Roman"/>
          <w:sz w:val="24"/>
          <w:szCs w:val="24"/>
        </w:rPr>
      </w:pPr>
      <w:r w:rsidRPr="00AE758A">
        <w:rPr>
          <w:rFonts w:ascii="Times New Roman" w:hAnsi="Times New Roman" w:cs="Times New Roman"/>
          <w:sz w:val="24"/>
          <w:szCs w:val="24"/>
        </w:rPr>
        <w:t xml:space="preserve">COMMERCIAL DIVISION </w:t>
      </w:r>
    </w:p>
    <w:p w14:paraId="30609893" w14:textId="4777F58F" w:rsidR="003B7C62" w:rsidRPr="00AE758A" w:rsidRDefault="003B7C62" w:rsidP="00AE758A">
      <w:pPr>
        <w:pStyle w:val="NoSpacing"/>
        <w:rPr>
          <w:rFonts w:ascii="Times New Roman" w:hAnsi="Times New Roman" w:cs="Times New Roman"/>
          <w:sz w:val="24"/>
          <w:szCs w:val="24"/>
        </w:rPr>
      </w:pPr>
      <w:r w:rsidRPr="00AE758A">
        <w:rPr>
          <w:rFonts w:ascii="Times New Roman" w:hAnsi="Times New Roman" w:cs="Times New Roman"/>
          <w:sz w:val="24"/>
          <w:szCs w:val="24"/>
        </w:rPr>
        <w:t>CHILIMBE J</w:t>
      </w:r>
    </w:p>
    <w:p w14:paraId="0680F051" w14:textId="584E1D87" w:rsidR="003B7C62" w:rsidRPr="00AE758A" w:rsidRDefault="00AE758A" w:rsidP="00AE758A">
      <w:pPr>
        <w:pStyle w:val="NoSpacing"/>
        <w:rPr>
          <w:rFonts w:ascii="Times New Roman" w:hAnsi="Times New Roman" w:cs="Times New Roman"/>
          <w:sz w:val="24"/>
          <w:szCs w:val="24"/>
        </w:rPr>
      </w:pPr>
      <w:r>
        <w:rPr>
          <w:rFonts w:ascii="Times New Roman" w:hAnsi="Times New Roman" w:cs="Times New Roman"/>
          <w:sz w:val="24"/>
          <w:szCs w:val="24"/>
        </w:rPr>
        <w:t xml:space="preserve">HARARE </w:t>
      </w:r>
      <w:r w:rsidR="003B7C62" w:rsidRPr="00AE758A">
        <w:rPr>
          <w:rFonts w:ascii="Times New Roman" w:hAnsi="Times New Roman" w:cs="Times New Roman"/>
          <w:sz w:val="24"/>
          <w:szCs w:val="24"/>
        </w:rPr>
        <w:t>12 May &amp; 1</w:t>
      </w:r>
      <w:r w:rsidR="00F61C9A">
        <w:rPr>
          <w:rFonts w:ascii="Times New Roman" w:hAnsi="Times New Roman" w:cs="Times New Roman"/>
          <w:sz w:val="24"/>
          <w:szCs w:val="24"/>
        </w:rPr>
        <w:t>6</w:t>
      </w:r>
      <w:r w:rsidR="003B7C62" w:rsidRPr="00AE758A">
        <w:rPr>
          <w:rFonts w:ascii="Times New Roman" w:hAnsi="Times New Roman" w:cs="Times New Roman"/>
          <w:sz w:val="24"/>
          <w:szCs w:val="24"/>
        </w:rPr>
        <w:t xml:space="preserve"> June 2025</w:t>
      </w:r>
    </w:p>
    <w:p w14:paraId="7D98EC90" w14:textId="77777777" w:rsidR="003B7C62" w:rsidRPr="00AE758A" w:rsidRDefault="003B7C62" w:rsidP="00AE758A">
      <w:pPr>
        <w:spacing w:line="360" w:lineRule="auto"/>
        <w:jc w:val="both"/>
        <w:rPr>
          <w:rFonts w:ascii="Times New Roman" w:hAnsi="Times New Roman" w:cs="Times New Roman"/>
          <w:sz w:val="24"/>
          <w:szCs w:val="24"/>
        </w:rPr>
      </w:pPr>
    </w:p>
    <w:p w14:paraId="0DE14874" w14:textId="141F6377" w:rsidR="003B7C62" w:rsidRPr="00AE758A" w:rsidRDefault="003B7C62" w:rsidP="00AE758A">
      <w:pPr>
        <w:spacing w:line="360" w:lineRule="auto"/>
        <w:jc w:val="both"/>
        <w:rPr>
          <w:rFonts w:ascii="Times New Roman" w:hAnsi="Times New Roman" w:cs="Times New Roman"/>
          <w:sz w:val="24"/>
          <w:szCs w:val="24"/>
        </w:rPr>
      </w:pPr>
      <w:r w:rsidRPr="00AE758A">
        <w:rPr>
          <w:rFonts w:ascii="Times New Roman" w:hAnsi="Times New Roman" w:cs="Times New Roman"/>
          <w:b/>
          <w:bCs/>
          <w:sz w:val="24"/>
          <w:szCs w:val="24"/>
        </w:rPr>
        <w:t>Interlocutory application</w:t>
      </w:r>
    </w:p>
    <w:p w14:paraId="5DB516FF" w14:textId="374E4B4F" w:rsidR="003B7C62" w:rsidRPr="00AE758A" w:rsidRDefault="003B7C62" w:rsidP="00AE758A">
      <w:pPr>
        <w:pStyle w:val="NoSpacing"/>
        <w:rPr>
          <w:rFonts w:ascii="Times New Roman" w:hAnsi="Times New Roman" w:cs="Times New Roman"/>
          <w:sz w:val="24"/>
          <w:szCs w:val="24"/>
        </w:rPr>
      </w:pPr>
      <w:r w:rsidRPr="00AE758A">
        <w:rPr>
          <w:rFonts w:ascii="Times New Roman" w:hAnsi="Times New Roman" w:cs="Times New Roman"/>
          <w:i/>
          <w:iCs/>
          <w:sz w:val="24"/>
          <w:szCs w:val="24"/>
        </w:rPr>
        <w:t>L.Madhuku</w:t>
      </w:r>
      <w:r w:rsidRPr="00AE758A">
        <w:rPr>
          <w:rFonts w:ascii="Times New Roman" w:hAnsi="Times New Roman" w:cs="Times New Roman"/>
          <w:sz w:val="24"/>
          <w:szCs w:val="24"/>
        </w:rPr>
        <w:t xml:space="preserve"> for first applicant</w:t>
      </w:r>
    </w:p>
    <w:p w14:paraId="4A062A57" w14:textId="571B3752" w:rsidR="003B7C62" w:rsidRPr="00AE758A" w:rsidRDefault="003B7C62" w:rsidP="00AE758A">
      <w:pPr>
        <w:pStyle w:val="NoSpacing"/>
        <w:rPr>
          <w:rFonts w:ascii="Times New Roman" w:hAnsi="Times New Roman" w:cs="Times New Roman"/>
          <w:sz w:val="24"/>
          <w:szCs w:val="24"/>
        </w:rPr>
      </w:pPr>
      <w:r w:rsidRPr="00AE758A">
        <w:rPr>
          <w:rFonts w:ascii="Times New Roman" w:hAnsi="Times New Roman" w:cs="Times New Roman"/>
          <w:i/>
          <w:iCs/>
          <w:sz w:val="24"/>
          <w:szCs w:val="24"/>
        </w:rPr>
        <w:t>F. Mahere</w:t>
      </w:r>
      <w:r w:rsidRPr="00AE758A">
        <w:rPr>
          <w:rFonts w:ascii="Times New Roman" w:hAnsi="Times New Roman" w:cs="Times New Roman"/>
          <w:sz w:val="24"/>
          <w:szCs w:val="24"/>
        </w:rPr>
        <w:t xml:space="preserve"> for second applicant</w:t>
      </w:r>
    </w:p>
    <w:p w14:paraId="73D92116" w14:textId="52EBA155" w:rsidR="003B7C62" w:rsidRPr="00AE758A" w:rsidRDefault="003B7C62" w:rsidP="00AE758A">
      <w:pPr>
        <w:pStyle w:val="NoSpacing"/>
        <w:rPr>
          <w:rFonts w:ascii="Times New Roman" w:hAnsi="Times New Roman" w:cs="Times New Roman"/>
          <w:sz w:val="24"/>
          <w:szCs w:val="24"/>
        </w:rPr>
      </w:pPr>
      <w:r w:rsidRPr="00AE758A">
        <w:rPr>
          <w:rFonts w:ascii="Times New Roman" w:hAnsi="Times New Roman" w:cs="Times New Roman"/>
          <w:i/>
          <w:iCs/>
          <w:sz w:val="24"/>
          <w:szCs w:val="24"/>
        </w:rPr>
        <w:t>T. Mpofu</w:t>
      </w:r>
      <w:r w:rsidRPr="00AE758A">
        <w:rPr>
          <w:rFonts w:ascii="Times New Roman" w:hAnsi="Times New Roman" w:cs="Times New Roman"/>
          <w:sz w:val="24"/>
          <w:szCs w:val="24"/>
        </w:rPr>
        <w:t xml:space="preserve"> for the second respondent</w:t>
      </w:r>
    </w:p>
    <w:p w14:paraId="0548855A" w14:textId="4001107C" w:rsidR="003B7C62" w:rsidRPr="00AE758A" w:rsidRDefault="003B7C62" w:rsidP="00AE758A">
      <w:pPr>
        <w:pStyle w:val="NoSpacing"/>
        <w:rPr>
          <w:rFonts w:ascii="Times New Roman" w:hAnsi="Times New Roman" w:cs="Times New Roman"/>
          <w:sz w:val="24"/>
          <w:szCs w:val="24"/>
        </w:rPr>
      </w:pPr>
      <w:r w:rsidRPr="00AE758A">
        <w:rPr>
          <w:rFonts w:ascii="Times New Roman" w:hAnsi="Times New Roman" w:cs="Times New Roman"/>
          <w:sz w:val="24"/>
          <w:szCs w:val="24"/>
        </w:rPr>
        <w:t>No appearance for first respondent</w:t>
      </w:r>
    </w:p>
    <w:p w14:paraId="6F5CCE19" w14:textId="77777777" w:rsidR="003B7C62" w:rsidRPr="00AE758A" w:rsidRDefault="003B7C62" w:rsidP="00AE758A">
      <w:pPr>
        <w:spacing w:line="360" w:lineRule="auto"/>
        <w:jc w:val="both"/>
        <w:rPr>
          <w:rFonts w:ascii="Times New Roman" w:hAnsi="Times New Roman" w:cs="Times New Roman"/>
          <w:sz w:val="24"/>
          <w:szCs w:val="24"/>
        </w:rPr>
      </w:pPr>
    </w:p>
    <w:p w14:paraId="13441A37" w14:textId="44689A06" w:rsidR="003B7C62" w:rsidRPr="00AE758A" w:rsidRDefault="003B7C62" w:rsidP="00AE758A">
      <w:pPr>
        <w:spacing w:line="360" w:lineRule="auto"/>
        <w:jc w:val="both"/>
        <w:rPr>
          <w:rFonts w:ascii="Times New Roman" w:hAnsi="Times New Roman" w:cs="Times New Roman"/>
          <w:sz w:val="24"/>
          <w:szCs w:val="24"/>
        </w:rPr>
      </w:pPr>
      <w:r w:rsidRPr="00AE758A">
        <w:rPr>
          <w:rFonts w:ascii="Times New Roman" w:hAnsi="Times New Roman" w:cs="Times New Roman"/>
          <w:sz w:val="24"/>
          <w:szCs w:val="24"/>
        </w:rPr>
        <w:t>CHILIMBE J</w:t>
      </w:r>
    </w:p>
    <w:p w14:paraId="4E7945D5" w14:textId="430ABCA0" w:rsidR="003B7C62" w:rsidRPr="00AE758A" w:rsidRDefault="003B7C62" w:rsidP="00AE758A">
      <w:pPr>
        <w:spacing w:line="360" w:lineRule="auto"/>
        <w:jc w:val="both"/>
        <w:rPr>
          <w:rFonts w:ascii="Times New Roman" w:hAnsi="Times New Roman" w:cs="Times New Roman"/>
          <w:sz w:val="24"/>
          <w:szCs w:val="24"/>
        </w:rPr>
      </w:pPr>
      <w:r w:rsidRPr="00AE758A">
        <w:rPr>
          <w:rFonts w:ascii="Times New Roman" w:hAnsi="Times New Roman" w:cs="Times New Roman"/>
          <w:sz w:val="24"/>
          <w:szCs w:val="24"/>
        </w:rPr>
        <w:t>INTRODUCTION</w:t>
      </w:r>
    </w:p>
    <w:p w14:paraId="64D869B2" w14:textId="4E2B8323" w:rsidR="008C6E8D" w:rsidRDefault="003B7C62" w:rsidP="00AE758A">
      <w:pPr>
        <w:spacing w:line="360" w:lineRule="auto"/>
        <w:jc w:val="both"/>
        <w:rPr>
          <w:rFonts w:ascii="Times New Roman" w:hAnsi="Times New Roman" w:cs="Times New Roman"/>
          <w:sz w:val="24"/>
          <w:szCs w:val="24"/>
        </w:rPr>
      </w:pPr>
      <w:r w:rsidRPr="00AE758A">
        <w:rPr>
          <w:rFonts w:ascii="Times New Roman" w:hAnsi="Times New Roman" w:cs="Times New Roman"/>
          <w:sz w:val="24"/>
          <w:szCs w:val="24"/>
        </w:rPr>
        <w:t xml:space="preserve">[1] </w:t>
      </w:r>
      <w:r w:rsidR="008C6E8D" w:rsidRPr="00AE758A">
        <w:rPr>
          <w:rFonts w:ascii="Times New Roman" w:hAnsi="Times New Roman" w:cs="Times New Roman"/>
          <w:sz w:val="24"/>
          <w:szCs w:val="24"/>
        </w:rPr>
        <w:t xml:space="preserve">The above notation on </w:t>
      </w:r>
      <w:r w:rsidR="00FF5EC5">
        <w:rPr>
          <w:rFonts w:ascii="Times New Roman" w:hAnsi="Times New Roman" w:cs="Times New Roman"/>
          <w:sz w:val="24"/>
          <w:szCs w:val="24"/>
        </w:rPr>
        <w:t xml:space="preserve">first and second applicant </w:t>
      </w:r>
      <w:r w:rsidR="008C6E8D" w:rsidRPr="00AE758A">
        <w:rPr>
          <w:rFonts w:ascii="Times New Roman" w:hAnsi="Times New Roman" w:cs="Times New Roman"/>
          <w:sz w:val="24"/>
          <w:szCs w:val="24"/>
        </w:rPr>
        <w:t xml:space="preserve">counsel`s appearance triggered an objection from Mr. </w:t>
      </w:r>
      <w:r w:rsidR="008C6E8D" w:rsidRPr="00AE758A">
        <w:rPr>
          <w:rFonts w:ascii="Times New Roman" w:hAnsi="Times New Roman" w:cs="Times New Roman"/>
          <w:i/>
          <w:iCs/>
          <w:sz w:val="24"/>
          <w:szCs w:val="24"/>
        </w:rPr>
        <w:t xml:space="preserve">Mpofu </w:t>
      </w:r>
      <w:r w:rsidR="008C6E8D" w:rsidRPr="00AE758A">
        <w:rPr>
          <w:rFonts w:ascii="Times New Roman" w:hAnsi="Times New Roman" w:cs="Times New Roman"/>
          <w:sz w:val="24"/>
          <w:szCs w:val="24"/>
        </w:rPr>
        <w:t xml:space="preserve">who appeared for the second respondent. The pithy of his protest </w:t>
      </w:r>
      <w:r w:rsidR="00FF5EC5">
        <w:rPr>
          <w:rFonts w:ascii="Times New Roman" w:hAnsi="Times New Roman" w:cs="Times New Roman"/>
          <w:sz w:val="24"/>
          <w:szCs w:val="24"/>
        </w:rPr>
        <w:t xml:space="preserve">being </w:t>
      </w:r>
      <w:r w:rsidR="008C6E8D" w:rsidRPr="00AE758A">
        <w:rPr>
          <w:rFonts w:ascii="Times New Roman" w:hAnsi="Times New Roman" w:cs="Times New Roman"/>
          <w:sz w:val="24"/>
          <w:szCs w:val="24"/>
        </w:rPr>
        <w:t xml:space="preserve">that </w:t>
      </w:r>
      <w:r w:rsidR="00F61C9A">
        <w:rPr>
          <w:rFonts w:ascii="Times New Roman" w:hAnsi="Times New Roman" w:cs="Times New Roman"/>
          <w:sz w:val="24"/>
          <w:szCs w:val="24"/>
        </w:rPr>
        <w:t xml:space="preserve">by purporting to appoint separate counsel, </w:t>
      </w:r>
      <w:r w:rsidR="008C6E8D" w:rsidRPr="00AE758A">
        <w:rPr>
          <w:rFonts w:ascii="Times New Roman" w:hAnsi="Times New Roman" w:cs="Times New Roman"/>
          <w:sz w:val="24"/>
          <w:szCs w:val="24"/>
        </w:rPr>
        <w:t xml:space="preserve">first and second applicant </w:t>
      </w:r>
      <w:r w:rsidR="00F61C9A">
        <w:rPr>
          <w:rFonts w:ascii="Times New Roman" w:hAnsi="Times New Roman" w:cs="Times New Roman"/>
          <w:sz w:val="24"/>
          <w:szCs w:val="24"/>
        </w:rPr>
        <w:t>effectively and improperly</w:t>
      </w:r>
      <w:r w:rsidR="008C6E8D" w:rsidRPr="00AE758A">
        <w:rPr>
          <w:rFonts w:ascii="Times New Roman" w:hAnsi="Times New Roman" w:cs="Times New Roman"/>
          <w:sz w:val="24"/>
          <w:szCs w:val="24"/>
        </w:rPr>
        <w:t xml:space="preserve"> severed their case. I will return shortly to th</w:t>
      </w:r>
      <w:r w:rsidR="00FF5EC5">
        <w:rPr>
          <w:rFonts w:ascii="Times New Roman" w:hAnsi="Times New Roman" w:cs="Times New Roman"/>
          <w:sz w:val="24"/>
          <w:szCs w:val="24"/>
        </w:rPr>
        <w:t>is</w:t>
      </w:r>
      <w:r w:rsidR="008C6E8D" w:rsidRPr="00AE758A">
        <w:rPr>
          <w:rFonts w:ascii="Times New Roman" w:hAnsi="Times New Roman" w:cs="Times New Roman"/>
          <w:sz w:val="24"/>
          <w:szCs w:val="24"/>
        </w:rPr>
        <w:t xml:space="preserve"> point in greater detail.</w:t>
      </w:r>
    </w:p>
    <w:p w14:paraId="13862CF5" w14:textId="62B147E0" w:rsidR="005E1059" w:rsidRPr="00AE758A" w:rsidRDefault="005E1059" w:rsidP="00AE75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I would have disposed of this objection is summary </w:t>
      </w:r>
      <w:r w:rsidR="00B13A90">
        <w:rPr>
          <w:rFonts w:ascii="Times New Roman" w:hAnsi="Times New Roman" w:cs="Times New Roman"/>
          <w:sz w:val="24"/>
          <w:szCs w:val="24"/>
        </w:rPr>
        <w:t>fashion. However</w:t>
      </w:r>
      <w:r w:rsidR="003B2A9B">
        <w:rPr>
          <w:rFonts w:ascii="Times New Roman" w:hAnsi="Times New Roman" w:cs="Times New Roman"/>
          <w:sz w:val="24"/>
          <w:szCs w:val="24"/>
        </w:rPr>
        <w:t xml:space="preserve">, the arguments </w:t>
      </w:r>
      <w:r w:rsidR="00F61C9A">
        <w:rPr>
          <w:rFonts w:ascii="Times New Roman" w:hAnsi="Times New Roman" w:cs="Times New Roman"/>
          <w:sz w:val="24"/>
          <w:szCs w:val="24"/>
        </w:rPr>
        <w:t xml:space="preserve">subsequently </w:t>
      </w:r>
      <w:r w:rsidR="003B2A9B">
        <w:rPr>
          <w:rFonts w:ascii="Times New Roman" w:hAnsi="Times New Roman" w:cs="Times New Roman"/>
          <w:sz w:val="24"/>
          <w:szCs w:val="24"/>
        </w:rPr>
        <w:t xml:space="preserve">raised necessitated </w:t>
      </w:r>
      <w:r>
        <w:rPr>
          <w:rFonts w:ascii="Times New Roman" w:hAnsi="Times New Roman" w:cs="Times New Roman"/>
          <w:sz w:val="24"/>
          <w:szCs w:val="24"/>
        </w:rPr>
        <w:t xml:space="preserve">an interpretation </w:t>
      </w:r>
      <w:r w:rsidR="00F61C9A">
        <w:rPr>
          <w:rFonts w:ascii="Times New Roman" w:hAnsi="Times New Roman" w:cs="Times New Roman"/>
          <w:sz w:val="24"/>
          <w:szCs w:val="24"/>
        </w:rPr>
        <w:t>and issuance of guidance on, among</w:t>
      </w:r>
      <w:r>
        <w:rPr>
          <w:rFonts w:ascii="Times New Roman" w:hAnsi="Times New Roman" w:cs="Times New Roman"/>
          <w:sz w:val="24"/>
          <w:szCs w:val="24"/>
        </w:rPr>
        <w:t xml:space="preserve"> other </w:t>
      </w:r>
      <w:r w:rsidR="00783574">
        <w:rPr>
          <w:rFonts w:ascii="Times New Roman" w:hAnsi="Times New Roman" w:cs="Times New Roman"/>
          <w:sz w:val="24"/>
          <w:szCs w:val="24"/>
        </w:rPr>
        <w:t xml:space="preserve">matters, </w:t>
      </w:r>
      <w:r w:rsidR="003B2A9B">
        <w:rPr>
          <w:rFonts w:ascii="Times New Roman" w:hAnsi="Times New Roman" w:cs="Times New Roman"/>
          <w:sz w:val="24"/>
          <w:szCs w:val="24"/>
        </w:rPr>
        <w:t>the relationship</w:t>
      </w:r>
      <w:r>
        <w:rPr>
          <w:rFonts w:ascii="Times New Roman" w:hAnsi="Times New Roman" w:cs="Times New Roman"/>
          <w:sz w:val="24"/>
          <w:szCs w:val="24"/>
        </w:rPr>
        <w:t xml:space="preserve"> between the rules of the </w:t>
      </w:r>
      <w:r w:rsidRPr="00F61C9A">
        <w:rPr>
          <w:rFonts w:ascii="Times New Roman" w:hAnsi="Times New Roman" w:cs="Times New Roman"/>
          <w:sz w:val="24"/>
          <w:szCs w:val="24"/>
        </w:rPr>
        <w:t>General</w:t>
      </w:r>
      <w:r w:rsidR="00F61C9A">
        <w:rPr>
          <w:rStyle w:val="FootnoteReference"/>
          <w:rFonts w:ascii="Times New Roman" w:hAnsi="Times New Roman" w:cs="Times New Roman"/>
          <w:sz w:val="24"/>
          <w:szCs w:val="24"/>
        </w:rPr>
        <w:footnoteReference w:id="1"/>
      </w:r>
      <w:r w:rsidRPr="00F61C9A">
        <w:rPr>
          <w:rFonts w:ascii="Times New Roman" w:hAnsi="Times New Roman" w:cs="Times New Roman"/>
          <w:sz w:val="24"/>
          <w:szCs w:val="24"/>
        </w:rPr>
        <w:t xml:space="preserve"> and Commercial Divisions</w:t>
      </w:r>
      <w:r w:rsidR="00F61C9A">
        <w:rPr>
          <w:rStyle w:val="FootnoteReference"/>
          <w:rFonts w:ascii="Times New Roman" w:hAnsi="Times New Roman" w:cs="Times New Roman"/>
          <w:sz w:val="24"/>
          <w:szCs w:val="24"/>
        </w:rPr>
        <w:footnoteReference w:id="2"/>
      </w:r>
      <w:r w:rsidRPr="00F61C9A">
        <w:rPr>
          <w:rFonts w:ascii="Times New Roman" w:hAnsi="Times New Roman" w:cs="Times New Roman"/>
          <w:sz w:val="24"/>
          <w:szCs w:val="24"/>
        </w:rPr>
        <w:t xml:space="preserve"> of the High </w:t>
      </w:r>
      <w:r w:rsidR="003B2A9B" w:rsidRPr="00F61C9A">
        <w:rPr>
          <w:rFonts w:ascii="Times New Roman" w:hAnsi="Times New Roman" w:cs="Times New Roman"/>
          <w:sz w:val="24"/>
          <w:szCs w:val="24"/>
        </w:rPr>
        <w:t>Court.</w:t>
      </w:r>
      <w:r>
        <w:rPr>
          <w:rFonts w:ascii="Times New Roman" w:hAnsi="Times New Roman" w:cs="Times New Roman"/>
          <w:sz w:val="24"/>
          <w:szCs w:val="24"/>
        </w:rPr>
        <w:t xml:space="preserve"> </w:t>
      </w:r>
    </w:p>
    <w:p w14:paraId="43071970" w14:textId="40C4B7AF" w:rsidR="003B7C62" w:rsidRPr="00AE758A" w:rsidRDefault="008C6E8D" w:rsidP="00AE758A">
      <w:pPr>
        <w:spacing w:line="360" w:lineRule="auto"/>
        <w:jc w:val="both"/>
        <w:rPr>
          <w:rFonts w:ascii="Times New Roman" w:hAnsi="Times New Roman" w:cs="Times New Roman"/>
        </w:rPr>
      </w:pPr>
      <w:r w:rsidRPr="00AE758A">
        <w:rPr>
          <w:rFonts w:ascii="Times New Roman" w:hAnsi="Times New Roman" w:cs="Times New Roman"/>
        </w:rPr>
        <w:lastRenderedPageBreak/>
        <w:t xml:space="preserve">THE DISPUTE BETWEEN THE PARTIES </w:t>
      </w:r>
    </w:p>
    <w:p w14:paraId="3FF30892" w14:textId="01820FBE" w:rsidR="000A71AE" w:rsidRPr="00AE758A" w:rsidRDefault="008C6E8D" w:rsidP="00AE758A">
      <w:pPr>
        <w:autoSpaceDE w:val="0"/>
        <w:autoSpaceDN w:val="0"/>
        <w:adjustRightInd w:val="0"/>
        <w:spacing w:after="0" w:line="360" w:lineRule="auto"/>
        <w:jc w:val="both"/>
        <w:rPr>
          <w:rFonts w:ascii="Times New Roman" w:hAnsi="Times New Roman" w:cs="Times New Roman"/>
          <w:sz w:val="24"/>
          <w:szCs w:val="24"/>
        </w:rPr>
      </w:pPr>
      <w:r w:rsidRPr="00AE758A">
        <w:rPr>
          <w:rFonts w:ascii="Times New Roman" w:hAnsi="Times New Roman" w:cs="Times New Roman"/>
          <w:sz w:val="24"/>
          <w:szCs w:val="24"/>
        </w:rPr>
        <w:t>[</w:t>
      </w:r>
      <w:r w:rsidR="003B2A9B">
        <w:rPr>
          <w:rFonts w:ascii="Times New Roman" w:hAnsi="Times New Roman" w:cs="Times New Roman"/>
          <w:sz w:val="24"/>
          <w:szCs w:val="24"/>
        </w:rPr>
        <w:t>3</w:t>
      </w:r>
      <w:r w:rsidRPr="00AE758A">
        <w:rPr>
          <w:rFonts w:ascii="Times New Roman" w:hAnsi="Times New Roman" w:cs="Times New Roman"/>
          <w:sz w:val="24"/>
          <w:szCs w:val="24"/>
        </w:rPr>
        <w:t xml:space="preserve">] </w:t>
      </w:r>
      <w:r w:rsidR="00FF5EC5">
        <w:rPr>
          <w:rFonts w:ascii="Times New Roman" w:hAnsi="Times New Roman" w:cs="Times New Roman"/>
          <w:sz w:val="24"/>
          <w:szCs w:val="24"/>
        </w:rPr>
        <w:t>As recounted by the applicants, the dispute went</w:t>
      </w:r>
      <w:r w:rsidR="00E90E8A">
        <w:rPr>
          <w:rFonts w:ascii="Times New Roman" w:hAnsi="Times New Roman" w:cs="Times New Roman"/>
          <w:sz w:val="24"/>
          <w:szCs w:val="24"/>
        </w:rPr>
        <w:t xml:space="preserve"> thus; -</w:t>
      </w:r>
      <w:r w:rsidR="00FF5EC5">
        <w:rPr>
          <w:rFonts w:ascii="Times New Roman" w:hAnsi="Times New Roman" w:cs="Times New Roman"/>
          <w:sz w:val="24"/>
          <w:szCs w:val="24"/>
        </w:rPr>
        <w:t>o</w:t>
      </w:r>
      <w:r w:rsidR="000A71AE" w:rsidRPr="00AE758A">
        <w:rPr>
          <w:rFonts w:ascii="Times New Roman" w:hAnsi="Times New Roman" w:cs="Times New Roman"/>
          <w:sz w:val="24"/>
          <w:szCs w:val="24"/>
        </w:rPr>
        <w:t xml:space="preserve">n 31 October 2017, first applicant (“TN Optimist”) </w:t>
      </w:r>
      <w:r w:rsidR="008715A5" w:rsidRPr="00AE758A">
        <w:rPr>
          <w:rFonts w:ascii="Times New Roman" w:hAnsi="Times New Roman" w:cs="Times New Roman"/>
          <w:sz w:val="24"/>
          <w:szCs w:val="24"/>
        </w:rPr>
        <w:t>acquired second</w:t>
      </w:r>
      <w:r w:rsidR="000A71AE" w:rsidRPr="00AE758A">
        <w:rPr>
          <w:rFonts w:ascii="Times New Roman" w:hAnsi="Times New Roman" w:cs="Times New Roman"/>
          <w:sz w:val="24"/>
          <w:szCs w:val="24"/>
        </w:rPr>
        <w:t xml:space="preserve"> applicant (“TN Acturus”), then called Acturus Mining Company (Pvt) Ltd as a going concern from second respondent (“Metallon”). </w:t>
      </w:r>
      <w:r w:rsidR="008715A5" w:rsidRPr="00AE758A">
        <w:rPr>
          <w:rFonts w:ascii="Times New Roman" w:hAnsi="Times New Roman" w:cs="Times New Roman"/>
          <w:sz w:val="24"/>
          <w:szCs w:val="24"/>
        </w:rPr>
        <w:t xml:space="preserve">Among TN Arcturus’s asset inventory were two sets of mining claims (i) Mining Claim 33 and (ii) Mining Claims Outside Mining Claim 33. The latter </w:t>
      </w:r>
      <w:r w:rsidR="00F61C9A">
        <w:rPr>
          <w:rFonts w:ascii="Times New Roman" w:hAnsi="Times New Roman" w:cs="Times New Roman"/>
          <w:sz w:val="24"/>
          <w:szCs w:val="24"/>
        </w:rPr>
        <w:t xml:space="preserve">batch </w:t>
      </w:r>
      <w:r w:rsidR="008715A5" w:rsidRPr="00AE758A">
        <w:rPr>
          <w:rFonts w:ascii="Times New Roman" w:hAnsi="Times New Roman" w:cs="Times New Roman"/>
          <w:sz w:val="24"/>
          <w:szCs w:val="24"/>
        </w:rPr>
        <w:t>being listed in a schedule attached to the applicants` founding papers.</w:t>
      </w:r>
    </w:p>
    <w:p w14:paraId="12601246" w14:textId="77777777" w:rsidR="008715A5" w:rsidRPr="00AE758A" w:rsidRDefault="008715A5" w:rsidP="00AE758A">
      <w:pPr>
        <w:autoSpaceDE w:val="0"/>
        <w:autoSpaceDN w:val="0"/>
        <w:adjustRightInd w:val="0"/>
        <w:spacing w:after="0" w:line="360" w:lineRule="auto"/>
        <w:jc w:val="both"/>
        <w:rPr>
          <w:rFonts w:ascii="Times New Roman" w:hAnsi="Times New Roman" w:cs="Times New Roman"/>
          <w:sz w:val="24"/>
          <w:szCs w:val="24"/>
        </w:rPr>
      </w:pPr>
    </w:p>
    <w:p w14:paraId="2C126C5A" w14:textId="22178EB0" w:rsidR="008715A5" w:rsidRPr="00AE758A" w:rsidRDefault="008715A5" w:rsidP="00AE758A">
      <w:pPr>
        <w:autoSpaceDE w:val="0"/>
        <w:autoSpaceDN w:val="0"/>
        <w:adjustRightInd w:val="0"/>
        <w:spacing w:after="0" w:line="360" w:lineRule="auto"/>
        <w:jc w:val="both"/>
        <w:rPr>
          <w:rFonts w:ascii="Times New Roman" w:hAnsi="Times New Roman" w:cs="Times New Roman"/>
          <w:sz w:val="24"/>
          <w:szCs w:val="24"/>
        </w:rPr>
      </w:pPr>
      <w:r w:rsidRPr="00AE758A">
        <w:rPr>
          <w:rFonts w:ascii="Times New Roman" w:hAnsi="Times New Roman" w:cs="Times New Roman"/>
          <w:sz w:val="24"/>
          <w:szCs w:val="24"/>
        </w:rPr>
        <w:t>[</w:t>
      </w:r>
      <w:r w:rsidR="003B2A9B">
        <w:rPr>
          <w:rFonts w:ascii="Times New Roman" w:hAnsi="Times New Roman" w:cs="Times New Roman"/>
          <w:sz w:val="24"/>
          <w:szCs w:val="24"/>
        </w:rPr>
        <w:t>4</w:t>
      </w:r>
      <w:r w:rsidRPr="00AE758A">
        <w:rPr>
          <w:rFonts w:ascii="Times New Roman" w:hAnsi="Times New Roman" w:cs="Times New Roman"/>
          <w:sz w:val="24"/>
          <w:szCs w:val="24"/>
        </w:rPr>
        <w:t xml:space="preserve">] A dispute arose </w:t>
      </w:r>
      <w:r w:rsidR="00F85146" w:rsidRPr="00AE758A">
        <w:rPr>
          <w:rFonts w:ascii="Times New Roman" w:hAnsi="Times New Roman" w:cs="Times New Roman"/>
          <w:sz w:val="24"/>
          <w:szCs w:val="24"/>
        </w:rPr>
        <w:t xml:space="preserve">between the applicants and Metallon </w:t>
      </w:r>
      <w:r w:rsidRPr="00AE758A">
        <w:rPr>
          <w:rFonts w:ascii="Times New Roman" w:hAnsi="Times New Roman" w:cs="Times New Roman"/>
          <w:sz w:val="24"/>
          <w:szCs w:val="24"/>
        </w:rPr>
        <w:t xml:space="preserve">over ownership of the assets outside Mining Claim 33 in 2023. </w:t>
      </w:r>
      <w:r w:rsidR="00F85146" w:rsidRPr="00AE758A">
        <w:rPr>
          <w:rFonts w:ascii="Times New Roman" w:hAnsi="Times New Roman" w:cs="Times New Roman"/>
          <w:sz w:val="24"/>
          <w:szCs w:val="24"/>
        </w:rPr>
        <w:t>In the same vein, second respondent “</w:t>
      </w:r>
      <w:r w:rsidR="00905508" w:rsidRPr="00AE758A">
        <w:rPr>
          <w:rFonts w:ascii="Times New Roman" w:hAnsi="Times New Roman" w:cs="Times New Roman"/>
          <w:sz w:val="24"/>
          <w:szCs w:val="24"/>
        </w:rPr>
        <w:t xml:space="preserve">the Provincial Mining Director”) declined to issue Inspection Certificates for the claims concerned. </w:t>
      </w:r>
      <w:r w:rsidR="00F85146" w:rsidRPr="00AE758A">
        <w:rPr>
          <w:rFonts w:ascii="Times New Roman" w:hAnsi="Times New Roman" w:cs="Times New Roman"/>
          <w:sz w:val="24"/>
          <w:szCs w:val="24"/>
        </w:rPr>
        <w:t xml:space="preserve">The applicants thus approached this court in the main claim seeking a declaratory order paraphrased as follow; </w:t>
      </w:r>
    </w:p>
    <w:p w14:paraId="1EFCF460" w14:textId="77777777" w:rsidR="00F85146" w:rsidRPr="00AE758A" w:rsidRDefault="00F85146" w:rsidP="00AE758A">
      <w:pPr>
        <w:autoSpaceDE w:val="0"/>
        <w:autoSpaceDN w:val="0"/>
        <w:adjustRightInd w:val="0"/>
        <w:spacing w:after="0" w:line="360" w:lineRule="auto"/>
        <w:jc w:val="both"/>
        <w:rPr>
          <w:rFonts w:ascii="Times New Roman" w:hAnsi="Times New Roman" w:cs="Times New Roman"/>
          <w:sz w:val="24"/>
          <w:szCs w:val="24"/>
        </w:rPr>
      </w:pPr>
    </w:p>
    <w:p w14:paraId="1984C56A" w14:textId="0BDAB661" w:rsidR="00F85146" w:rsidRPr="00AE758A" w:rsidRDefault="00F85146" w:rsidP="00AE758A">
      <w:pPr>
        <w:pStyle w:val="ListParagraph"/>
        <w:numPr>
          <w:ilvl w:val="0"/>
          <w:numId w:val="2"/>
        </w:numPr>
        <w:autoSpaceDE w:val="0"/>
        <w:autoSpaceDN w:val="0"/>
        <w:adjustRightInd w:val="0"/>
        <w:spacing w:after="0" w:line="360" w:lineRule="auto"/>
        <w:ind w:left="1134"/>
        <w:jc w:val="both"/>
        <w:rPr>
          <w:rFonts w:ascii="Times New Roman" w:hAnsi="Times New Roman" w:cs="Times New Roman"/>
          <w:kern w:val="0"/>
          <w:sz w:val="24"/>
          <w:szCs w:val="24"/>
        </w:rPr>
      </w:pPr>
      <w:r w:rsidRPr="00AE758A">
        <w:rPr>
          <w:rFonts w:ascii="Times New Roman" w:hAnsi="Times New Roman" w:cs="Times New Roman"/>
          <w:kern w:val="0"/>
          <w:sz w:val="24"/>
          <w:szCs w:val="24"/>
        </w:rPr>
        <w:t>That the contested claims formed part of TN Arcturus’s assets inventory as at the time of the latter`s acquision by TN Optimist.</w:t>
      </w:r>
    </w:p>
    <w:p w14:paraId="0FDDF23A" w14:textId="77777777" w:rsidR="00F85146" w:rsidRPr="00AE758A" w:rsidRDefault="00F85146" w:rsidP="00AE758A">
      <w:pPr>
        <w:autoSpaceDE w:val="0"/>
        <w:autoSpaceDN w:val="0"/>
        <w:adjustRightInd w:val="0"/>
        <w:spacing w:after="0" w:line="360" w:lineRule="auto"/>
        <w:ind w:left="1134"/>
        <w:jc w:val="both"/>
        <w:rPr>
          <w:rFonts w:ascii="Times New Roman" w:hAnsi="Times New Roman" w:cs="Times New Roman"/>
          <w:kern w:val="0"/>
          <w:sz w:val="24"/>
          <w:szCs w:val="24"/>
        </w:rPr>
      </w:pPr>
    </w:p>
    <w:p w14:paraId="7BFCF5ED" w14:textId="42CFADED" w:rsidR="00F85146" w:rsidRPr="00AE758A" w:rsidRDefault="00F85146" w:rsidP="00AE758A">
      <w:pPr>
        <w:pStyle w:val="ListParagraph"/>
        <w:numPr>
          <w:ilvl w:val="0"/>
          <w:numId w:val="2"/>
        </w:numPr>
        <w:autoSpaceDE w:val="0"/>
        <w:autoSpaceDN w:val="0"/>
        <w:adjustRightInd w:val="0"/>
        <w:spacing w:after="0" w:line="360" w:lineRule="auto"/>
        <w:ind w:left="1134"/>
        <w:jc w:val="both"/>
        <w:rPr>
          <w:rFonts w:ascii="Times New Roman" w:hAnsi="Times New Roman" w:cs="Times New Roman"/>
          <w:kern w:val="0"/>
          <w:sz w:val="24"/>
          <w:szCs w:val="24"/>
        </w:rPr>
      </w:pPr>
      <w:r w:rsidRPr="00AE758A">
        <w:rPr>
          <w:rFonts w:ascii="Times New Roman" w:hAnsi="Times New Roman" w:cs="Times New Roman"/>
          <w:kern w:val="0"/>
          <w:sz w:val="24"/>
          <w:szCs w:val="24"/>
        </w:rPr>
        <w:t xml:space="preserve">That any Inspection Certificates as may </w:t>
      </w:r>
      <w:r w:rsidR="00905508" w:rsidRPr="00AE758A">
        <w:rPr>
          <w:rFonts w:ascii="Times New Roman" w:hAnsi="Times New Roman" w:cs="Times New Roman"/>
          <w:kern w:val="0"/>
          <w:sz w:val="24"/>
          <w:szCs w:val="24"/>
        </w:rPr>
        <w:t>have been issued by the Provincial Mining Director to any party be declared invalid.</w:t>
      </w:r>
    </w:p>
    <w:p w14:paraId="0627320B" w14:textId="77777777" w:rsidR="00905508" w:rsidRPr="00AE758A" w:rsidRDefault="00905508" w:rsidP="00AE758A">
      <w:pPr>
        <w:autoSpaceDE w:val="0"/>
        <w:autoSpaceDN w:val="0"/>
        <w:adjustRightInd w:val="0"/>
        <w:spacing w:after="0" w:line="360" w:lineRule="auto"/>
        <w:ind w:left="1134"/>
        <w:jc w:val="both"/>
        <w:rPr>
          <w:rFonts w:ascii="Times New Roman" w:hAnsi="Times New Roman" w:cs="Times New Roman"/>
          <w:kern w:val="0"/>
          <w:sz w:val="24"/>
          <w:szCs w:val="24"/>
        </w:rPr>
      </w:pPr>
    </w:p>
    <w:p w14:paraId="21783EEF" w14:textId="6068EAE4" w:rsidR="00905508" w:rsidRPr="00AE758A" w:rsidRDefault="00905508" w:rsidP="00AE758A">
      <w:pPr>
        <w:pStyle w:val="ListParagraph"/>
        <w:numPr>
          <w:ilvl w:val="0"/>
          <w:numId w:val="2"/>
        </w:numPr>
        <w:autoSpaceDE w:val="0"/>
        <w:autoSpaceDN w:val="0"/>
        <w:adjustRightInd w:val="0"/>
        <w:spacing w:after="0" w:line="360" w:lineRule="auto"/>
        <w:ind w:left="1134"/>
        <w:jc w:val="both"/>
        <w:rPr>
          <w:rFonts w:ascii="Times New Roman" w:hAnsi="Times New Roman" w:cs="Times New Roman"/>
          <w:kern w:val="0"/>
          <w:sz w:val="24"/>
          <w:szCs w:val="24"/>
        </w:rPr>
      </w:pPr>
      <w:r w:rsidRPr="00AE758A">
        <w:rPr>
          <w:rFonts w:ascii="Times New Roman" w:hAnsi="Times New Roman" w:cs="Times New Roman"/>
          <w:kern w:val="0"/>
          <w:sz w:val="24"/>
          <w:szCs w:val="24"/>
        </w:rPr>
        <w:t xml:space="preserve">That the </w:t>
      </w:r>
      <w:r w:rsidR="00ED6828" w:rsidRPr="00AE758A">
        <w:rPr>
          <w:rFonts w:ascii="Times New Roman" w:hAnsi="Times New Roman" w:cs="Times New Roman"/>
          <w:kern w:val="0"/>
          <w:sz w:val="24"/>
          <w:szCs w:val="24"/>
        </w:rPr>
        <w:t>Provincial Mining Director be ordered to issue the applicants with Inspection Certificates for the claims in question.</w:t>
      </w:r>
    </w:p>
    <w:p w14:paraId="0A3E1944" w14:textId="77777777" w:rsidR="00ED6828" w:rsidRPr="00AE758A" w:rsidRDefault="00ED6828" w:rsidP="00AE758A">
      <w:pPr>
        <w:autoSpaceDE w:val="0"/>
        <w:autoSpaceDN w:val="0"/>
        <w:adjustRightInd w:val="0"/>
        <w:spacing w:after="0" w:line="360" w:lineRule="auto"/>
        <w:ind w:left="1134"/>
        <w:jc w:val="both"/>
        <w:rPr>
          <w:rFonts w:ascii="Times New Roman" w:hAnsi="Times New Roman" w:cs="Times New Roman"/>
          <w:kern w:val="0"/>
          <w:sz w:val="24"/>
          <w:szCs w:val="24"/>
        </w:rPr>
      </w:pPr>
    </w:p>
    <w:p w14:paraId="7DB3AA31" w14:textId="686A9EAC" w:rsidR="008C6E8D" w:rsidRPr="00AE758A" w:rsidRDefault="00ED6828" w:rsidP="00AE758A">
      <w:pPr>
        <w:pStyle w:val="ListParagraph"/>
        <w:numPr>
          <w:ilvl w:val="0"/>
          <w:numId w:val="2"/>
        </w:numPr>
        <w:autoSpaceDE w:val="0"/>
        <w:autoSpaceDN w:val="0"/>
        <w:adjustRightInd w:val="0"/>
        <w:spacing w:after="0" w:line="360" w:lineRule="auto"/>
        <w:ind w:left="1134"/>
        <w:jc w:val="both"/>
        <w:rPr>
          <w:rFonts w:ascii="Times New Roman" w:hAnsi="Times New Roman" w:cs="Times New Roman"/>
          <w:sz w:val="24"/>
          <w:szCs w:val="24"/>
        </w:rPr>
      </w:pPr>
      <w:r w:rsidRPr="00AE758A">
        <w:rPr>
          <w:rFonts w:ascii="Times New Roman" w:hAnsi="Times New Roman" w:cs="Times New Roman"/>
          <w:kern w:val="0"/>
          <w:sz w:val="24"/>
          <w:szCs w:val="24"/>
        </w:rPr>
        <w:t xml:space="preserve">That Metallon and other party claiming title to the claims be interdicted from working or dealing in the claims. </w:t>
      </w:r>
    </w:p>
    <w:p w14:paraId="208F8715" w14:textId="77777777" w:rsidR="008C6E8D" w:rsidRPr="00AE758A" w:rsidRDefault="008C6E8D" w:rsidP="00AE758A">
      <w:pPr>
        <w:spacing w:line="360" w:lineRule="auto"/>
        <w:jc w:val="both"/>
        <w:rPr>
          <w:rFonts w:ascii="Times New Roman" w:hAnsi="Times New Roman" w:cs="Times New Roman"/>
          <w:sz w:val="24"/>
          <w:szCs w:val="24"/>
        </w:rPr>
      </w:pPr>
    </w:p>
    <w:p w14:paraId="14BEB467" w14:textId="6A823F8A" w:rsidR="00E4196F" w:rsidRPr="00AE758A" w:rsidRDefault="00ED6828" w:rsidP="00AE758A">
      <w:pPr>
        <w:spacing w:line="360" w:lineRule="auto"/>
        <w:jc w:val="both"/>
        <w:rPr>
          <w:rFonts w:ascii="Times New Roman" w:hAnsi="Times New Roman" w:cs="Times New Roman"/>
          <w:sz w:val="24"/>
          <w:szCs w:val="24"/>
        </w:rPr>
      </w:pPr>
      <w:r w:rsidRPr="00AE758A">
        <w:rPr>
          <w:rFonts w:ascii="Times New Roman" w:hAnsi="Times New Roman" w:cs="Times New Roman"/>
          <w:sz w:val="24"/>
          <w:szCs w:val="24"/>
        </w:rPr>
        <w:t>[</w:t>
      </w:r>
      <w:r w:rsidR="003B2A9B">
        <w:rPr>
          <w:rFonts w:ascii="Times New Roman" w:hAnsi="Times New Roman" w:cs="Times New Roman"/>
          <w:sz w:val="24"/>
          <w:szCs w:val="24"/>
        </w:rPr>
        <w:t>5</w:t>
      </w:r>
      <w:r w:rsidRPr="00AE758A">
        <w:rPr>
          <w:rFonts w:ascii="Times New Roman" w:hAnsi="Times New Roman" w:cs="Times New Roman"/>
          <w:sz w:val="24"/>
          <w:szCs w:val="24"/>
        </w:rPr>
        <w:t>] The applicants` case was founded on an affidavit deposed to by Mr. Tawanda Nyambirai, in his capacity as Managing Director and Chief Executive of TN Optimist and TN Acturus. T</w:t>
      </w:r>
      <w:r w:rsidR="00AD5143">
        <w:rPr>
          <w:rFonts w:ascii="Times New Roman" w:hAnsi="Times New Roman" w:cs="Times New Roman"/>
          <w:sz w:val="24"/>
          <w:szCs w:val="24"/>
        </w:rPr>
        <w:t>o t</w:t>
      </w:r>
      <w:r w:rsidRPr="00AE758A">
        <w:rPr>
          <w:rFonts w:ascii="Times New Roman" w:hAnsi="Times New Roman" w:cs="Times New Roman"/>
          <w:sz w:val="24"/>
          <w:szCs w:val="24"/>
        </w:rPr>
        <w:t>he founding papers w</w:t>
      </w:r>
      <w:r w:rsidR="00AD5143">
        <w:rPr>
          <w:rFonts w:ascii="Times New Roman" w:hAnsi="Times New Roman" w:cs="Times New Roman"/>
          <w:sz w:val="24"/>
          <w:szCs w:val="24"/>
        </w:rPr>
        <w:t xml:space="preserve">as </w:t>
      </w:r>
      <w:r w:rsidRPr="00AE758A">
        <w:rPr>
          <w:rFonts w:ascii="Times New Roman" w:hAnsi="Times New Roman" w:cs="Times New Roman"/>
          <w:sz w:val="24"/>
          <w:szCs w:val="24"/>
        </w:rPr>
        <w:t xml:space="preserve">a raft of documentary exhibits as well as 5 </w:t>
      </w:r>
      <w:r w:rsidR="00AD5143">
        <w:rPr>
          <w:rFonts w:ascii="Times New Roman" w:hAnsi="Times New Roman" w:cs="Times New Roman"/>
          <w:sz w:val="24"/>
          <w:szCs w:val="24"/>
        </w:rPr>
        <w:t xml:space="preserve">supporting </w:t>
      </w:r>
      <w:r w:rsidR="00E4196F" w:rsidRPr="00AE758A">
        <w:rPr>
          <w:rFonts w:ascii="Times New Roman" w:hAnsi="Times New Roman" w:cs="Times New Roman"/>
          <w:sz w:val="24"/>
          <w:szCs w:val="24"/>
        </w:rPr>
        <w:t>affidavits. Similarly, Mr Nyambirai responded, in his answering affidavit, to the depositions in the opposing affidavit filed by Mr. Hapson Makotore, Metallon`s Company Secretary, together with the affidavit of Mr. George Museta, Metallon`s former Legal Advisor.</w:t>
      </w:r>
    </w:p>
    <w:p w14:paraId="09414766" w14:textId="40521D84" w:rsidR="008C6E8D" w:rsidRPr="00AE758A" w:rsidRDefault="00E4196F" w:rsidP="00AE758A">
      <w:pPr>
        <w:spacing w:line="360" w:lineRule="auto"/>
        <w:jc w:val="both"/>
        <w:rPr>
          <w:rFonts w:ascii="Times New Roman" w:hAnsi="Times New Roman" w:cs="Times New Roman"/>
          <w:sz w:val="24"/>
          <w:szCs w:val="24"/>
        </w:rPr>
      </w:pPr>
      <w:r w:rsidRPr="00AE758A">
        <w:rPr>
          <w:rFonts w:ascii="Times New Roman" w:hAnsi="Times New Roman" w:cs="Times New Roman"/>
          <w:sz w:val="24"/>
          <w:szCs w:val="24"/>
        </w:rPr>
        <w:lastRenderedPageBreak/>
        <w:t xml:space="preserve">[ </w:t>
      </w:r>
      <w:r w:rsidR="003B2A9B">
        <w:rPr>
          <w:rFonts w:ascii="Times New Roman" w:hAnsi="Times New Roman" w:cs="Times New Roman"/>
          <w:sz w:val="24"/>
          <w:szCs w:val="24"/>
        </w:rPr>
        <w:t>6</w:t>
      </w:r>
      <w:r w:rsidRPr="00AE758A">
        <w:rPr>
          <w:rFonts w:ascii="Times New Roman" w:hAnsi="Times New Roman" w:cs="Times New Roman"/>
          <w:sz w:val="24"/>
          <w:szCs w:val="24"/>
        </w:rPr>
        <w:t xml:space="preserve">] </w:t>
      </w:r>
      <w:r w:rsidR="00AD5143">
        <w:rPr>
          <w:rFonts w:ascii="Times New Roman" w:hAnsi="Times New Roman" w:cs="Times New Roman"/>
          <w:sz w:val="24"/>
          <w:szCs w:val="24"/>
        </w:rPr>
        <w:t xml:space="preserve">Both </w:t>
      </w:r>
      <w:r w:rsidR="0078335F">
        <w:rPr>
          <w:rFonts w:ascii="Times New Roman" w:hAnsi="Times New Roman" w:cs="Times New Roman"/>
          <w:sz w:val="24"/>
          <w:szCs w:val="24"/>
        </w:rPr>
        <w:t xml:space="preserve">applicants were represented by one firm as legal practitioners. This firm had filed a single set of heads of argument as it had also instructed the two appearing counsel. </w:t>
      </w:r>
      <w:r w:rsidR="00AD5143">
        <w:rPr>
          <w:rFonts w:ascii="Times New Roman" w:hAnsi="Times New Roman" w:cs="Times New Roman"/>
          <w:sz w:val="24"/>
          <w:szCs w:val="24"/>
        </w:rPr>
        <w:t>T</w:t>
      </w:r>
      <w:r w:rsidR="00ED6828" w:rsidRPr="00AE758A">
        <w:rPr>
          <w:rFonts w:ascii="Times New Roman" w:hAnsi="Times New Roman" w:cs="Times New Roman"/>
          <w:sz w:val="24"/>
          <w:szCs w:val="24"/>
        </w:rPr>
        <w:t xml:space="preserve">he </w:t>
      </w:r>
      <w:r w:rsidR="00AD5143">
        <w:rPr>
          <w:rFonts w:ascii="Times New Roman" w:hAnsi="Times New Roman" w:cs="Times New Roman"/>
          <w:sz w:val="24"/>
          <w:szCs w:val="24"/>
        </w:rPr>
        <w:t xml:space="preserve">application was </w:t>
      </w:r>
      <w:r w:rsidR="00ED6828" w:rsidRPr="00AE758A">
        <w:rPr>
          <w:rFonts w:ascii="Times New Roman" w:hAnsi="Times New Roman" w:cs="Times New Roman"/>
          <w:sz w:val="24"/>
          <w:szCs w:val="24"/>
        </w:rPr>
        <w:t xml:space="preserve">opposed by Metallon in limine and on the merits. For purposes of disposing of the present objection, it is not necessary to outlay the opposition. </w:t>
      </w:r>
      <w:r w:rsidRPr="00AE758A">
        <w:rPr>
          <w:rFonts w:ascii="Times New Roman" w:hAnsi="Times New Roman" w:cs="Times New Roman"/>
          <w:sz w:val="24"/>
          <w:szCs w:val="24"/>
        </w:rPr>
        <w:t>I now turn to the objection.</w:t>
      </w:r>
    </w:p>
    <w:p w14:paraId="0725C99E" w14:textId="49CA5106" w:rsidR="00E4196F" w:rsidRPr="00AE758A" w:rsidRDefault="00E4196F" w:rsidP="00AE758A">
      <w:pPr>
        <w:spacing w:line="360" w:lineRule="auto"/>
        <w:jc w:val="both"/>
        <w:rPr>
          <w:rFonts w:ascii="Times New Roman" w:hAnsi="Times New Roman" w:cs="Times New Roman"/>
        </w:rPr>
      </w:pPr>
      <w:r w:rsidRPr="00AE758A">
        <w:rPr>
          <w:rFonts w:ascii="Times New Roman" w:hAnsi="Times New Roman" w:cs="Times New Roman"/>
        </w:rPr>
        <w:t xml:space="preserve">THE OBJECTION </w:t>
      </w:r>
    </w:p>
    <w:p w14:paraId="28D5C3F4" w14:textId="12BBE92D" w:rsidR="00E90E8A" w:rsidRDefault="00E4196F" w:rsidP="00AE758A">
      <w:pPr>
        <w:spacing w:line="360" w:lineRule="auto"/>
        <w:jc w:val="both"/>
        <w:rPr>
          <w:rFonts w:ascii="Times New Roman" w:hAnsi="Times New Roman" w:cs="Times New Roman"/>
          <w:sz w:val="24"/>
          <w:szCs w:val="24"/>
        </w:rPr>
      </w:pPr>
      <w:r w:rsidRPr="00AE758A">
        <w:rPr>
          <w:rFonts w:ascii="Times New Roman" w:hAnsi="Times New Roman" w:cs="Times New Roman"/>
          <w:sz w:val="24"/>
          <w:szCs w:val="24"/>
        </w:rPr>
        <w:t>[</w:t>
      </w:r>
      <w:r w:rsidR="003B2A9B">
        <w:rPr>
          <w:rFonts w:ascii="Times New Roman" w:hAnsi="Times New Roman" w:cs="Times New Roman"/>
          <w:sz w:val="24"/>
          <w:szCs w:val="24"/>
        </w:rPr>
        <w:t>7</w:t>
      </w:r>
      <w:r w:rsidRPr="00AE758A">
        <w:rPr>
          <w:rFonts w:ascii="Times New Roman" w:hAnsi="Times New Roman" w:cs="Times New Roman"/>
          <w:sz w:val="24"/>
          <w:szCs w:val="24"/>
        </w:rPr>
        <w:t xml:space="preserve">] </w:t>
      </w:r>
      <w:r w:rsidR="0095169C">
        <w:rPr>
          <w:rFonts w:ascii="Times New Roman" w:hAnsi="Times New Roman" w:cs="Times New Roman"/>
          <w:sz w:val="24"/>
          <w:szCs w:val="24"/>
        </w:rPr>
        <w:t>I paraphrase the key arguments as follows; -i</w:t>
      </w:r>
      <w:r w:rsidRPr="00AE758A">
        <w:rPr>
          <w:rFonts w:ascii="Times New Roman" w:hAnsi="Times New Roman" w:cs="Times New Roman"/>
          <w:sz w:val="24"/>
          <w:szCs w:val="24"/>
        </w:rPr>
        <w:t xml:space="preserve">n essence, Mr. </w:t>
      </w:r>
      <w:r w:rsidRPr="00AE758A">
        <w:rPr>
          <w:rFonts w:ascii="Times New Roman" w:hAnsi="Times New Roman" w:cs="Times New Roman"/>
          <w:i/>
          <w:iCs/>
          <w:sz w:val="24"/>
          <w:szCs w:val="24"/>
        </w:rPr>
        <w:t>Mpofu</w:t>
      </w:r>
      <w:r w:rsidR="0095169C">
        <w:rPr>
          <w:rFonts w:ascii="Times New Roman" w:hAnsi="Times New Roman" w:cs="Times New Roman"/>
          <w:sz w:val="24"/>
          <w:szCs w:val="24"/>
        </w:rPr>
        <w:t xml:space="preserve">`s point was </w:t>
      </w:r>
      <w:r w:rsidRPr="00AE758A">
        <w:rPr>
          <w:rFonts w:ascii="Times New Roman" w:hAnsi="Times New Roman" w:cs="Times New Roman"/>
          <w:sz w:val="24"/>
          <w:szCs w:val="24"/>
        </w:rPr>
        <w:t xml:space="preserve">that as the applicants had mounted their claim under one set of </w:t>
      </w:r>
      <w:r w:rsidR="0095169C" w:rsidRPr="00AE758A">
        <w:rPr>
          <w:rFonts w:ascii="Times New Roman" w:hAnsi="Times New Roman" w:cs="Times New Roman"/>
          <w:sz w:val="24"/>
          <w:szCs w:val="24"/>
        </w:rPr>
        <w:t>papers,</w:t>
      </w:r>
      <w:r w:rsidR="0095169C">
        <w:rPr>
          <w:rFonts w:ascii="Times New Roman" w:hAnsi="Times New Roman" w:cs="Times New Roman"/>
          <w:sz w:val="24"/>
          <w:szCs w:val="24"/>
        </w:rPr>
        <w:t xml:space="preserve"> -the founding and answering affidavit as well as heads of argument-</w:t>
      </w:r>
      <w:r w:rsidRPr="00AE758A">
        <w:rPr>
          <w:rFonts w:ascii="Times New Roman" w:hAnsi="Times New Roman" w:cs="Times New Roman"/>
          <w:sz w:val="24"/>
          <w:szCs w:val="24"/>
        </w:rPr>
        <w:t xml:space="preserve"> it was improper</w:t>
      </w:r>
      <w:r w:rsidR="0095169C">
        <w:rPr>
          <w:rFonts w:ascii="Times New Roman" w:hAnsi="Times New Roman" w:cs="Times New Roman"/>
          <w:sz w:val="24"/>
          <w:szCs w:val="24"/>
        </w:rPr>
        <w:t>,</w:t>
      </w:r>
      <w:r w:rsidRPr="00AE758A">
        <w:rPr>
          <w:rFonts w:ascii="Times New Roman" w:hAnsi="Times New Roman" w:cs="Times New Roman"/>
          <w:sz w:val="24"/>
          <w:szCs w:val="24"/>
        </w:rPr>
        <w:t xml:space="preserve"> for the</w:t>
      </w:r>
      <w:r w:rsidR="0095169C">
        <w:rPr>
          <w:rFonts w:ascii="Times New Roman" w:hAnsi="Times New Roman" w:cs="Times New Roman"/>
          <w:sz w:val="24"/>
          <w:szCs w:val="24"/>
        </w:rPr>
        <w:t xml:space="preserve"> said applicants t</w:t>
      </w:r>
      <w:r w:rsidRPr="00AE758A">
        <w:rPr>
          <w:rFonts w:ascii="Times New Roman" w:hAnsi="Times New Roman" w:cs="Times New Roman"/>
          <w:sz w:val="24"/>
          <w:szCs w:val="24"/>
        </w:rPr>
        <w:t xml:space="preserve">o sever their cases by each having its own counsel. </w:t>
      </w:r>
    </w:p>
    <w:p w14:paraId="5E9EB657" w14:textId="1E828C71" w:rsidR="00556CF6" w:rsidRPr="00AE758A" w:rsidRDefault="00E90E8A" w:rsidP="00AE758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B2A9B">
        <w:rPr>
          <w:rFonts w:ascii="Times New Roman" w:hAnsi="Times New Roman" w:cs="Times New Roman"/>
          <w:sz w:val="24"/>
          <w:szCs w:val="24"/>
        </w:rPr>
        <w:t>8</w:t>
      </w:r>
      <w:r>
        <w:rPr>
          <w:rFonts w:ascii="Times New Roman" w:hAnsi="Times New Roman" w:cs="Times New Roman"/>
          <w:sz w:val="24"/>
          <w:szCs w:val="24"/>
        </w:rPr>
        <w:t xml:space="preserve">] </w:t>
      </w:r>
      <w:r w:rsidR="00E4196F" w:rsidRPr="00AE758A">
        <w:rPr>
          <w:rFonts w:ascii="Times New Roman" w:hAnsi="Times New Roman" w:cs="Times New Roman"/>
          <w:sz w:val="24"/>
          <w:szCs w:val="24"/>
        </w:rPr>
        <w:t xml:space="preserve">The presence of </w:t>
      </w:r>
      <w:r w:rsidR="00556CF6" w:rsidRPr="00AE758A">
        <w:rPr>
          <w:rFonts w:ascii="Times New Roman" w:hAnsi="Times New Roman" w:cs="Times New Roman"/>
          <w:sz w:val="24"/>
          <w:szCs w:val="24"/>
        </w:rPr>
        <w:t>2 counsel-</w:t>
      </w:r>
      <w:r w:rsidR="0095169C" w:rsidRPr="00AE758A">
        <w:rPr>
          <w:rFonts w:ascii="Times New Roman" w:hAnsi="Times New Roman" w:cs="Times New Roman"/>
          <w:sz w:val="24"/>
          <w:szCs w:val="24"/>
        </w:rPr>
        <w:t xml:space="preserve"> </w:t>
      </w:r>
      <w:r w:rsidR="00556CF6" w:rsidRPr="00AE758A">
        <w:rPr>
          <w:rFonts w:ascii="Times New Roman" w:hAnsi="Times New Roman" w:cs="Times New Roman"/>
          <w:sz w:val="24"/>
          <w:szCs w:val="24"/>
        </w:rPr>
        <w:t>for TN Optimist and TN Acturus</w:t>
      </w:r>
      <w:r w:rsidR="0095169C">
        <w:rPr>
          <w:rFonts w:ascii="Times New Roman" w:hAnsi="Times New Roman" w:cs="Times New Roman"/>
          <w:sz w:val="24"/>
          <w:szCs w:val="24"/>
        </w:rPr>
        <w:t>-</w:t>
      </w:r>
      <w:r w:rsidR="00556CF6" w:rsidRPr="00AE758A">
        <w:rPr>
          <w:rFonts w:ascii="Times New Roman" w:hAnsi="Times New Roman" w:cs="Times New Roman"/>
          <w:sz w:val="24"/>
          <w:szCs w:val="24"/>
        </w:rPr>
        <w:t xml:space="preserve"> </w:t>
      </w:r>
      <w:r w:rsidR="0095169C" w:rsidRPr="00AE758A">
        <w:rPr>
          <w:rFonts w:ascii="Times New Roman" w:hAnsi="Times New Roman" w:cs="Times New Roman"/>
          <w:sz w:val="24"/>
          <w:szCs w:val="24"/>
        </w:rPr>
        <w:t>each representing their respective client-</w:t>
      </w:r>
      <w:r w:rsidR="00556CF6" w:rsidRPr="00AE758A">
        <w:rPr>
          <w:rFonts w:ascii="Times New Roman" w:hAnsi="Times New Roman" w:cs="Times New Roman"/>
          <w:sz w:val="24"/>
          <w:szCs w:val="24"/>
        </w:rPr>
        <w:t>was untenable</w:t>
      </w:r>
      <w:r w:rsidR="0095169C">
        <w:rPr>
          <w:rFonts w:ascii="Times New Roman" w:hAnsi="Times New Roman" w:cs="Times New Roman"/>
          <w:sz w:val="24"/>
          <w:szCs w:val="24"/>
        </w:rPr>
        <w:t xml:space="preserve"> and prejudicial to Metallon</w:t>
      </w:r>
      <w:r w:rsidR="00556CF6" w:rsidRPr="00AE758A">
        <w:rPr>
          <w:rFonts w:ascii="Times New Roman" w:hAnsi="Times New Roman" w:cs="Times New Roman"/>
          <w:sz w:val="24"/>
          <w:szCs w:val="24"/>
        </w:rPr>
        <w:t xml:space="preserve">. The effect being that each applicant stood to prosecute its case independent of the </w:t>
      </w:r>
      <w:r w:rsidR="0078335F" w:rsidRPr="00AE758A">
        <w:rPr>
          <w:rFonts w:ascii="Times New Roman" w:hAnsi="Times New Roman" w:cs="Times New Roman"/>
          <w:sz w:val="24"/>
          <w:szCs w:val="24"/>
        </w:rPr>
        <w:t>other.</w:t>
      </w:r>
      <w:r w:rsidR="0078335F">
        <w:rPr>
          <w:rFonts w:ascii="Times New Roman" w:hAnsi="Times New Roman" w:cs="Times New Roman"/>
          <w:sz w:val="24"/>
          <w:szCs w:val="24"/>
        </w:rPr>
        <w:t xml:space="preserve"> Counsel could constitute themselves into a team with one as lead and the other as supporting, then to structure their submissions in terms of established protocol.</w:t>
      </w:r>
    </w:p>
    <w:p w14:paraId="34CE7A87" w14:textId="753AFD0B" w:rsidR="00E4196F" w:rsidRPr="00AE758A" w:rsidRDefault="00556CF6" w:rsidP="00AE758A">
      <w:pPr>
        <w:spacing w:line="360" w:lineRule="auto"/>
        <w:jc w:val="both"/>
        <w:rPr>
          <w:rFonts w:ascii="Times New Roman" w:hAnsi="Times New Roman" w:cs="Times New Roman"/>
          <w:sz w:val="24"/>
          <w:szCs w:val="24"/>
        </w:rPr>
      </w:pPr>
      <w:r w:rsidRPr="00AE758A">
        <w:rPr>
          <w:rFonts w:ascii="Times New Roman" w:hAnsi="Times New Roman" w:cs="Times New Roman"/>
          <w:sz w:val="24"/>
          <w:szCs w:val="24"/>
        </w:rPr>
        <w:t>[</w:t>
      </w:r>
      <w:r w:rsidR="003B2A9B">
        <w:rPr>
          <w:rFonts w:ascii="Times New Roman" w:hAnsi="Times New Roman" w:cs="Times New Roman"/>
          <w:sz w:val="24"/>
          <w:szCs w:val="24"/>
        </w:rPr>
        <w:t>9</w:t>
      </w:r>
      <w:r w:rsidRPr="00AE758A">
        <w:rPr>
          <w:rFonts w:ascii="Times New Roman" w:hAnsi="Times New Roman" w:cs="Times New Roman"/>
          <w:sz w:val="24"/>
          <w:szCs w:val="24"/>
        </w:rPr>
        <w:t xml:space="preserve">] </w:t>
      </w:r>
      <w:r w:rsidR="0078335F" w:rsidRPr="00AE758A">
        <w:rPr>
          <w:rFonts w:ascii="Times New Roman" w:hAnsi="Times New Roman" w:cs="Times New Roman"/>
          <w:sz w:val="24"/>
          <w:szCs w:val="24"/>
        </w:rPr>
        <w:t>Mr</w:t>
      </w:r>
      <w:r w:rsidR="0078335F">
        <w:rPr>
          <w:rFonts w:ascii="Times New Roman" w:hAnsi="Times New Roman" w:cs="Times New Roman"/>
          <w:sz w:val="24"/>
          <w:szCs w:val="24"/>
        </w:rPr>
        <w:t xml:space="preserve">. </w:t>
      </w:r>
      <w:r w:rsidR="0078335F" w:rsidRPr="00E90E8A">
        <w:rPr>
          <w:rFonts w:ascii="Times New Roman" w:hAnsi="Times New Roman" w:cs="Times New Roman"/>
          <w:i/>
          <w:iCs/>
          <w:sz w:val="24"/>
          <w:szCs w:val="24"/>
        </w:rPr>
        <w:t>Mpofu</w:t>
      </w:r>
      <w:r w:rsidR="0078335F">
        <w:rPr>
          <w:rFonts w:ascii="Times New Roman" w:hAnsi="Times New Roman" w:cs="Times New Roman"/>
          <w:sz w:val="24"/>
          <w:szCs w:val="24"/>
        </w:rPr>
        <w:t xml:space="preserve"> s</w:t>
      </w:r>
      <w:r w:rsidRPr="00AE758A">
        <w:rPr>
          <w:rFonts w:ascii="Times New Roman" w:hAnsi="Times New Roman" w:cs="Times New Roman"/>
          <w:sz w:val="24"/>
          <w:szCs w:val="24"/>
        </w:rPr>
        <w:t>ubmitted that the severing of cases offended r 56 (21) of the High Court Rules as read with r 4 (2) of the Commercial Court Rules.</w:t>
      </w:r>
      <w:r w:rsidR="00E4196F" w:rsidRPr="00AE758A">
        <w:rPr>
          <w:rFonts w:ascii="Times New Roman" w:hAnsi="Times New Roman" w:cs="Times New Roman"/>
          <w:sz w:val="24"/>
          <w:szCs w:val="24"/>
        </w:rPr>
        <w:t xml:space="preserve"> </w:t>
      </w:r>
      <w:r w:rsidRPr="00AE758A">
        <w:rPr>
          <w:rFonts w:ascii="Times New Roman" w:hAnsi="Times New Roman" w:cs="Times New Roman"/>
          <w:sz w:val="24"/>
          <w:szCs w:val="24"/>
        </w:rPr>
        <w:t xml:space="preserve">The latter rule was a cross-referencing mechanism which permitted the Commercial Division to fall back onto the High Court Rules </w:t>
      </w:r>
      <w:r w:rsidR="00154008" w:rsidRPr="00AE758A">
        <w:rPr>
          <w:rFonts w:ascii="Times New Roman" w:hAnsi="Times New Roman" w:cs="Times New Roman"/>
          <w:sz w:val="24"/>
          <w:szCs w:val="24"/>
        </w:rPr>
        <w:t xml:space="preserve">to address any </w:t>
      </w:r>
      <w:r w:rsidRPr="00AE758A">
        <w:rPr>
          <w:rFonts w:ascii="Times New Roman" w:hAnsi="Times New Roman" w:cs="Times New Roman"/>
          <w:sz w:val="24"/>
          <w:szCs w:val="24"/>
        </w:rPr>
        <w:t>procedur</w:t>
      </w:r>
      <w:r w:rsidR="00154008" w:rsidRPr="00AE758A">
        <w:rPr>
          <w:rFonts w:ascii="Times New Roman" w:hAnsi="Times New Roman" w:cs="Times New Roman"/>
          <w:sz w:val="24"/>
          <w:szCs w:val="24"/>
        </w:rPr>
        <w:t xml:space="preserve">al gap in the </w:t>
      </w:r>
      <w:r w:rsidR="00472085">
        <w:rPr>
          <w:rFonts w:ascii="Times New Roman" w:hAnsi="Times New Roman" w:cs="Times New Roman"/>
          <w:sz w:val="24"/>
          <w:szCs w:val="24"/>
        </w:rPr>
        <w:t>former r</w:t>
      </w:r>
      <w:r w:rsidR="00154008" w:rsidRPr="00AE758A">
        <w:rPr>
          <w:rFonts w:ascii="Times New Roman" w:hAnsi="Times New Roman" w:cs="Times New Roman"/>
          <w:sz w:val="24"/>
          <w:szCs w:val="24"/>
        </w:rPr>
        <w:t xml:space="preserve">ules. </w:t>
      </w:r>
    </w:p>
    <w:p w14:paraId="41A00D18" w14:textId="61615B51" w:rsidR="00154008" w:rsidRPr="00AE758A" w:rsidRDefault="00154008" w:rsidP="00AE758A">
      <w:pPr>
        <w:spacing w:line="360" w:lineRule="auto"/>
        <w:jc w:val="both"/>
        <w:rPr>
          <w:rFonts w:ascii="Times New Roman" w:hAnsi="Times New Roman" w:cs="Times New Roman"/>
          <w:sz w:val="24"/>
          <w:szCs w:val="24"/>
        </w:rPr>
      </w:pPr>
      <w:r w:rsidRPr="00AE758A">
        <w:rPr>
          <w:rFonts w:ascii="Times New Roman" w:hAnsi="Times New Roman" w:cs="Times New Roman"/>
          <w:sz w:val="24"/>
          <w:szCs w:val="24"/>
        </w:rPr>
        <w:t>[</w:t>
      </w:r>
      <w:r w:rsidR="003B2A9B">
        <w:rPr>
          <w:rFonts w:ascii="Times New Roman" w:hAnsi="Times New Roman" w:cs="Times New Roman"/>
          <w:sz w:val="24"/>
          <w:szCs w:val="24"/>
        </w:rPr>
        <w:t>10</w:t>
      </w:r>
      <w:r w:rsidR="009472D4">
        <w:rPr>
          <w:rFonts w:ascii="Times New Roman" w:hAnsi="Times New Roman" w:cs="Times New Roman"/>
          <w:sz w:val="24"/>
          <w:szCs w:val="24"/>
        </w:rPr>
        <w:t>]</w:t>
      </w:r>
      <w:r w:rsidRPr="00AE758A">
        <w:rPr>
          <w:rFonts w:ascii="Times New Roman" w:hAnsi="Times New Roman" w:cs="Times New Roman"/>
          <w:sz w:val="24"/>
          <w:szCs w:val="24"/>
        </w:rPr>
        <w:t xml:space="preserve"> Since the Commercial Court Rules did not address the issue of severance of cases by co-litigants, the court could properly resort to r 56 (2</w:t>
      </w:r>
      <w:r w:rsidR="0008053E">
        <w:rPr>
          <w:rFonts w:ascii="Times New Roman" w:hAnsi="Times New Roman" w:cs="Times New Roman"/>
          <w:sz w:val="24"/>
          <w:szCs w:val="24"/>
        </w:rPr>
        <w:t>1</w:t>
      </w:r>
      <w:r w:rsidRPr="00AE758A">
        <w:rPr>
          <w:rFonts w:ascii="Times New Roman" w:hAnsi="Times New Roman" w:cs="Times New Roman"/>
          <w:sz w:val="24"/>
          <w:szCs w:val="24"/>
        </w:rPr>
        <w:t>) of the High Court Rules which provided as follows; -</w:t>
      </w:r>
    </w:p>
    <w:p w14:paraId="2286A9D6" w14:textId="1473B89A" w:rsidR="00154008" w:rsidRPr="00AE758A" w:rsidRDefault="00154008" w:rsidP="0066284C">
      <w:pPr>
        <w:spacing w:line="360" w:lineRule="auto"/>
        <w:ind w:left="1134"/>
        <w:jc w:val="both"/>
        <w:rPr>
          <w:rFonts w:ascii="Times New Roman" w:hAnsi="Times New Roman" w:cs="Times New Roman"/>
          <w:sz w:val="24"/>
          <w:szCs w:val="24"/>
        </w:rPr>
      </w:pPr>
      <w:r w:rsidRPr="00AE758A">
        <w:rPr>
          <w:rFonts w:ascii="Times New Roman" w:hAnsi="Times New Roman" w:cs="Times New Roman"/>
          <w:sz w:val="24"/>
          <w:szCs w:val="24"/>
        </w:rPr>
        <w:t>(21) Co-plaintiffs shall appear by the same legal practitioner and shall not sever their case.</w:t>
      </w:r>
    </w:p>
    <w:p w14:paraId="42149CCA" w14:textId="2FA170BF" w:rsidR="00FB707E" w:rsidRDefault="00154008" w:rsidP="0008053E">
      <w:pPr>
        <w:spacing w:line="360" w:lineRule="auto"/>
        <w:jc w:val="both"/>
        <w:rPr>
          <w:rFonts w:ascii="Times New Roman" w:hAnsi="Times New Roman" w:cs="Times New Roman"/>
          <w:sz w:val="24"/>
          <w:szCs w:val="24"/>
        </w:rPr>
      </w:pPr>
      <w:r w:rsidRPr="00AE758A">
        <w:rPr>
          <w:rFonts w:ascii="Times New Roman" w:hAnsi="Times New Roman" w:cs="Times New Roman"/>
          <w:sz w:val="24"/>
          <w:szCs w:val="24"/>
        </w:rPr>
        <w:t>[</w:t>
      </w:r>
      <w:r w:rsidR="00E90E8A">
        <w:rPr>
          <w:rFonts w:ascii="Times New Roman" w:hAnsi="Times New Roman" w:cs="Times New Roman"/>
          <w:sz w:val="24"/>
          <w:szCs w:val="24"/>
        </w:rPr>
        <w:t>1</w:t>
      </w:r>
      <w:r w:rsidR="003B2A9B">
        <w:rPr>
          <w:rFonts w:ascii="Times New Roman" w:hAnsi="Times New Roman" w:cs="Times New Roman"/>
          <w:sz w:val="24"/>
          <w:szCs w:val="24"/>
        </w:rPr>
        <w:t>1</w:t>
      </w:r>
      <w:r w:rsidR="00AE758A" w:rsidRPr="00AE758A">
        <w:rPr>
          <w:rFonts w:ascii="Times New Roman" w:hAnsi="Times New Roman" w:cs="Times New Roman"/>
          <w:sz w:val="24"/>
          <w:szCs w:val="24"/>
        </w:rPr>
        <w:t>] Mr.</w:t>
      </w:r>
      <w:r w:rsidRPr="00AE758A">
        <w:rPr>
          <w:rFonts w:ascii="Times New Roman" w:hAnsi="Times New Roman" w:cs="Times New Roman"/>
          <w:sz w:val="24"/>
          <w:szCs w:val="24"/>
        </w:rPr>
        <w:t xml:space="preserve"> </w:t>
      </w:r>
      <w:r w:rsidRPr="00AE758A">
        <w:rPr>
          <w:rFonts w:ascii="Times New Roman" w:hAnsi="Times New Roman" w:cs="Times New Roman"/>
          <w:i/>
          <w:iCs/>
          <w:sz w:val="24"/>
          <w:szCs w:val="24"/>
        </w:rPr>
        <w:t>Madhuku</w:t>
      </w:r>
      <w:r w:rsidRPr="00AE758A">
        <w:rPr>
          <w:rFonts w:ascii="Times New Roman" w:hAnsi="Times New Roman" w:cs="Times New Roman"/>
          <w:sz w:val="24"/>
          <w:szCs w:val="24"/>
        </w:rPr>
        <w:t xml:space="preserve"> took a different </w:t>
      </w:r>
      <w:r w:rsidR="009C18D7">
        <w:rPr>
          <w:rFonts w:ascii="Times New Roman" w:hAnsi="Times New Roman" w:cs="Times New Roman"/>
          <w:sz w:val="24"/>
          <w:szCs w:val="24"/>
        </w:rPr>
        <w:t xml:space="preserve">view. </w:t>
      </w:r>
      <w:r w:rsidR="0008053E">
        <w:rPr>
          <w:rFonts w:ascii="Times New Roman" w:hAnsi="Times New Roman" w:cs="Times New Roman"/>
          <w:sz w:val="24"/>
          <w:szCs w:val="24"/>
        </w:rPr>
        <w:t xml:space="preserve">Rule 56 (21) of the High Court Rules was inapplicable to the matter before the court. It appeared in Part VII of the High Court Rules- a section regulating the conduct of trial proceedings. </w:t>
      </w:r>
      <w:r w:rsidR="00472085">
        <w:rPr>
          <w:rFonts w:ascii="Times New Roman" w:hAnsi="Times New Roman" w:cs="Times New Roman"/>
          <w:sz w:val="24"/>
          <w:szCs w:val="24"/>
        </w:rPr>
        <w:t>Rule 56 itself was sub-headed; -</w:t>
      </w:r>
      <w:r w:rsidR="00472085" w:rsidRPr="00472085">
        <w:rPr>
          <w:rFonts w:ascii="Times New Roman" w:hAnsi="Times New Roman" w:cs="Times New Roman"/>
          <w:i/>
          <w:iCs/>
          <w:sz w:val="24"/>
          <w:szCs w:val="24"/>
        </w:rPr>
        <w:t>Set Down and hearing of Civil Trials and other related matters.</w:t>
      </w:r>
      <w:r w:rsidR="00472085" w:rsidRPr="00472085">
        <w:rPr>
          <w:rFonts w:ascii="Times New Roman" w:hAnsi="Times New Roman" w:cs="Times New Roman"/>
          <w:sz w:val="24"/>
          <w:szCs w:val="24"/>
        </w:rPr>
        <w:t xml:space="preserve"> The</w:t>
      </w:r>
      <w:r w:rsidR="0008053E" w:rsidRPr="00472085">
        <w:rPr>
          <w:rFonts w:ascii="Times New Roman" w:hAnsi="Times New Roman" w:cs="Times New Roman"/>
          <w:sz w:val="24"/>
          <w:szCs w:val="24"/>
        </w:rPr>
        <w:t xml:space="preserve"> present matter constituted motion </w:t>
      </w:r>
      <w:r w:rsidR="0008053E" w:rsidRPr="00AE758A">
        <w:rPr>
          <w:rFonts w:ascii="Times New Roman" w:hAnsi="Times New Roman" w:cs="Times New Roman"/>
          <w:sz w:val="24"/>
          <w:szCs w:val="24"/>
        </w:rPr>
        <w:t>proceedings</w:t>
      </w:r>
      <w:r w:rsidR="003B2A9B">
        <w:rPr>
          <w:rFonts w:ascii="Times New Roman" w:hAnsi="Times New Roman" w:cs="Times New Roman"/>
          <w:sz w:val="24"/>
          <w:szCs w:val="24"/>
        </w:rPr>
        <w:t xml:space="preserve"> governed by </w:t>
      </w:r>
      <w:r w:rsidR="0008053E" w:rsidRPr="00AE758A">
        <w:rPr>
          <w:rFonts w:ascii="Times New Roman" w:hAnsi="Times New Roman" w:cs="Times New Roman"/>
          <w:sz w:val="24"/>
          <w:szCs w:val="24"/>
        </w:rPr>
        <w:t xml:space="preserve">a disparate </w:t>
      </w:r>
      <w:r w:rsidR="003B2A9B">
        <w:rPr>
          <w:rFonts w:ascii="Times New Roman" w:hAnsi="Times New Roman" w:cs="Times New Roman"/>
          <w:sz w:val="24"/>
          <w:szCs w:val="24"/>
        </w:rPr>
        <w:t xml:space="preserve">regime </w:t>
      </w:r>
      <w:r w:rsidR="0008053E" w:rsidRPr="00AE758A">
        <w:rPr>
          <w:rFonts w:ascii="Times New Roman" w:hAnsi="Times New Roman" w:cs="Times New Roman"/>
          <w:sz w:val="24"/>
          <w:szCs w:val="24"/>
        </w:rPr>
        <w:t xml:space="preserve">under Part </w:t>
      </w:r>
      <w:r w:rsidR="0008053E">
        <w:rPr>
          <w:rFonts w:ascii="Times New Roman" w:hAnsi="Times New Roman" w:cs="Times New Roman"/>
          <w:sz w:val="24"/>
          <w:szCs w:val="24"/>
        </w:rPr>
        <w:t>VIII o</w:t>
      </w:r>
      <w:r w:rsidR="0008053E" w:rsidRPr="00AE758A">
        <w:rPr>
          <w:rFonts w:ascii="Times New Roman" w:hAnsi="Times New Roman" w:cs="Times New Roman"/>
          <w:sz w:val="24"/>
          <w:szCs w:val="24"/>
        </w:rPr>
        <w:t>f the High Court Rules</w:t>
      </w:r>
      <w:r w:rsidR="0008053E">
        <w:rPr>
          <w:rFonts w:ascii="Times New Roman" w:hAnsi="Times New Roman" w:cs="Times New Roman"/>
          <w:sz w:val="24"/>
          <w:szCs w:val="24"/>
        </w:rPr>
        <w:t>.</w:t>
      </w:r>
      <w:r w:rsidR="0066284C" w:rsidRPr="0066284C">
        <w:rPr>
          <w:rFonts w:ascii="Times New Roman" w:hAnsi="Times New Roman" w:cs="Times New Roman"/>
          <w:sz w:val="24"/>
          <w:szCs w:val="24"/>
        </w:rPr>
        <w:t xml:space="preserve"> </w:t>
      </w:r>
      <w:r w:rsidR="0066284C">
        <w:rPr>
          <w:rFonts w:ascii="Times New Roman" w:hAnsi="Times New Roman" w:cs="Times New Roman"/>
          <w:sz w:val="24"/>
          <w:szCs w:val="24"/>
        </w:rPr>
        <w:t xml:space="preserve">To </w:t>
      </w:r>
      <w:r w:rsidR="0066284C" w:rsidRPr="00AE758A">
        <w:rPr>
          <w:rFonts w:ascii="Times New Roman" w:hAnsi="Times New Roman" w:cs="Times New Roman"/>
          <w:sz w:val="24"/>
          <w:szCs w:val="24"/>
        </w:rPr>
        <w:t xml:space="preserve">buttress his point, Mr </w:t>
      </w:r>
      <w:r w:rsidR="0066284C" w:rsidRPr="00AE758A">
        <w:rPr>
          <w:rFonts w:ascii="Times New Roman" w:hAnsi="Times New Roman" w:cs="Times New Roman"/>
          <w:i/>
          <w:iCs/>
          <w:sz w:val="24"/>
          <w:szCs w:val="24"/>
        </w:rPr>
        <w:t>Madhuku</w:t>
      </w:r>
      <w:r w:rsidR="0066284C" w:rsidRPr="00AE758A">
        <w:rPr>
          <w:rFonts w:ascii="Times New Roman" w:hAnsi="Times New Roman" w:cs="Times New Roman"/>
          <w:sz w:val="24"/>
          <w:szCs w:val="24"/>
        </w:rPr>
        <w:t xml:space="preserve"> drew attention to the rationale behind </w:t>
      </w:r>
      <w:r w:rsidR="0066284C">
        <w:rPr>
          <w:rFonts w:ascii="Times New Roman" w:hAnsi="Times New Roman" w:cs="Times New Roman"/>
          <w:sz w:val="24"/>
          <w:szCs w:val="24"/>
        </w:rPr>
        <w:t>the distinction, in the High Court Rules, between trial and motion procedure.</w:t>
      </w:r>
    </w:p>
    <w:p w14:paraId="3F198361" w14:textId="4F66A239" w:rsidR="0008053E" w:rsidRDefault="00FB707E" w:rsidP="0008053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B13A90">
        <w:rPr>
          <w:rFonts w:ascii="Times New Roman" w:hAnsi="Times New Roman" w:cs="Times New Roman"/>
          <w:sz w:val="24"/>
          <w:szCs w:val="24"/>
        </w:rPr>
        <w:t>2</w:t>
      </w:r>
      <w:r>
        <w:rPr>
          <w:rFonts w:ascii="Times New Roman" w:hAnsi="Times New Roman" w:cs="Times New Roman"/>
          <w:sz w:val="24"/>
          <w:szCs w:val="24"/>
        </w:rPr>
        <w:t xml:space="preserve">] </w:t>
      </w:r>
      <w:r w:rsidR="008A7F9D">
        <w:rPr>
          <w:rFonts w:ascii="Times New Roman" w:hAnsi="Times New Roman" w:cs="Times New Roman"/>
          <w:sz w:val="24"/>
          <w:szCs w:val="24"/>
        </w:rPr>
        <w:t>In trial proceedings, parties made the case as they unravelled the evidence to the court, a situation inapplicable in motion procedure where the cases were set out in the papers</w:t>
      </w:r>
      <w:r>
        <w:rPr>
          <w:rFonts w:ascii="Times New Roman" w:hAnsi="Times New Roman" w:cs="Times New Roman"/>
          <w:sz w:val="24"/>
          <w:szCs w:val="24"/>
        </w:rPr>
        <w:t>.</w:t>
      </w:r>
      <w:r w:rsidR="008A7F9D">
        <w:rPr>
          <w:rFonts w:ascii="Times New Roman" w:hAnsi="Times New Roman" w:cs="Times New Roman"/>
          <w:sz w:val="24"/>
          <w:szCs w:val="24"/>
        </w:rPr>
        <w:t xml:space="preserve"> </w:t>
      </w:r>
      <w:r>
        <w:rPr>
          <w:rFonts w:ascii="Times New Roman" w:hAnsi="Times New Roman" w:cs="Times New Roman"/>
          <w:sz w:val="24"/>
          <w:szCs w:val="24"/>
        </w:rPr>
        <w:t>The two applicants intended to each motivate and emphasis</w:t>
      </w:r>
      <w:r w:rsidR="001D54C4">
        <w:rPr>
          <w:rFonts w:ascii="Times New Roman" w:hAnsi="Times New Roman" w:cs="Times New Roman"/>
          <w:sz w:val="24"/>
          <w:szCs w:val="24"/>
        </w:rPr>
        <w:t>e</w:t>
      </w:r>
      <w:r>
        <w:rPr>
          <w:rFonts w:ascii="Times New Roman" w:hAnsi="Times New Roman" w:cs="Times New Roman"/>
          <w:sz w:val="24"/>
          <w:szCs w:val="24"/>
        </w:rPr>
        <w:t xml:space="preserve"> its case via counsel’s oral arguments. Severing of cases applied to two parties intendent upon taking advantage of alternative positions or “baskets” in moving their respective cases, which was not the case in the instance. </w:t>
      </w:r>
    </w:p>
    <w:p w14:paraId="023C0B0D" w14:textId="4B4E1A60" w:rsidR="00C417AC" w:rsidRDefault="0008053E" w:rsidP="00AE758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B13A90">
        <w:rPr>
          <w:rFonts w:ascii="Times New Roman" w:hAnsi="Times New Roman" w:cs="Times New Roman"/>
          <w:sz w:val="24"/>
          <w:szCs w:val="24"/>
        </w:rPr>
        <w:t>3</w:t>
      </w:r>
      <w:r w:rsidR="00FB707E">
        <w:rPr>
          <w:rFonts w:ascii="Times New Roman" w:hAnsi="Times New Roman" w:cs="Times New Roman"/>
          <w:sz w:val="24"/>
          <w:szCs w:val="24"/>
        </w:rPr>
        <w:t>]</w:t>
      </w:r>
      <w:r w:rsidR="0066284C">
        <w:rPr>
          <w:rFonts w:ascii="Times New Roman" w:hAnsi="Times New Roman" w:cs="Times New Roman"/>
          <w:sz w:val="24"/>
          <w:szCs w:val="24"/>
        </w:rPr>
        <w:t xml:space="preserve"> Continuing, counsel </w:t>
      </w:r>
      <w:r w:rsidR="009C18D7">
        <w:rPr>
          <w:rFonts w:ascii="Times New Roman" w:hAnsi="Times New Roman" w:cs="Times New Roman"/>
          <w:sz w:val="24"/>
          <w:szCs w:val="24"/>
        </w:rPr>
        <w:t xml:space="preserve">urged the court to </w:t>
      </w:r>
      <w:r w:rsidR="0066284C">
        <w:rPr>
          <w:rFonts w:ascii="Times New Roman" w:hAnsi="Times New Roman" w:cs="Times New Roman"/>
          <w:sz w:val="24"/>
          <w:szCs w:val="24"/>
        </w:rPr>
        <w:t xml:space="preserve">take what he argued was a common-sense approach. </w:t>
      </w:r>
      <w:r w:rsidR="001D54C4">
        <w:rPr>
          <w:rFonts w:ascii="Times New Roman" w:hAnsi="Times New Roman" w:cs="Times New Roman"/>
          <w:sz w:val="24"/>
          <w:szCs w:val="24"/>
        </w:rPr>
        <w:t>Further, t</w:t>
      </w:r>
      <w:r w:rsidR="00FB707E">
        <w:rPr>
          <w:rFonts w:ascii="Times New Roman" w:hAnsi="Times New Roman" w:cs="Times New Roman"/>
          <w:sz w:val="24"/>
          <w:szCs w:val="24"/>
        </w:rPr>
        <w:t xml:space="preserve">he </w:t>
      </w:r>
      <w:r w:rsidR="001D54C4">
        <w:rPr>
          <w:rFonts w:ascii="Times New Roman" w:hAnsi="Times New Roman" w:cs="Times New Roman"/>
          <w:sz w:val="24"/>
          <w:szCs w:val="24"/>
        </w:rPr>
        <w:t>a</w:t>
      </w:r>
      <w:r w:rsidR="00FB707E">
        <w:rPr>
          <w:rFonts w:ascii="Times New Roman" w:hAnsi="Times New Roman" w:cs="Times New Roman"/>
          <w:sz w:val="24"/>
          <w:szCs w:val="24"/>
        </w:rPr>
        <w:t xml:space="preserve">pplicants before it had </w:t>
      </w:r>
      <w:r w:rsidR="001D54C4">
        <w:rPr>
          <w:rFonts w:ascii="Times New Roman" w:hAnsi="Times New Roman" w:cs="Times New Roman"/>
          <w:sz w:val="24"/>
          <w:szCs w:val="24"/>
        </w:rPr>
        <w:t xml:space="preserve">each </w:t>
      </w:r>
      <w:r w:rsidR="00FB707E">
        <w:rPr>
          <w:rFonts w:ascii="Times New Roman" w:hAnsi="Times New Roman" w:cs="Times New Roman"/>
          <w:sz w:val="24"/>
          <w:szCs w:val="24"/>
        </w:rPr>
        <w:t xml:space="preserve">taken a deliberate decision to </w:t>
      </w:r>
      <w:r w:rsidR="001D54C4">
        <w:rPr>
          <w:rFonts w:ascii="Times New Roman" w:hAnsi="Times New Roman" w:cs="Times New Roman"/>
          <w:sz w:val="24"/>
          <w:szCs w:val="24"/>
        </w:rPr>
        <w:t>engage separate counsel</w:t>
      </w:r>
      <w:r w:rsidR="00FB707E">
        <w:rPr>
          <w:rFonts w:ascii="Times New Roman" w:hAnsi="Times New Roman" w:cs="Times New Roman"/>
          <w:sz w:val="24"/>
          <w:szCs w:val="24"/>
        </w:rPr>
        <w:t xml:space="preserve">. </w:t>
      </w:r>
      <w:r w:rsidR="001D54C4">
        <w:rPr>
          <w:rFonts w:ascii="Times New Roman" w:hAnsi="Times New Roman" w:cs="Times New Roman"/>
          <w:sz w:val="24"/>
          <w:szCs w:val="24"/>
        </w:rPr>
        <w:t xml:space="preserve">This decision was </w:t>
      </w:r>
      <w:r w:rsidR="00FB707E">
        <w:rPr>
          <w:rFonts w:ascii="Times New Roman" w:hAnsi="Times New Roman" w:cs="Times New Roman"/>
          <w:sz w:val="24"/>
          <w:szCs w:val="24"/>
        </w:rPr>
        <w:t xml:space="preserve">perfectly proper </w:t>
      </w:r>
      <w:r w:rsidR="001D54C4">
        <w:rPr>
          <w:rFonts w:ascii="Times New Roman" w:hAnsi="Times New Roman" w:cs="Times New Roman"/>
          <w:sz w:val="24"/>
          <w:szCs w:val="24"/>
        </w:rPr>
        <w:t xml:space="preserve">and counsel urged the court to permit the </w:t>
      </w:r>
      <w:r w:rsidR="00FB707E">
        <w:rPr>
          <w:rFonts w:ascii="Times New Roman" w:hAnsi="Times New Roman" w:cs="Times New Roman"/>
          <w:sz w:val="24"/>
          <w:szCs w:val="24"/>
        </w:rPr>
        <w:t xml:space="preserve">applicants to </w:t>
      </w:r>
      <w:r w:rsidR="001D54C4">
        <w:rPr>
          <w:rFonts w:ascii="Times New Roman" w:hAnsi="Times New Roman" w:cs="Times New Roman"/>
          <w:sz w:val="24"/>
          <w:szCs w:val="24"/>
        </w:rPr>
        <w:t>retain each retain counsel to present oral argument.</w:t>
      </w:r>
      <w:r w:rsidR="00FB707E">
        <w:rPr>
          <w:rFonts w:ascii="Times New Roman" w:hAnsi="Times New Roman" w:cs="Times New Roman"/>
          <w:sz w:val="24"/>
          <w:szCs w:val="24"/>
        </w:rPr>
        <w:t xml:space="preserve"> </w:t>
      </w:r>
      <w:r w:rsidR="009C18D7">
        <w:rPr>
          <w:rFonts w:ascii="Times New Roman" w:hAnsi="Times New Roman" w:cs="Times New Roman"/>
          <w:sz w:val="24"/>
          <w:szCs w:val="24"/>
        </w:rPr>
        <w:t xml:space="preserve">The </w:t>
      </w:r>
      <w:r w:rsidR="001D54C4">
        <w:rPr>
          <w:rFonts w:ascii="Times New Roman" w:hAnsi="Times New Roman" w:cs="Times New Roman"/>
          <w:sz w:val="24"/>
          <w:szCs w:val="24"/>
        </w:rPr>
        <w:t xml:space="preserve">question of separate counsel was </w:t>
      </w:r>
      <w:r w:rsidR="009C18D7">
        <w:rPr>
          <w:rFonts w:ascii="Times New Roman" w:hAnsi="Times New Roman" w:cs="Times New Roman"/>
          <w:sz w:val="24"/>
          <w:szCs w:val="24"/>
        </w:rPr>
        <w:t xml:space="preserve">governed by the general practice because the rules did not </w:t>
      </w:r>
      <w:r w:rsidR="001D54C4">
        <w:rPr>
          <w:rFonts w:ascii="Times New Roman" w:hAnsi="Times New Roman" w:cs="Times New Roman"/>
          <w:sz w:val="24"/>
          <w:szCs w:val="24"/>
        </w:rPr>
        <w:t xml:space="preserve">quite </w:t>
      </w:r>
      <w:r w:rsidR="009C18D7">
        <w:rPr>
          <w:rFonts w:ascii="Times New Roman" w:hAnsi="Times New Roman" w:cs="Times New Roman"/>
          <w:sz w:val="24"/>
          <w:szCs w:val="24"/>
        </w:rPr>
        <w:t>specify the procedure</w:t>
      </w:r>
      <w:r w:rsidR="001D54C4">
        <w:rPr>
          <w:rFonts w:ascii="Times New Roman" w:hAnsi="Times New Roman" w:cs="Times New Roman"/>
          <w:sz w:val="24"/>
          <w:szCs w:val="24"/>
        </w:rPr>
        <w:t xml:space="preserve"> applicable</w:t>
      </w:r>
      <w:r w:rsidR="009C18D7">
        <w:rPr>
          <w:rFonts w:ascii="Times New Roman" w:hAnsi="Times New Roman" w:cs="Times New Roman"/>
          <w:sz w:val="24"/>
          <w:szCs w:val="24"/>
        </w:rPr>
        <w:t xml:space="preserve">. </w:t>
      </w:r>
    </w:p>
    <w:p w14:paraId="2794B22F" w14:textId="44302BA5" w:rsidR="00FB707E" w:rsidRDefault="00C417AC" w:rsidP="00AE758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4082D">
        <w:rPr>
          <w:rFonts w:ascii="Times New Roman" w:hAnsi="Times New Roman" w:cs="Times New Roman"/>
          <w:sz w:val="24"/>
          <w:szCs w:val="24"/>
        </w:rPr>
        <w:t>4</w:t>
      </w:r>
      <w:r>
        <w:rPr>
          <w:rFonts w:ascii="Times New Roman" w:hAnsi="Times New Roman" w:cs="Times New Roman"/>
          <w:sz w:val="24"/>
          <w:szCs w:val="24"/>
        </w:rPr>
        <w:t xml:space="preserve">] In response to a probe from the court as regard the import of r 36 of the Commercial Court Rules, Mr </w:t>
      </w:r>
      <w:r w:rsidRPr="00A23A5C">
        <w:rPr>
          <w:rFonts w:ascii="Times New Roman" w:hAnsi="Times New Roman" w:cs="Times New Roman"/>
          <w:i/>
          <w:iCs/>
          <w:sz w:val="24"/>
          <w:szCs w:val="24"/>
        </w:rPr>
        <w:t>Madhuku</w:t>
      </w:r>
      <w:r>
        <w:rPr>
          <w:rFonts w:ascii="Times New Roman" w:hAnsi="Times New Roman" w:cs="Times New Roman"/>
          <w:sz w:val="24"/>
          <w:szCs w:val="24"/>
        </w:rPr>
        <w:t xml:space="preserve"> was of the view that such did not impede the applicants` quest to enlist two separate counsel to argue each`s case. Rule 36 merely required a party`s legal practitioner to file heads of argument in opposed applications. The applicants counsel were again, coming forth to accentuate orally, the arguments condensed in the heads of argument.</w:t>
      </w:r>
    </w:p>
    <w:p w14:paraId="22AF8F28" w14:textId="39C6B93E" w:rsidR="00154008" w:rsidRPr="00AE758A" w:rsidRDefault="00FB707E" w:rsidP="00AE758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4082D">
        <w:rPr>
          <w:rFonts w:ascii="Times New Roman" w:hAnsi="Times New Roman" w:cs="Times New Roman"/>
          <w:sz w:val="24"/>
          <w:szCs w:val="24"/>
        </w:rPr>
        <w:t>5</w:t>
      </w:r>
      <w:r>
        <w:rPr>
          <w:rFonts w:ascii="Times New Roman" w:hAnsi="Times New Roman" w:cs="Times New Roman"/>
          <w:sz w:val="24"/>
          <w:szCs w:val="24"/>
        </w:rPr>
        <w:t xml:space="preserve">] </w:t>
      </w:r>
      <w:r w:rsidR="009C18D7">
        <w:rPr>
          <w:rFonts w:ascii="Times New Roman" w:hAnsi="Times New Roman" w:cs="Times New Roman"/>
          <w:sz w:val="24"/>
          <w:szCs w:val="24"/>
        </w:rPr>
        <w:t xml:space="preserve">More importantly, there was nothing in the rules to bar the parties to </w:t>
      </w:r>
      <w:r>
        <w:rPr>
          <w:rFonts w:ascii="Times New Roman" w:hAnsi="Times New Roman" w:cs="Times New Roman"/>
          <w:sz w:val="24"/>
          <w:szCs w:val="24"/>
        </w:rPr>
        <w:t xml:space="preserve">argue </w:t>
      </w:r>
      <w:r w:rsidR="009C18D7">
        <w:rPr>
          <w:rFonts w:ascii="Times New Roman" w:hAnsi="Times New Roman" w:cs="Times New Roman"/>
          <w:sz w:val="24"/>
          <w:szCs w:val="24"/>
        </w:rPr>
        <w:t xml:space="preserve">their cases </w:t>
      </w:r>
      <w:r>
        <w:rPr>
          <w:rFonts w:ascii="Times New Roman" w:hAnsi="Times New Roman" w:cs="Times New Roman"/>
          <w:sz w:val="24"/>
          <w:szCs w:val="24"/>
        </w:rPr>
        <w:t xml:space="preserve">each focussed on their specific matter. </w:t>
      </w:r>
      <w:r w:rsidR="0066284C">
        <w:rPr>
          <w:rFonts w:ascii="Times New Roman" w:hAnsi="Times New Roman" w:cs="Times New Roman"/>
          <w:sz w:val="24"/>
          <w:szCs w:val="24"/>
        </w:rPr>
        <w:t>Mr</w:t>
      </w:r>
      <w:r w:rsidR="009C18D7">
        <w:rPr>
          <w:rFonts w:ascii="Times New Roman" w:hAnsi="Times New Roman" w:cs="Times New Roman"/>
          <w:sz w:val="24"/>
          <w:szCs w:val="24"/>
        </w:rPr>
        <w:t xml:space="preserve">. </w:t>
      </w:r>
      <w:r w:rsidR="009C18D7" w:rsidRPr="0066284C">
        <w:rPr>
          <w:rFonts w:ascii="Times New Roman" w:hAnsi="Times New Roman" w:cs="Times New Roman"/>
          <w:i/>
          <w:iCs/>
          <w:sz w:val="24"/>
          <w:szCs w:val="24"/>
        </w:rPr>
        <w:t>Madhuku</w:t>
      </w:r>
      <w:r w:rsidR="009C18D7">
        <w:rPr>
          <w:rFonts w:ascii="Times New Roman" w:hAnsi="Times New Roman" w:cs="Times New Roman"/>
          <w:sz w:val="24"/>
          <w:szCs w:val="24"/>
        </w:rPr>
        <w:t xml:space="preserve"> submitted that there was </w:t>
      </w:r>
      <w:r>
        <w:rPr>
          <w:rFonts w:ascii="Times New Roman" w:hAnsi="Times New Roman" w:cs="Times New Roman"/>
          <w:sz w:val="24"/>
          <w:szCs w:val="24"/>
        </w:rPr>
        <w:t xml:space="preserve">therefore </w:t>
      </w:r>
      <w:r w:rsidR="009C18D7">
        <w:rPr>
          <w:rFonts w:ascii="Times New Roman" w:hAnsi="Times New Roman" w:cs="Times New Roman"/>
          <w:sz w:val="24"/>
          <w:szCs w:val="24"/>
        </w:rPr>
        <w:t xml:space="preserve">no need to invoke r 4(2) of the Commercial Court Rules. That rule was meant to address what counsel described as </w:t>
      </w:r>
      <w:r w:rsidR="0066284C">
        <w:rPr>
          <w:rFonts w:ascii="Times New Roman" w:hAnsi="Times New Roman" w:cs="Times New Roman"/>
          <w:sz w:val="24"/>
          <w:szCs w:val="24"/>
        </w:rPr>
        <w:t xml:space="preserve">a </w:t>
      </w:r>
      <w:r w:rsidR="009472D4">
        <w:rPr>
          <w:rFonts w:ascii="Times New Roman" w:hAnsi="Times New Roman" w:cs="Times New Roman"/>
          <w:sz w:val="24"/>
          <w:szCs w:val="24"/>
        </w:rPr>
        <w:t xml:space="preserve">gap in </w:t>
      </w:r>
      <w:r>
        <w:rPr>
          <w:rFonts w:ascii="Times New Roman" w:hAnsi="Times New Roman" w:cs="Times New Roman"/>
          <w:sz w:val="24"/>
          <w:szCs w:val="24"/>
        </w:rPr>
        <w:t>“</w:t>
      </w:r>
      <w:r w:rsidR="0066284C">
        <w:rPr>
          <w:rFonts w:ascii="Times New Roman" w:hAnsi="Times New Roman" w:cs="Times New Roman"/>
          <w:sz w:val="24"/>
          <w:szCs w:val="24"/>
        </w:rPr>
        <w:t>much more substantive procedure”, a situation which did not arise presently.</w:t>
      </w:r>
      <w:r w:rsidR="009476BF">
        <w:rPr>
          <w:rFonts w:ascii="Times New Roman" w:hAnsi="Times New Roman" w:cs="Times New Roman"/>
          <w:sz w:val="24"/>
          <w:szCs w:val="24"/>
        </w:rPr>
        <w:t xml:space="preserve"> </w:t>
      </w:r>
    </w:p>
    <w:p w14:paraId="654042C8" w14:textId="568191CD" w:rsidR="000E54CC" w:rsidRDefault="00121AC3" w:rsidP="00AE758A">
      <w:pPr>
        <w:spacing w:line="360" w:lineRule="auto"/>
        <w:jc w:val="both"/>
        <w:rPr>
          <w:rFonts w:ascii="Times New Roman" w:hAnsi="Times New Roman" w:cs="Times New Roman"/>
          <w:sz w:val="24"/>
          <w:szCs w:val="24"/>
        </w:rPr>
      </w:pPr>
      <w:r w:rsidRPr="00AE758A">
        <w:rPr>
          <w:rFonts w:ascii="Times New Roman" w:hAnsi="Times New Roman" w:cs="Times New Roman"/>
          <w:sz w:val="24"/>
          <w:szCs w:val="24"/>
        </w:rPr>
        <w:t>[1</w:t>
      </w:r>
      <w:r w:rsidR="0074082D">
        <w:rPr>
          <w:rFonts w:ascii="Times New Roman" w:hAnsi="Times New Roman" w:cs="Times New Roman"/>
          <w:sz w:val="24"/>
          <w:szCs w:val="24"/>
        </w:rPr>
        <w:t>6</w:t>
      </w:r>
      <w:r w:rsidRPr="00AE758A">
        <w:rPr>
          <w:rFonts w:ascii="Times New Roman" w:hAnsi="Times New Roman" w:cs="Times New Roman"/>
          <w:sz w:val="24"/>
          <w:szCs w:val="24"/>
        </w:rPr>
        <w:t xml:space="preserve">] </w:t>
      </w:r>
      <w:r w:rsidR="00AE758A" w:rsidRPr="00AE758A">
        <w:rPr>
          <w:rFonts w:ascii="Times New Roman" w:hAnsi="Times New Roman" w:cs="Times New Roman"/>
          <w:sz w:val="24"/>
          <w:szCs w:val="24"/>
        </w:rPr>
        <w:t xml:space="preserve">Ms </w:t>
      </w:r>
      <w:r w:rsidR="00AE758A" w:rsidRPr="00AE758A">
        <w:rPr>
          <w:rFonts w:ascii="Times New Roman" w:hAnsi="Times New Roman" w:cs="Times New Roman"/>
          <w:i/>
          <w:iCs/>
          <w:sz w:val="24"/>
          <w:szCs w:val="24"/>
        </w:rPr>
        <w:t>Mahere</w:t>
      </w:r>
      <w:r w:rsidR="00AE758A" w:rsidRPr="00AE758A">
        <w:rPr>
          <w:rFonts w:ascii="Times New Roman" w:hAnsi="Times New Roman" w:cs="Times New Roman"/>
          <w:sz w:val="24"/>
          <w:szCs w:val="24"/>
        </w:rPr>
        <w:t xml:space="preserve"> associated herself with the position taken by Mr. </w:t>
      </w:r>
      <w:r w:rsidR="00AE758A" w:rsidRPr="00AE758A">
        <w:rPr>
          <w:rFonts w:ascii="Times New Roman" w:hAnsi="Times New Roman" w:cs="Times New Roman"/>
          <w:i/>
          <w:iCs/>
          <w:sz w:val="24"/>
          <w:szCs w:val="24"/>
        </w:rPr>
        <w:t>Madhuku</w:t>
      </w:r>
      <w:r w:rsidR="00AE758A" w:rsidRPr="00AE758A">
        <w:rPr>
          <w:rFonts w:ascii="Times New Roman" w:hAnsi="Times New Roman" w:cs="Times New Roman"/>
          <w:sz w:val="24"/>
          <w:szCs w:val="24"/>
        </w:rPr>
        <w:t xml:space="preserve">. Counsel added that </w:t>
      </w:r>
      <w:r w:rsidR="009476BF">
        <w:rPr>
          <w:rFonts w:ascii="Times New Roman" w:hAnsi="Times New Roman" w:cs="Times New Roman"/>
          <w:sz w:val="24"/>
          <w:szCs w:val="24"/>
        </w:rPr>
        <w:t xml:space="preserve">the </w:t>
      </w:r>
      <w:r w:rsidR="00AE758A">
        <w:rPr>
          <w:rFonts w:ascii="Times New Roman" w:hAnsi="Times New Roman" w:cs="Times New Roman"/>
          <w:sz w:val="24"/>
          <w:szCs w:val="24"/>
        </w:rPr>
        <w:t>objection was an unacceptable attempt to obstruct the applicants</w:t>
      </w:r>
      <w:r w:rsidR="00FB707E">
        <w:rPr>
          <w:rFonts w:ascii="Times New Roman" w:hAnsi="Times New Roman" w:cs="Times New Roman"/>
          <w:sz w:val="24"/>
          <w:szCs w:val="24"/>
        </w:rPr>
        <w:t>` exercise of the r</w:t>
      </w:r>
      <w:r w:rsidR="00AE758A">
        <w:rPr>
          <w:rFonts w:ascii="Times New Roman" w:hAnsi="Times New Roman" w:cs="Times New Roman"/>
          <w:sz w:val="24"/>
          <w:szCs w:val="24"/>
        </w:rPr>
        <w:t xml:space="preserve">ight to </w:t>
      </w:r>
      <w:r w:rsidR="008A7F9D">
        <w:rPr>
          <w:rFonts w:ascii="Times New Roman" w:hAnsi="Times New Roman" w:cs="Times New Roman"/>
          <w:sz w:val="24"/>
          <w:szCs w:val="24"/>
        </w:rPr>
        <w:t xml:space="preserve">be heard as well as be represented by </w:t>
      </w:r>
      <w:r w:rsidR="00AE758A">
        <w:rPr>
          <w:rFonts w:ascii="Times New Roman" w:hAnsi="Times New Roman" w:cs="Times New Roman"/>
          <w:sz w:val="24"/>
          <w:szCs w:val="24"/>
        </w:rPr>
        <w:t xml:space="preserve">a legal practitioner of choice. </w:t>
      </w:r>
      <w:r w:rsidR="00FB707E">
        <w:rPr>
          <w:rFonts w:ascii="Times New Roman" w:hAnsi="Times New Roman" w:cs="Times New Roman"/>
          <w:sz w:val="24"/>
          <w:szCs w:val="24"/>
        </w:rPr>
        <w:t>These being rights protected</w:t>
      </w:r>
      <w:r w:rsidR="00AE758A">
        <w:rPr>
          <w:rFonts w:ascii="Times New Roman" w:hAnsi="Times New Roman" w:cs="Times New Roman"/>
          <w:sz w:val="24"/>
          <w:szCs w:val="24"/>
        </w:rPr>
        <w:t xml:space="preserve"> under </w:t>
      </w:r>
      <w:r w:rsidR="000E54CC">
        <w:rPr>
          <w:rFonts w:ascii="Times New Roman" w:hAnsi="Times New Roman" w:cs="Times New Roman"/>
          <w:sz w:val="24"/>
          <w:szCs w:val="24"/>
        </w:rPr>
        <w:t xml:space="preserve">s </w:t>
      </w:r>
      <w:r w:rsidR="008A7F9D">
        <w:rPr>
          <w:rFonts w:ascii="Times New Roman" w:hAnsi="Times New Roman" w:cs="Times New Roman"/>
          <w:sz w:val="24"/>
          <w:szCs w:val="24"/>
        </w:rPr>
        <w:t>69 of</w:t>
      </w:r>
      <w:r w:rsidR="000E54CC">
        <w:rPr>
          <w:rFonts w:ascii="Times New Roman" w:hAnsi="Times New Roman" w:cs="Times New Roman"/>
          <w:sz w:val="24"/>
          <w:szCs w:val="24"/>
        </w:rPr>
        <w:t xml:space="preserve"> the Constitution of Zimbabwe.</w:t>
      </w:r>
    </w:p>
    <w:p w14:paraId="7EB2CD09" w14:textId="3512E9B8" w:rsidR="00884C36" w:rsidRDefault="008A7F9D" w:rsidP="00AE758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4082D">
        <w:rPr>
          <w:rFonts w:ascii="Times New Roman" w:hAnsi="Times New Roman" w:cs="Times New Roman"/>
          <w:sz w:val="24"/>
          <w:szCs w:val="24"/>
        </w:rPr>
        <w:t>7</w:t>
      </w:r>
      <w:r>
        <w:rPr>
          <w:rFonts w:ascii="Times New Roman" w:hAnsi="Times New Roman" w:cs="Times New Roman"/>
          <w:sz w:val="24"/>
          <w:szCs w:val="24"/>
        </w:rPr>
        <w:t xml:space="preserve">] Further, counsel contended that r 56 (21) had no application to the </w:t>
      </w:r>
      <w:r w:rsidR="00FB707E">
        <w:rPr>
          <w:rFonts w:ascii="Times New Roman" w:hAnsi="Times New Roman" w:cs="Times New Roman"/>
          <w:sz w:val="24"/>
          <w:szCs w:val="24"/>
        </w:rPr>
        <w:t>matter. Part</w:t>
      </w:r>
      <w:r>
        <w:rPr>
          <w:rFonts w:ascii="Times New Roman" w:hAnsi="Times New Roman" w:cs="Times New Roman"/>
          <w:sz w:val="24"/>
          <w:szCs w:val="24"/>
        </w:rPr>
        <w:t xml:space="preserve"> VIII of the High Court Rules did not stipulate the number of legal practitioners which could represent a party in motion proceedings. </w:t>
      </w:r>
      <w:r w:rsidR="00884C36">
        <w:rPr>
          <w:rFonts w:ascii="Times New Roman" w:hAnsi="Times New Roman" w:cs="Times New Roman"/>
          <w:sz w:val="24"/>
          <w:szCs w:val="24"/>
        </w:rPr>
        <w:t>The</w:t>
      </w:r>
      <w:r w:rsidR="00FB707E">
        <w:rPr>
          <w:rFonts w:ascii="Times New Roman" w:hAnsi="Times New Roman" w:cs="Times New Roman"/>
          <w:sz w:val="24"/>
          <w:szCs w:val="24"/>
        </w:rPr>
        <w:t xml:space="preserve"> High Court Rules left </w:t>
      </w:r>
      <w:r w:rsidR="00884C36">
        <w:rPr>
          <w:rFonts w:ascii="Times New Roman" w:hAnsi="Times New Roman" w:cs="Times New Roman"/>
          <w:sz w:val="24"/>
          <w:szCs w:val="24"/>
        </w:rPr>
        <w:t>to the party, the question of how many legal practitioners such party could enlist to argue its case.</w:t>
      </w:r>
    </w:p>
    <w:p w14:paraId="35ABC316" w14:textId="6DDF64BB" w:rsidR="008A7F9D" w:rsidRDefault="00884C36" w:rsidP="00AE758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4082D">
        <w:rPr>
          <w:rFonts w:ascii="Times New Roman" w:hAnsi="Times New Roman" w:cs="Times New Roman"/>
          <w:sz w:val="24"/>
          <w:szCs w:val="24"/>
        </w:rPr>
        <w:t>8</w:t>
      </w:r>
      <w:r>
        <w:rPr>
          <w:rFonts w:ascii="Times New Roman" w:hAnsi="Times New Roman" w:cs="Times New Roman"/>
          <w:sz w:val="24"/>
          <w:szCs w:val="24"/>
        </w:rPr>
        <w:t xml:space="preserve">] To that extent, the Commercial Court Rules had left the matter open as a deliberate omission. Consequently, Ms </w:t>
      </w:r>
      <w:r w:rsidRPr="00A23A5C">
        <w:rPr>
          <w:rFonts w:ascii="Times New Roman" w:hAnsi="Times New Roman" w:cs="Times New Roman"/>
          <w:i/>
          <w:iCs/>
          <w:sz w:val="24"/>
          <w:szCs w:val="24"/>
        </w:rPr>
        <w:t xml:space="preserve">Mahere </w:t>
      </w:r>
      <w:r>
        <w:rPr>
          <w:rFonts w:ascii="Times New Roman" w:hAnsi="Times New Roman" w:cs="Times New Roman"/>
          <w:sz w:val="24"/>
          <w:szCs w:val="24"/>
        </w:rPr>
        <w:t>submitted that there was no lacuna in the Commercial Court Rules on the point. Similarly</w:t>
      </w:r>
      <w:r w:rsidR="00FB707E">
        <w:rPr>
          <w:rFonts w:ascii="Times New Roman" w:hAnsi="Times New Roman" w:cs="Times New Roman"/>
          <w:sz w:val="24"/>
          <w:szCs w:val="24"/>
        </w:rPr>
        <w:t xml:space="preserve"> there was </w:t>
      </w:r>
      <w:r>
        <w:rPr>
          <w:rFonts w:ascii="Times New Roman" w:hAnsi="Times New Roman" w:cs="Times New Roman"/>
          <w:sz w:val="24"/>
          <w:szCs w:val="24"/>
        </w:rPr>
        <w:t xml:space="preserve">therefore </w:t>
      </w:r>
      <w:r w:rsidR="00FB707E">
        <w:rPr>
          <w:rFonts w:ascii="Times New Roman" w:hAnsi="Times New Roman" w:cs="Times New Roman"/>
          <w:sz w:val="24"/>
          <w:szCs w:val="24"/>
        </w:rPr>
        <w:t xml:space="preserve">no need to invoke the cross-reference </w:t>
      </w:r>
      <w:r w:rsidR="00FB707E">
        <w:rPr>
          <w:rFonts w:ascii="Times New Roman" w:hAnsi="Times New Roman" w:cs="Times New Roman"/>
          <w:sz w:val="24"/>
          <w:szCs w:val="24"/>
        </w:rPr>
        <w:lastRenderedPageBreak/>
        <w:t>option under r 4(2) of the Commercial Court Rules</w:t>
      </w:r>
      <w:r>
        <w:rPr>
          <w:rFonts w:ascii="Times New Roman" w:hAnsi="Times New Roman" w:cs="Times New Roman"/>
          <w:sz w:val="24"/>
          <w:szCs w:val="24"/>
        </w:rPr>
        <w:t xml:space="preserve">. The applicants were neither abandoning their original position in the papers nor issues raised in the heads of argument. The approach proposed by the applicants was supported by the constitution and not prohibited in the rules. </w:t>
      </w:r>
    </w:p>
    <w:p w14:paraId="78E6CAB7" w14:textId="5CC08657" w:rsidR="004E2137" w:rsidRDefault="000E54CC" w:rsidP="00AE758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4082D">
        <w:rPr>
          <w:rFonts w:ascii="Times New Roman" w:hAnsi="Times New Roman" w:cs="Times New Roman"/>
          <w:sz w:val="24"/>
          <w:szCs w:val="24"/>
        </w:rPr>
        <w:t>9</w:t>
      </w:r>
      <w:r>
        <w:rPr>
          <w:rFonts w:ascii="Times New Roman" w:hAnsi="Times New Roman" w:cs="Times New Roman"/>
          <w:sz w:val="24"/>
          <w:szCs w:val="24"/>
        </w:rPr>
        <w:t xml:space="preserve">] Mr </w:t>
      </w:r>
      <w:r w:rsidRPr="00A23A5C">
        <w:rPr>
          <w:rFonts w:ascii="Times New Roman" w:hAnsi="Times New Roman" w:cs="Times New Roman"/>
          <w:i/>
          <w:iCs/>
          <w:sz w:val="24"/>
          <w:szCs w:val="24"/>
        </w:rPr>
        <w:t>Mpofu</w:t>
      </w:r>
      <w:r>
        <w:rPr>
          <w:rFonts w:ascii="Times New Roman" w:hAnsi="Times New Roman" w:cs="Times New Roman"/>
          <w:sz w:val="24"/>
          <w:szCs w:val="24"/>
        </w:rPr>
        <w:t xml:space="preserve"> took his original argument further in response. He countered his colleagues` </w:t>
      </w:r>
      <w:r w:rsidR="0095169C">
        <w:rPr>
          <w:rFonts w:ascii="Times New Roman" w:hAnsi="Times New Roman" w:cs="Times New Roman"/>
          <w:sz w:val="24"/>
          <w:szCs w:val="24"/>
        </w:rPr>
        <w:t xml:space="preserve">quest to distinguish </w:t>
      </w:r>
      <w:r>
        <w:rPr>
          <w:rFonts w:ascii="Times New Roman" w:hAnsi="Times New Roman" w:cs="Times New Roman"/>
          <w:sz w:val="24"/>
          <w:szCs w:val="24"/>
        </w:rPr>
        <w:t xml:space="preserve">motion and trial proceedings and </w:t>
      </w:r>
      <w:r w:rsidR="0095169C">
        <w:rPr>
          <w:rFonts w:ascii="Times New Roman" w:hAnsi="Times New Roman" w:cs="Times New Roman"/>
          <w:sz w:val="24"/>
          <w:szCs w:val="24"/>
        </w:rPr>
        <w:t>urged, in the process,</w:t>
      </w:r>
      <w:r>
        <w:rPr>
          <w:rFonts w:ascii="Times New Roman" w:hAnsi="Times New Roman" w:cs="Times New Roman"/>
          <w:sz w:val="24"/>
          <w:szCs w:val="24"/>
        </w:rPr>
        <w:t xml:space="preserve"> a closer examination of the rules. </w:t>
      </w:r>
      <w:r w:rsidR="00327FFB">
        <w:rPr>
          <w:rFonts w:ascii="Times New Roman" w:hAnsi="Times New Roman" w:cs="Times New Roman"/>
          <w:sz w:val="24"/>
          <w:szCs w:val="24"/>
        </w:rPr>
        <w:t xml:space="preserve">The jurisdiction`s rules of court </w:t>
      </w:r>
      <w:r w:rsidR="0095169C">
        <w:rPr>
          <w:rFonts w:ascii="Times New Roman" w:hAnsi="Times New Roman" w:cs="Times New Roman"/>
          <w:sz w:val="24"/>
          <w:szCs w:val="24"/>
        </w:rPr>
        <w:t xml:space="preserve">as a general rule, </w:t>
      </w:r>
      <w:r w:rsidR="00327FFB">
        <w:rPr>
          <w:rFonts w:ascii="Times New Roman" w:hAnsi="Times New Roman" w:cs="Times New Roman"/>
          <w:sz w:val="24"/>
          <w:szCs w:val="24"/>
        </w:rPr>
        <w:t xml:space="preserve">adopted a unitary system </w:t>
      </w:r>
      <w:r w:rsidR="0095169C">
        <w:rPr>
          <w:rFonts w:ascii="Times New Roman" w:hAnsi="Times New Roman" w:cs="Times New Roman"/>
          <w:sz w:val="24"/>
          <w:szCs w:val="24"/>
        </w:rPr>
        <w:t xml:space="preserve">where </w:t>
      </w:r>
      <w:r w:rsidR="004E2137">
        <w:rPr>
          <w:rFonts w:ascii="Times New Roman" w:hAnsi="Times New Roman" w:cs="Times New Roman"/>
          <w:sz w:val="24"/>
          <w:szCs w:val="24"/>
        </w:rPr>
        <w:t xml:space="preserve">certain </w:t>
      </w:r>
      <w:r w:rsidR="0095169C">
        <w:rPr>
          <w:rFonts w:ascii="Times New Roman" w:hAnsi="Times New Roman" w:cs="Times New Roman"/>
          <w:sz w:val="24"/>
          <w:szCs w:val="24"/>
        </w:rPr>
        <w:t>matters were</w:t>
      </w:r>
      <w:r w:rsidR="00327FFB">
        <w:rPr>
          <w:rFonts w:ascii="Times New Roman" w:hAnsi="Times New Roman" w:cs="Times New Roman"/>
          <w:sz w:val="24"/>
          <w:szCs w:val="24"/>
        </w:rPr>
        <w:t xml:space="preserve"> universally </w:t>
      </w:r>
      <w:r w:rsidR="0095169C">
        <w:rPr>
          <w:rFonts w:ascii="Times New Roman" w:hAnsi="Times New Roman" w:cs="Times New Roman"/>
          <w:sz w:val="24"/>
          <w:szCs w:val="24"/>
        </w:rPr>
        <w:t xml:space="preserve">dealt with under one set of rules. The High Court Rules, as an example, </w:t>
      </w:r>
      <w:r w:rsidR="004E2137">
        <w:rPr>
          <w:rFonts w:ascii="Times New Roman" w:hAnsi="Times New Roman" w:cs="Times New Roman"/>
          <w:sz w:val="24"/>
          <w:szCs w:val="24"/>
        </w:rPr>
        <w:t xml:space="preserve">made no distinction between motion or action proceedings when dealing with service, referrals or execution. </w:t>
      </w:r>
    </w:p>
    <w:p w14:paraId="5C0CBB8C" w14:textId="6C581B95" w:rsidR="00121AC3" w:rsidRDefault="004E2137" w:rsidP="00AE758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4082D">
        <w:rPr>
          <w:rFonts w:ascii="Times New Roman" w:hAnsi="Times New Roman" w:cs="Times New Roman"/>
          <w:sz w:val="24"/>
          <w:szCs w:val="24"/>
        </w:rPr>
        <w:t>20</w:t>
      </w:r>
      <w:r>
        <w:rPr>
          <w:rFonts w:ascii="Times New Roman" w:hAnsi="Times New Roman" w:cs="Times New Roman"/>
          <w:sz w:val="24"/>
          <w:szCs w:val="24"/>
        </w:rPr>
        <w:t xml:space="preserve">] Counsel therefore differed with the contention that where a specific rule is reposed in a section dealing with one action procedure, it automatically excluded motion proceedings. </w:t>
      </w:r>
      <w:r w:rsidR="000E54CC">
        <w:rPr>
          <w:rFonts w:ascii="Times New Roman" w:hAnsi="Times New Roman" w:cs="Times New Roman"/>
          <w:sz w:val="24"/>
          <w:szCs w:val="24"/>
        </w:rPr>
        <w:t xml:space="preserve">He turned, in that regard, to r </w:t>
      </w:r>
      <w:r w:rsidR="000E54CC" w:rsidRPr="00AE758A">
        <w:rPr>
          <w:rFonts w:ascii="Times New Roman" w:hAnsi="Times New Roman" w:cs="Times New Roman"/>
          <w:sz w:val="24"/>
          <w:szCs w:val="24"/>
        </w:rPr>
        <w:t>53</w:t>
      </w:r>
      <w:r w:rsidR="000E54CC">
        <w:rPr>
          <w:rFonts w:ascii="Times New Roman" w:hAnsi="Times New Roman" w:cs="Times New Roman"/>
          <w:sz w:val="24"/>
          <w:szCs w:val="24"/>
        </w:rPr>
        <w:t xml:space="preserve"> of the Commercial Court Rules which stated that; -</w:t>
      </w:r>
    </w:p>
    <w:p w14:paraId="0E3C2014" w14:textId="77777777" w:rsidR="000E54CC" w:rsidRPr="000E54CC" w:rsidRDefault="000E54CC" w:rsidP="000E54CC">
      <w:pPr>
        <w:autoSpaceDE w:val="0"/>
        <w:autoSpaceDN w:val="0"/>
        <w:adjustRightInd w:val="0"/>
        <w:spacing w:after="0" w:line="360" w:lineRule="auto"/>
        <w:ind w:left="1134"/>
        <w:jc w:val="both"/>
        <w:rPr>
          <w:rFonts w:ascii="Times New Roman" w:hAnsi="Times New Roman" w:cs="Times New Roman"/>
          <w:color w:val="000000"/>
          <w:kern w:val="0"/>
          <w:sz w:val="24"/>
          <w:szCs w:val="24"/>
          <w:u w:val="single"/>
        </w:rPr>
      </w:pPr>
      <w:r w:rsidRPr="000E54CC">
        <w:rPr>
          <w:rFonts w:ascii="Times New Roman" w:hAnsi="Times New Roman" w:cs="Times New Roman"/>
          <w:color w:val="000000"/>
          <w:kern w:val="0"/>
          <w:sz w:val="24"/>
          <w:szCs w:val="24"/>
          <w:u w:val="single"/>
        </w:rPr>
        <w:t xml:space="preserve">53 Conduct of hearing, postponements and adjournments </w:t>
      </w:r>
    </w:p>
    <w:p w14:paraId="0C5997DB" w14:textId="642374DD" w:rsidR="00E90E8A" w:rsidRDefault="000E54CC" w:rsidP="00E90E8A">
      <w:pPr>
        <w:autoSpaceDE w:val="0"/>
        <w:autoSpaceDN w:val="0"/>
        <w:adjustRightInd w:val="0"/>
        <w:spacing w:after="0" w:line="360" w:lineRule="auto"/>
        <w:ind w:left="1134"/>
        <w:jc w:val="both"/>
        <w:rPr>
          <w:rFonts w:ascii="Times New Roman" w:hAnsi="Times New Roman" w:cs="Times New Roman"/>
          <w:sz w:val="24"/>
          <w:szCs w:val="24"/>
        </w:rPr>
      </w:pPr>
      <w:r w:rsidRPr="000E54CC">
        <w:rPr>
          <w:rFonts w:ascii="Times New Roman" w:hAnsi="Times New Roman" w:cs="Times New Roman"/>
          <w:color w:val="000000"/>
          <w:kern w:val="0"/>
          <w:sz w:val="24"/>
          <w:szCs w:val="24"/>
        </w:rPr>
        <w:t xml:space="preserve">(1) Subject to these rules, </w:t>
      </w:r>
      <w:r w:rsidRPr="000E54CC">
        <w:rPr>
          <w:rFonts w:ascii="Times New Roman" w:hAnsi="Times New Roman" w:cs="Times New Roman"/>
          <w:i/>
          <w:iCs/>
          <w:color w:val="000000"/>
          <w:kern w:val="0"/>
          <w:sz w:val="24"/>
          <w:szCs w:val="24"/>
        </w:rPr>
        <w:t xml:space="preserve">the provisions of Order 49 of the High Court Rules shall apply mutatis mutandis in relation </w:t>
      </w:r>
      <w:r w:rsidRPr="000E54CC">
        <w:rPr>
          <w:rFonts w:ascii="Times New Roman" w:hAnsi="Times New Roman" w:cs="Times New Roman"/>
          <w:i/>
          <w:iCs/>
          <w:color w:val="000000"/>
          <w:kern w:val="0"/>
          <w:sz w:val="24"/>
          <w:szCs w:val="24"/>
          <w:u w:val="single"/>
        </w:rPr>
        <w:t>to hearings conducted before the court</w:t>
      </w:r>
      <w:r w:rsidRPr="000E54CC">
        <w:rPr>
          <w:rFonts w:ascii="Times New Roman" w:hAnsi="Times New Roman" w:cs="Times New Roman"/>
          <w:color w:val="000000"/>
          <w:kern w:val="0"/>
          <w:sz w:val="24"/>
          <w:szCs w:val="24"/>
        </w:rPr>
        <w:t>: Provided that where the hearing of the matter has commenced it shall be continued from day to day until all the witnesses in attendance have been examined.</w:t>
      </w:r>
    </w:p>
    <w:p w14:paraId="6C812C7B" w14:textId="72CEDBBC" w:rsidR="008B7063" w:rsidRDefault="000E54CC" w:rsidP="00AE758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90E8A">
        <w:rPr>
          <w:rFonts w:ascii="Times New Roman" w:hAnsi="Times New Roman" w:cs="Times New Roman"/>
          <w:sz w:val="24"/>
          <w:szCs w:val="24"/>
        </w:rPr>
        <w:t>2</w:t>
      </w:r>
      <w:r w:rsidR="0074082D">
        <w:rPr>
          <w:rFonts w:ascii="Times New Roman" w:hAnsi="Times New Roman" w:cs="Times New Roman"/>
          <w:sz w:val="24"/>
          <w:szCs w:val="24"/>
        </w:rPr>
        <w:t>1</w:t>
      </w:r>
      <w:r>
        <w:rPr>
          <w:rFonts w:ascii="Times New Roman" w:hAnsi="Times New Roman" w:cs="Times New Roman"/>
          <w:sz w:val="24"/>
          <w:szCs w:val="24"/>
        </w:rPr>
        <w:t xml:space="preserve">] </w:t>
      </w:r>
      <w:r w:rsidR="00884C36">
        <w:rPr>
          <w:rFonts w:ascii="Times New Roman" w:hAnsi="Times New Roman" w:cs="Times New Roman"/>
          <w:sz w:val="24"/>
          <w:szCs w:val="24"/>
        </w:rPr>
        <w:t xml:space="preserve">This rule, according to counsel, applied to </w:t>
      </w:r>
      <w:r w:rsidR="00884C36" w:rsidRPr="00804A7E">
        <w:rPr>
          <w:rFonts w:ascii="Times New Roman" w:hAnsi="Times New Roman" w:cs="Times New Roman"/>
          <w:sz w:val="24"/>
          <w:szCs w:val="24"/>
          <w:u w:val="single"/>
        </w:rPr>
        <w:t>all hearings</w:t>
      </w:r>
      <w:r w:rsidR="00884C36">
        <w:rPr>
          <w:rFonts w:ascii="Times New Roman" w:hAnsi="Times New Roman" w:cs="Times New Roman"/>
          <w:sz w:val="24"/>
          <w:szCs w:val="24"/>
        </w:rPr>
        <w:t xml:space="preserve"> irrespective of the procedure adopted to mount the case. R</w:t>
      </w:r>
      <w:r w:rsidR="00804A7E">
        <w:rPr>
          <w:rFonts w:ascii="Times New Roman" w:hAnsi="Times New Roman" w:cs="Times New Roman"/>
          <w:sz w:val="24"/>
          <w:szCs w:val="24"/>
        </w:rPr>
        <w:t xml:space="preserve">ule </w:t>
      </w:r>
      <w:r w:rsidR="00884C36">
        <w:rPr>
          <w:rFonts w:ascii="Times New Roman" w:hAnsi="Times New Roman" w:cs="Times New Roman"/>
          <w:sz w:val="24"/>
          <w:szCs w:val="24"/>
        </w:rPr>
        <w:t xml:space="preserve">53 of the Commercial Court </w:t>
      </w:r>
      <w:r w:rsidR="00804A7E">
        <w:rPr>
          <w:rFonts w:ascii="Times New Roman" w:hAnsi="Times New Roman" w:cs="Times New Roman"/>
          <w:sz w:val="24"/>
          <w:szCs w:val="24"/>
        </w:rPr>
        <w:t xml:space="preserve">Rules referred Order 49 in the old High Court Rules 1971 applied mutatis mutandis. </w:t>
      </w:r>
      <w:r w:rsidR="000D6330">
        <w:rPr>
          <w:rFonts w:ascii="Times New Roman" w:hAnsi="Times New Roman" w:cs="Times New Roman"/>
          <w:sz w:val="24"/>
          <w:szCs w:val="24"/>
        </w:rPr>
        <w:t>But there was a minor typo in that r</w:t>
      </w:r>
      <w:r w:rsidR="008B7063">
        <w:rPr>
          <w:rFonts w:ascii="Times New Roman" w:hAnsi="Times New Roman" w:cs="Times New Roman"/>
          <w:sz w:val="24"/>
          <w:szCs w:val="24"/>
        </w:rPr>
        <w:t xml:space="preserve"> 53 refers to the generality of Order 49 rather than the specificity of Order 49 r 442. </w:t>
      </w:r>
    </w:p>
    <w:p w14:paraId="7E3DADEE" w14:textId="56B30F73" w:rsidR="000E54CC" w:rsidRDefault="008B7063" w:rsidP="00AE758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E2137">
        <w:rPr>
          <w:rFonts w:ascii="Times New Roman" w:hAnsi="Times New Roman" w:cs="Times New Roman"/>
          <w:sz w:val="24"/>
          <w:szCs w:val="24"/>
        </w:rPr>
        <w:t>2</w:t>
      </w:r>
      <w:r w:rsidR="0074082D">
        <w:rPr>
          <w:rFonts w:ascii="Times New Roman" w:hAnsi="Times New Roman" w:cs="Times New Roman"/>
          <w:sz w:val="24"/>
          <w:szCs w:val="24"/>
        </w:rPr>
        <w:t>2</w:t>
      </w:r>
      <w:r>
        <w:rPr>
          <w:rFonts w:ascii="Times New Roman" w:hAnsi="Times New Roman" w:cs="Times New Roman"/>
          <w:sz w:val="24"/>
          <w:szCs w:val="24"/>
        </w:rPr>
        <w:t xml:space="preserve">] Rule </w:t>
      </w:r>
      <w:r w:rsidR="000D6330">
        <w:rPr>
          <w:rFonts w:ascii="Times New Roman" w:hAnsi="Times New Roman" w:cs="Times New Roman"/>
          <w:sz w:val="24"/>
          <w:szCs w:val="24"/>
        </w:rPr>
        <w:t xml:space="preserve">53 (2) of the Commercial Court Rules </w:t>
      </w:r>
      <w:r>
        <w:rPr>
          <w:rFonts w:ascii="Times New Roman" w:hAnsi="Times New Roman" w:cs="Times New Roman"/>
          <w:sz w:val="24"/>
          <w:szCs w:val="24"/>
        </w:rPr>
        <w:t>exposed this obvious error in 53 (1) by referring more accurately to Or</w:t>
      </w:r>
      <w:r w:rsidR="000D6330">
        <w:rPr>
          <w:rFonts w:ascii="Times New Roman" w:hAnsi="Times New Roman" w:cs="Times New Roman"/>
          <w:sz w:val="24"/>
          <w:szCs w:val="24"/>
        </w:rPr>
        <w:t xml:space="preserve">der 49 r 445. </w:t>
      </w:r>
      <w:r>
        <w:rPr>
          <w:rFonts w:ascii="Times New Roman" w:hAnsi="Times New Roman" w:cs="Times New Roman"/>
          <w:sz w:val="24"/>
          <w:szCs w:val="24"/>
        </w:rPr>
        <w:t xml:space="preserve">Counsel thus urged the court to read r 53(1) as referring to Order 49 r 442 which was in fact, a </w:t>
      </w:r>
      <w:r w:rsidR="000A7C29">
        <w:rPr>
          <w:rFonts w:ascii="Times New Roman" w:hAnsi="Times New Roman" w:cs="Times New Roman"/>
          <w:sz w:val="24"/>
          <w:szCs w:val="24"/>
        </w:rPr>
        <w:t>replica of r 56 (21</w:t>
      </w:r>
      <w:r>
        <w:rPr>
          <w:rFonts w:ascii="Times New Roman" w:hAnsi="Times New Roman" w:cs="Times New Roman"/>
          <w:sz w:val="24"/>
          <w:szCs w:val="24"/>
        </w:rPr>
        <w:t xml:space="preserve">) of the High Court Rules. Order 49 r 442 </w:t>
      </w:r>
      <w:r w:rsidR="000A7C29">
        <w:rPr>
          <w:rFonts w:ascii="Times New Roman" w:hAnsi="Times New Roman" w:cs="Times New Roman"/>
          <w:sz w:val="24"/>
          <w:szCs w:val="24"/>
        </w:rPr>
        <w:t>read; -</w:t>
      </w:r>
    </w:p>
    <w:p w14:paraId="257A23D6" w14:textId="77777777" w:rsidR="000A7C29" w:rsidRPr="000A7C29" w:rsidRDefault="000A7C29" w:rsidP="000A7C29">
      <w:pPr>
        <w:autoSpaceDE w:val="0"/>
        <w:autoSpaceDN w:val="0"/>
        <w:adjustRightInd w:val="0"/>
        <w:spacing w:after="0" w:line="360" w:lineRule="auto"/>
        <w:ind w:left="1134"/>
        <w:rPr>
          <w:rFonts w:ascii="Times New Roman" w:hAnsi="Times New Roman" w:cs="Times New Roman"/>
          <w:kern w:val="0"/>
          <w:sz w:val="24"/>
          <w:szCs w:val="24"/>
          <w:u w:val="single"/>
        </w:rPr>
      </w:pPr>
      <w:r w:rsidRPr="000A7C29">
        <w:rPr>
          <w:rFonts w:ascii="Times New Roman" w:hAnsi="Times New Roman" w:cs="Times New Roman"/>
          <w:kern w:val="0"/>
          <w:sz w:val="24"/>
          <w:szCs w:val="24"/>
          <w:u w:val="single"/>
        </w:rPr>
        <w:t>442. Legal practitioner for co-plaintiff</w:t>
      </w:r>
    </w:p>
    <w:p w14:paraId="5AEC1EFD" w14:textId="77777777" w:rsidR="000A7C29" w:rsidRDefault="000A7C29" w:rsidP="000A7C29">
      <w:pPr>
        <w:spacing w:line="360" w:lineRule="auto"/>
        <w:ind w:left="1134"/>
        <w:jc w:val="both"/>
        <w:rPr>
          <w:rFonts w:ascii="Times New Roman" w:hAnsi="Times New Roman" w:cs="Times New Roman"/>
          <w:kern w:val="0"/>
          <w:sz w:val="24"/>
          <w:szCs w:val="24"/>
        </w:rPr>
      </w:pPr>
      <w:r w:rsidRPr="000A7C29">
        <w:rPr>
          <w:rFonts w:ascii="Times New Roman" w:hAnsi="Times New Roman" w:cs="Times New Roman"/>
          <w:kern w:val="0"/>
          <w:sz w:val="24"/>
          <w:szCs w:val="24"/>
        </w:rPr>
        <w:t>Co-plaintiffs shall appear by the same legal practitioner and shall not sever their case.</w:t>
      </w:r>
    </w:p>
    <w:p w14:paraId="54005337" w14:textId="314AF3B1" w:rsidR="00E4196F" w:rsidRDefault="000A7C29" w:rsidP="008B7063">
      <w:pPr>
        <w:pStyle w:val="Default"/>
        <w:spacing w:line="360" w:lineRule="auto"/>
        <w:jc w:val="both"/>
        <w:rPr>
          <w:rFonts w:ascii="Times New Roman" w:hAnsi="Times New Roman" w:cs="Times New Roman"/>
        </w:rPr>
      </w:pPr>
      <w:r>
        <w:rPr>
          <w:rFonts w:ascii="Times New Roman" w:hAnsi="Times New Roman" w:cs="Times New Roman"/>
        </w:rPr>
        <w:t>[</w:t>
      </w:r>
      <w:r w:rsidR="00C417AC">
        <w:rPr>
          <w:rFonts w:ascii="Times New Roman" w:hAnsi="Times New Roman" w:cs="Times New Roman"/>
        </w:rPr>
        <w:t>2</w:t>
      </w:r>
      <w:r w:rsidR="0074082D">
        <w:rPr>
          <w:rFonts w:ascii="Times New Roman" w:hAnsi="Times New Roman" w:cs="Times New Roman"/>
        </w:rPr>
        <w:t>3</w:t>
      </w:r>
      <w:r>
        <w:rPr>
          <w:rFonts w:ascii="Times New Roman" w:hAnsi="Times New Roman" w:cs="Times New Roman"/>
        </w:rPr>
        <w:t xml:space="preserve">] </w:t>
      </w:r>
      <w:r w:rsidR="008B7063">
        <w:rPr>
          <w:rFonts w:ascii="Times New Roman" w:hAnsi="Times New Roman" w:cs="Times New Roman"/>
        </w:rPr>
        <w:t xml:space="preserve">The error could be addressed through the principle of “reading in” discussed in </w:t>
      </w:r>
      <w:r w:rsidR="008B7063" w:rsidRPr="008B7063">
        <w:rPr>
          <w:rFonts w:ascii="Times New Roman" w:hAnsi="Times New Roman" w:cs="Times New Roman"/>
          <w:i/>
          <w:iCs/>
        </w:rPr>
        <w:t xml:space="preserve">S v K (a juvenile) </w:t>
      </w:r>
      <w:r w:rsidR="008B7063" w:rsidRPr="008B7063">
        <w:rPr>
          <w:rFonts w:ascii="Times New Roman" w:hAnsi="Times New Roman" w:cs="Times New Roman"/>
        </w:rPr>
        <w:t>2009 (2) ZLR 409(H)</w:t>
      </w:r>
      <w:r w:rsidR="008B7063">
        <w:rPr>
          <w:rFonts w:ascii="Times New Roman" w:hAnsi="Times New Roman" w:cs="Times New Roman"/>
        </w:rPr>
        <w:t xml:space="preserve">. The High Court, per </w:t>
      </w:r>
      <w:r w:rsidR="008B7063" w:rsidRPr="008B7063">
        <w:rPr>
          <w:rFonts w:ascii="Times New Roman" w:hAnsi="Times New Roman" w:cs="Times New Roman"/>
          <w:sz w:val="22"/>
          <w:szCs w:val="22"/>
        </w:rPr>
        <w:t>UCHENA J</w:t>
      </w:r>
      <w:r w:rsidR="008B7063">
        <w:rPr>
          <w:rFonts w:ascii="Times New Roman" w:hAnsi="Times New Roman" w:cs="Times New Roman"/>
        </w:rPr>
        <w:t xml:space="preserve"> (as he the</w:t>
      </w:r>
      <w:r w:rsidR="001D54C4">
        <w:rPr>
          <w:rFonts w:ascii="Times New Roman" w:hAnsi="Times New Roman" w:cs="Times New Roman"/>
        </w:rPr>
        <w:t>n</w:t>
      </w:r>
      <w:r w:rsidR="008B7063">
        <w:rPr>
          <w:rFonts w:ascii="Times New Roman" w:hAnsi="Times New Roman" w:cs="Times New Roman"/>
        </w:rPr>
        <w:t xml:space="preserve"> was) held that obvious errors in statutes could be obviated through a rational reading in so as to restore the </w:t>
      </w:r>
      <w:r w:rsidR="008B7063">
        <w:rPr>
          <w:rFonts w:ascii="Times New Roman" w:hAnsi="Times New Roman" w:cs="Times New Roman"/>
        </w:rPr>
        <w:lastRenderedPageBreak/>
        <w:t xml:space="preserve">sense and import of such statute. </w:t>
      </w:r>
      <w:r w:rsidR="00C417AC">
        <w:rPr>
          <w:rFonts w:ascii="Times New Roman" w:hAnsi="Times New Roman" w:cs="Times New Roman"/>
        </w:rPr>
        <w:t xml:space="preserve">Accordingly, Mr. </w:t>
      </w:r>
      <w:r w:rsidR="00C417AC" w:rsidRPr="00327FFB">
        <w:rPr>
          <w:rFonts w:ascii="Times New Roman" w:hAnsi="Times New Roman" w:cs="Times New Roman"/>
          <w:i/>
          <w:iCs/>
        </w:rPr>
        <w:t xml:space="preserve">Mpofu </w:t>
      </w:r>
      <w:r w:rsidR="00C417AC">
        <w:rPr>
          <w:rFonts w:ascii="Times New Roman" w:hAnsi="Times New Roman" w:cs="Times New Roman"/>
        </w:rPr>
        <w:t>reiterated that the applicants were precluded from severing their cases by operation of r 56 (21).</w:t>
      </w:r>
    </w:p>
    <w:p w14:paraId="2BCB4451" w14:textId="77777777" w:rsidR="00C417AC" w:rsidRDefault="00C417AC" w:rsidP="008B7063">
      <w:pPr>
        <w:pStyle w:val="Default"/>
        <w:spacing w:line="360" w:lineRule="auto"/>
        <w:jc w:val="both"/>
        <w:rPr>
          <w:rFonts w:ascii="Times New Roman" w:hAnsi="Times New Roman" w:cs="Times New Roman"/>
        </w:rPr>
      </w:pPr>
    </w:p>
    <w:p w14:paraId="1C9691B7" w14:textId="5226F656" w:rsidR="005273AC" w:rsidRDefault="00C417AC" w:rsidP="008B7063">
      <w:pPr>
        <w:pStyle w:val="Default"/>
        <w:spacing w:line="360" w:lineRule="auto"/>
        <w:jc w:val="both"/>
        <w:rPr>
          <w:rFonts w:ascii="Times New Roman" w:hAnsi="Times New Roman" w:cs="Times New Roman"/>
        </w:rPr>
      </w:pPr>
      <w:r>
        <w:rPr>
          <w:rFonts w:ascii="Times New Roman" w:hAnsi="Times New Roman" w:cs="Times New Roman"/>
        </w:rPr>
        <w:t>[2</w:t>
      </w:r>
      <w:r w:rsidR="0074082D">
        <w:rPr>
          <w:rFonts w:ascii="Times New Roman" w:hAnsi="Times New Roman" w:cs="Times New Roman"/>
        </w:rPr>
        <w:t>4</w:t>
      </w:r>
      <w:r>
        <w:rPr>
          <w:rFonts w:ascii="Times New Roman" w:hAnsi="Times New Roman" w:cs="Times New Roman"/>
        </w:rPr>
        <w:t xml:space="preserve">] Taking the baton from the court`s earlier inquiry on the impact of r 36 of the Commercial Court Rules to the present argument, </w:t>
      </w:r>
      <w:r w:rsidR="005273AC">
        <w:rPr>
          <w:rFonts w:ascii="Times New Roman" w:hAnsi="Times New Roman" w:cs="Times New Roman"/>
        </w:rPr>
        <w:t xml:space="preserve">Mr. </w:t>
      </w:r>
      <w:r w:rsidR="005273AC" w:rsidRPr="00A23A5C">
        <w:rPr>
          <w:rFonts w:ascii="Times New Roman" w:hAnsi="Times New Roman" w:cs="Times New Roman"/>
          <w:i/>
          <w:iCs/>
        </w:rPr>
        <w:t>Mpofu</w:t>
      </w:r>
      <w:r>
        <w:rPr>
          <w:rFonts w:ascii="Times New Roman" w:hAnsi="Times New Roman" w:cs="Times New Roman"/>
        </w:rPr>
        <w:t xml:space="preserve"> argued as follows</w:t>
      </w:r>
      <w:r w:rsidR="005273AC">
        <w:rPr>
          <w:rFonts w:ascii="Times New Roman" w:hAnsi="Times New Roman" w:cs="Times New Roman"/>
        </w:rPr>
        <w:t>. Each legal practitioner intending to be heard was obliged to file their own heads of argument. Herein, only one legal practitioner had done so. The result being that only one team of legal practitioners could appear and argue.</w:t>
      </w:r>
    </w:p>
    <w:p w14:paraId="5F79FE47" w14:textId="77777777" w:rsidR="00E479DC" w:rsidRDefault="00E479DC" w:rsidP="008B7063">
      <w:pPr>
        <w:pStyle w:val="Default"/>
        <w:spacing w:line="360" w:lineRule="auto"/>
        <w:jc w:val="both"/>
        <w:rPr>
          <w:rFonts w:ascii="Times New Roman" w:hAnsi="Times New Roman" w:cs="Times New Roman"/>
        </w:rPr>
      </w:pPr>
    </w:p>
    <w:p w14:paraId="76D7C1C7" w14:textId="1405E24B" w:rsidR="00C960B2" w:rsidRDefault="005273AC" w:rsidP="008B7063">
      <w:pPr>
        <w:pStyle w:val="Default"/>
        <w:spacing w:line="360" w:lineRule="auto"/>
        <w:jc w:val="both"/>
        <w:rPr>
          <w:rFonts w:ascii="Times New Roman" w:hAnsi="Times New Roman" w:cs="Times New Roman"/>
        </w:rPr>
      </w:pPr>
      <w:r>
        <w:rPr>
          <w:rFonts w:ascii="Times New Roman" w:hAnsi="Times New Roman" w:cs="Times New Roman"/>
        </w:rPr>
        <w:t xml:space="preserve"> [2</w:t>
      </w:r>
      <w:r w:rsidR="0074082D">
        <w:rPr>
          <w:rFonts w:ascii="Times New Roman" w:hAnsi="Times New Roman" w:cs="Times New Roman"/>
        </w:rPr>
        <w:t>5</w:t>
      </w:r>
      <w:r>
        <w:rPr>
          <w:rFonts w:ascii="Times New Roman" w:hAnsi="Times New Roman" w:cs="Times New Roman"/>
        </w:rPr>
        <w:t xml:space="preserve">] Mr. </w:t>
      </w:r>
      <w:r w:rsidRPr="00A23A5C">
        <w:rPr>
          <w:rFonts w:ascii="Times New Roman" w:hAnsi="Times New Roman" w:cs="Times New Roman"/>
          <w:i/>
          <w:iCs/>
        </w:rPr>
        <w:t>Mpofu</w:t>
      </w:r>
      <w:r>
        <w:rPr>
          <w:rFonts w:ascii="Times New Roman" w:hAnsi="Times New Roman" w:cs="Times New Roman"/>
        </w:rPr>
        <w:t xml:space="preserve">’s answer to Ms </w:t>
      </w:r>
      <w:r w:rsidRPr="00A23A5C">
        <w:rPr>
          <w:rFonts w:ascii="Times New Roman" w:hAnsi="Times New Roman" w:cs="Times New Roman"/>
          <w:i/>
          <w:iCs/>
        </w:rPr>
        <w:t>Mahere</w:t>
      </w:r>
      <w:r w:rsidR="00C960B2">
        <w:rPr>
          <w:rFonts w:ascii="Times New Roman" w:hAnsi="Times New Roman" w:cs="Times New Roman"/>
        </w:rPr>
        <w:t xml:space="preserve">`s argument on the constitutional right of a party to be </w:t>
      </w:r>
      <w:r w:rsidR="00192B24">
        <w:rPr>
          <w:rFonts w:ascii="Times New Roman" w:hAnsi="Times New Roman" w:cs="Times New Roman"/>
        </w:rPr>
        <w:t xml:space="preserve">heard and </w:t>
      </w:r>
      <w:r w:rsidR="00C960B2">
        <w:rPr>
          <w:rFonts w:ascii="Times New Roman" w:hAnsi="Times New Roman" w:cs="Times New Roman"/>
        </w:rPr>
        <w:t xml:space="preserve">represented by counsel of choice was fleeting. All substantive rights </w:t>
      </w:r>
      <w:r w:rsidR="004E2137">
        <w:rPr>
          <w:rFonts w:ascii="Times New Roman" w:hAnsi="Times New Roman" w:cs="Times New Roman"/>
        </w:rPr>
        <w:t xml:space="preserve">extended to, or enjoyed by a litigant under any law including the Constitution, </w:t>
      </w:r>
      <w:r w:rsidR="00C960B2">
        <w:rPr>
          <w:rFonts w:ascii="Times New Roman" w:hAnsi="Times New Roman" w:cs="Times New Roman"/>
        </w:rPr>
        <w:t xml:space="preserve">had to be </w:t>
      </w:r>
      <w:r w:rsidR="004E2137">
        <w:rPr>
          <w:rFonts w:ascii="Times New Roman" w:hAnsi="Times New Roman" w:cs="Times New Roman"/>
        </w:rPr>
        <w:t xml:space="preserve">accessed </w:t>
      </w:r>
      <w:r w:rsidR="00C960B2">
        <w:rPr>
          <w:rFonts w:ascii="Times New Roman" w:hAnsi="Times New Roman" w:cs="Times New Roman"/>
        </w:rPr>
        <w:t xml:space="preserve">via the constrictions of adjectival gateways. </w:t>
      </w:r>
      <w:r w:rsidR="004E2137">
        <w:rPr>
          <w:rFonts w:ascii="Times New Roman" w:hAnsi="Times New Roman" w:cs="Times New Roman"/>
        </w:rPr>
        <w:t>In the present matter, no</w:t>
      </w:r>
      <w:r w:rsidR="00C960B2">
        <w:rPr>
          <w:rFonts w:ascii="Times New Roman" w:hAnsi="Times New Roman" w:cs="Times New Roman"/>
        </w:rPr>
        <w:t xml:space="preserve"> right was being attenuated. The applicants were merely being invited to avoid affronting the requirements of r 56 (21).</w:t>
      </w:r>
    </w:p>
    <w:p w14:paraId="3A50B248" w14:textId="77777777" w:rsidR="00192B24" w:rsidRDefault="00192B24" w:rsidP="008B7063">
      <w:pPr>
        <w:pStyle w:val="Default"/>
        <w:spacing w:line="360" w:lineRule="auto"/>
        <w:jc w:val="both"/>
        <w:rPr>
          <w:rFonts w:ascii="Times New Roman" w:hAnsi="Times New Roman" w:cs="Times New Roman"/>
        </w:rPr>
      </w:pPr>
    </w:p>
    <w:p w14:paraId="61C05CEE" w14:textId="093BCDA7" w:rsidR="0097453F" w:rsidRDefault="00192B24" w:rsidP="008B7063">
      <w:pPr>
        <w:pStyle w:val="Default"/>
        <w:spacing w:line="360" w:lineRule="auto"/>
        <w:jc w:val="both"/>
        <w:rPr>
          <w:rFonts w:ascii="Times New Roman" w:hAnsi="Times New Roman" w:cs="Times New Roman"/>
        </w:rPr>
      </w:pPr>
      <w:r>
        <w:rPr>
          <w:rFonts w:ascii="Times New Roman" w:hAnsi="Times New Roman" w:cs="Times New Roman"/>
        </w:rPr>
        <w:t>[2</w:t>
      </w:r>
      <w:r w:rsidR="0074082D">
        <w:rPr>
          <w:rFonts w:ascii="Times New Roman" w:hAnsi="Times New Roman" w:cs="Times New Roman"/>
        </w:rPr>
        <w:t>6</w:t>
      </w:r>
      <w:r>
        <w:rPr>
          <w:rFonts w:ascii="Times New Roman" w:hAnsi="Times New Roman" w:cs="Times New Roman"/>
        </w:rPr>
        <w:t xml:space="preserve">] I invited Mr </w:t>
      </w:r>
      <w:r w:rsidRPr="00A23A5C">
        <w:rPr>
          <w:rFonts w:ascii="Times New Roman" w:hAnsi="Times New Roman" w:cs="Times New Roman"/>
          <w:i/>
          <w:iCs/>
        </w:rPr>
        <w:t>Madhuku</w:t>
      </w:r>
      <w:r>
        <w:rPr>
          <w:rFonts w:ascii="Times New Roman" w:hAnsi="Times New Roman" w:cs="Times New Roman"/>
        </w:rPr>
        <w:t xml:space="preserve"> and Ms </w:t>
      </w:r>
      <w:r w:rsidRPr="00A23A5C">
        <w:rPr>
          <w:rFonts w:ascii="Times New Roman" w:hAnsi="Times New Roman" w:cs="Times New Roman"/>
          <w:i/>
          <w:iCs/>
        </w:rPr>
        <w:t>Mahere</w:t>
      </w:r>
      <w:r>
        <w:rPr>
          <w:rFonts w:ascii="Times New Roman" w:hAnsi="Times New Roman" w:cs="Times New Roman"/>
        </w:rPr>
        <w:t xml:space="preserve"> to respond specifically to the fresh argument </w:t>
      </w:r>
      <w:r w:rsidR="004E2137">
        <w:rPr>
          <w:rFonts w:ascii="Times New Roman" w:hAnsi="Times New Roman" w:cs="Times New Roman"/>
        </w:rPr>
        <w:t xml:space="preserve">regarding the cross-reference in </w:t>
      </w:r>
      <w:r>
        <w:rPr>
          <w:rFonts w:ascii="Times New Roman" w:hAnsi="Times New Roman" w:cs="Times New Roman"/>
        </w:rPr>
        <w:t xml:space="preserve">r 53 (1) of the Commercial Court </w:t>
      </w:r>
      <w:r w:rsidR="0097453F">
        <w:rPr>
          <w:rFonts w:ascii="Times New Roman" w:hAnsi="Times New Roman" w:cs="Times New Roman"/>
        </w:rPr>
        <w:t>Rules. This</w:t>
      </w:r>
      <w:r w:rsidR="004E2137">
        <w:rPr>
          <w:rFonts w:ascii="Times New Roman" w:hAnsi="Times New Roman" w:cs="Times New Roman"/>
        </w:rPr>
        <w:t xml:space="preserve"> </w:t>
      </w:r>
      <w:r w:rsidR="0097453F">
        <w:rPr>
          <w:rFonts w:ascii="Times New Roman" w:hAnsi="Times New Roman" w:cs="Times New Roman"/>
        </w:rPr>
        <w:t>point had int</w:t>
      </w:r>
      <w:r w:rsidR="00FF5EC5">
        <w:rPr>
          <w:rFonts w:ascii="Times New Roman" w:hAnsi="Times New Roman" w:cs="Times New Roman"/>
        </w:rPr>
        <w:t xml:space="preserve">roduced a twist </w:t>
      </w:r>
      <w:r w:rsidR="0074082D">
        <w:rPr>
          <w:rFonts w:ascii="Times New Roman" w:hAnsi="Times New Roman" w:cs="Times New Roman"/>
        </w:rPr>
        <w:t>to t</w:t>
      </w:r>
      <w:r w:rsidR="00FF5EC5">
        <w:rPr>
          <w:rFonts w:ascii="Times New Roman" w:hAnsi="Times New Roman" w:cs="Times New Roman"/>
        </w:rPr>
        <w:t>he tale</w:t>
      </w:r>
      <w:r w:rsidR="0097453F">
        <w:rPr>
          <w:rFonts w:ascii="Times New Roman" w:hAnsi="Times New Roman" w:cs="Times New Roman"/>
        </w:rPr>
        <w:t xml:space="preserve">. </w:t>
      </w:r>
      <w:r w:rsidR="00FF5EC5">
        <w:rPr>
          <w:rFonts w:ascii="Times New Roman" w:hAnsi="Times New Roman" w:cs="Times New Roman"/>
        </w:rPr>
        <w:t>Mr</w:t>
      </w:r>
      <w:r w:rsidR="005B53C5">
        <w:rPr>
          <w:rFonts w:ascii="Times New Roman" w:hAnsi="Times New Roman" w:cs="Times New Roman"/>
        </w:rPr>
        <w:t>.</w:t>
      </w:r>
      <w:r w:rsidR="00FF5EC5">
        <w:rPr>
          <w:rFonts w:ascii="Times New Roman" w:hAnsi="Times New Roman" w:cs="Times New Roman"/>
        </w:rPr>
        <w:t xml:space="preserve"> </w:t>
      </w:r>
      <w:r w:rsidR="00FF5EC5" w:rsidRPr="005B53C5">
        <w:rPr>
          <w:rFonts w:ascii="Times New Roman" w:hAnsi="Times New Roman" w:cs="Times New Roman"/>
          <w:i/>
          <w:iCs/>
        </w:rPr>
        <w:t>Mpofu</w:t>
      </w:r>
      <w:r w:rsidR="0097453F">
        <w:rPr>
          <w:rFonts w:ascii="Times New Roman" w:hAnsi="Times New Roman" w:cs="Times New Roman"/>
        </w:rPr>
        <w:t xml:space="preserve"> </w:t>
      </w:r>
      <w:r w:rsidR="0074082D">
        <w:rPr>
          <w:rFonts w:ascii="Times New Roman" w:hAnsi="Times New Roman" w:cs="Times New Roman"/>
        </w:rPr>
        <w:t xml:space="preserve">had </w:t>
      </w:r>
      <w:r w:rsidR="0097453F">
        <w:rPr>
          <w:rFonts w:ascii="Times New Roman" w:hAnsi="Times New Roman" w:cs="Times New Roman"/>
        </w:rPr>
        <w:t>effectively,</w:t>
      </w:r>
      <w:r w:rsidR="00FF5EC5">
        <w:rPr>
          <w:rFonts w:ascii="Times New Roman" w:hAnsi="Times New Roman" w:cs="Times New Roman"/>
        </w:rPr>
        <w:t xml:space="preserve"> abandoned without specific concession, the </w:t>
      </w:r>
      <w:r>
        <w:rPr>
          <w:rFonts w:ascii="Times New Roman" w:hAnsi="Times New Roman" w:cs="Times New Roman"/>
        </w:rPr>
        <w:t xml:space="preserve">lacuna </w:t>
      </w:r>
      <w:r w:rsidR="00FF5EC5">
        <w:rPr>
          <w:rFonts w:ascii="Times New Roman" w:hAnsi="Times New Roman" w:cs="Times New Roman"/>
        </w:rPr>
        <w:t>argument</w:t>
      </w:r>
      <w:r w:rsidR="0097453F">
        <w:rPr>
          <w:rFonts w:ascii="Times New Roman" w:hAnsi="Times New Roman" w:cs="Times New Roman"/>
        </w:rPr>
        <w:t>,</w:t>
      </w:r>
      <w:r w:rsidR="00FF5EC5">
        <w:rPr>
          <w:rFonts w:ascii="Times New Roman" w:hAnsi="Times New Roman" w:cs="Times New Roman"/>
        </w:rPr>
        <w:t xml:space="preserve"> in favour of the direct cross-reference created by r 53.</w:t>
      </w:r>
      <w:r>
        <w:rPr>
          <w:rFonts w:ascii="Times New Roman" w:hAnsi="Times New Roman" w:cs="Times New Roman"/>
        </w:rPr>
        <w:t xml:space="preserve"> </w:t>
      </w:r>
    </w:p>
    <w:p w14:paraId="1B9A19BA" w14:textId="77777777" w:rsidR="0097453F" w:rsidRDefault="0097453F" w:rsidP="008B7063">
      <w:pPr>
        <w:pStyle w:val="Default"/>
        <w:spacing w:line="360" w:lineRule="auto"/>
        <w:jc w:val="both"/>
        <w:rPr>
          <w:rFonts w:ascii="Times New Roman" w:hAnsi="Times New Roman" w:cs="Times New Roman"/>
        </w:rPr>
      </w:pPr>
    </w:p>
    <w:p w14:paraId="65DBF9AE" w14:textId="6870E862" w:rsidR="00A23A5C" w:rsidRDefault="0097453F" w:rsidP="008B7063">
      <w:pPr>
        <w:pStyle w:val="Default"/>
        <w:spacing w:line="360" w:lineRule="auto"/>
        <w:jc w:val="both"/>
        <w:rPr>
          <w:rFonts w:ascii="Times New Roman" w:hAnsi="Times New Roman" w:cs="Times New Roman"/>
        </w:rPr>
      </w:pPr>
      <w:r>
        <w:rPr>
          <w:rFonts w:ascii="Times New Roman" w:hAnsi="Times New Roman" w:cs="Times New Roman"/>
        </w:rPr>
        <w:t>[2</w:t>
      </w:r>
      <w:r w:rsidR="0074082D">
        <w:rPr>
          <w:rFonts w:ascii="Times New Roman" w:hAnsi="Times New Roman" w:cs="Times New Roman"/>
        </w:rPr>
        <w:t>7</w:t>
      </w:r>
      <w:r>
        <w:rPr>
          <w:rFonts w:ascii="Times New Roman" w:hAnsi="Times New Roman" w:cs="Times New Roman"/>
        </w:rPr>
        <w:t xml:space="preserve">] After traversing Mr. </w:t>
      </w:r>
      <w:r w:rsidRPr="00E90E8A">
        <w:rPr>
          <w:rFonts w:ascii="Times New Roman" w:hAnsi="Times New Roman" w:cs="Times New Roman"/>
          <w:i/>
          <w:iCs/>
        </w:rPr>
        <w:t>Mpofu</w:t>
      </w:r>
      <w:r>
        <w:rPr>
          <w:rFonts w:ascii="Times New Roman" w:hAnsi="Times New Roman" w:cs="Times New Roman"/>
        </w:rPr>
        <w:t>’s points</w:t>
      </w:r>
      <w:r w:rsidR="007E1117">
        <w:rPr>
          <w:rFonts w:ascii="Times New Roman" w:hAnsi="Times New Roman" w:cs="Times New Roman"/>
        </w:rPr>
        <w:t xml:space="preserve"> in reply</w:t>
      </w:r>
      <w:r>
        <w:rPr>
          <w:rFonts w:ascii="Times New Roman" w:hAnsi="Times New Roman" w:cs="Times New Roman"/>
        </w:rPr>
        <w:t xml:space="preserve">, Mr. </w:t>
      </w:r>
      <w:r w:rsidRPr="005B53C5">
        <w:rPr>
          <w:rFonts w:ascii="Times New Roman" w:hAnsi="Times New Roman" w:cs="Times New Roman"/>
          <w:i/>
          <w:iCs/>
        </w:rPr>
        <w:t>Madhuku</w:t>
      </w:r>
      <w:r w:rsidR="0074082D">
        <w:rPr>
          <w:rFonts w:ascii="Times New Roman" w:hAnsi="Times New Roman" w:cs="Times New Roman"/>
        </w:rPr>
        <w:t xml:space="preserve"> </w:t>
      </w:r>
      <w:r w:rsidR="007E1117">
        <w:rPr>
          <w:rFonts w:ascii="Times New Roman" w:hAnsi="Times New Roman" w:cs="Times New Roman"/>
        </w:rPr>
        <w:t xml:space="preserve">concluded </w:t>
      </w:r>
      <w:r w:rsidR="0074082D">
        <w:rPr>
          <w:rFonts w:ascii="Times New Roman" w:hAnsi="Times New Roman" w:cs="Times New Roman"/>
        </w:rPr>
        <w:t xml:space="preserve">with a rather telling if not drastic argument. The Commercial Court Rules contained a fundamental defect in that they made several references to the High Court </w:t>
      </w:r>
      <w:r w:rsidR="00192B24">
        <w:rPr>
          <w:rFonts w:ascii="Times New Roman" w:hAnsi="Times New Roman" w:cs="Times New Roman"/>
        </w:rPr>
        <w:t xml:space="preserve">Rules </w:t>
      </w:r>
      <w:r w:rsidR="00FF5EC5">
        <w:rPr>
          <w:rFonts w:ascii="Times New Roman" w:hAnsi="Times New Roman" w:cs="Times New Roman"/>
        </w:rPr>
        <w:t xml:space="preserve">in the style of the </w:t>
      </w:r>
      <w:r w:rsidR="00192B24">
        <w:rPr>
          <w:rFonts w:ascii="Times New Roman" w:hAnsi="Times New Roman" w:cs="Times New Roman"/>
        </w:rPr>
        <w:t xml:space="preserve">old 1971 High Court </w:t>
      </w:r>
      <w:r w:rsidR="007E1117">
        <w:rPr>
          <w:rFonts w:ascii="Times New Roman" w:hAnsi="Times New Roman" w:cs="Times New Roman"/>
        </w:rPr>
        <w:t>Rules. Such</w:t>
      </w:r>
      <w:r w:rsidR="0074082D">
        <w:rPr>
          <w:rFonts w:ascii="Times New Roman" w:hAnsi="Times New Roman" w:cs="Times New Roman"/>
        </w:rPr>
        <w:t xml:space="preserve"> cross-ref</w:t>
      </w:r>
      <w:r w:rsidR="007E1117">
        <w:rPr>
          <w:rFonts w:ascii="Times New Roman" w:hAnsi="Times New Roman" w:cs="Times New Roman"/>
        </w:rPr>
        <w:t xml:space="preserve">erences to a set of repealed rules rendered the relevant provisions </w:t>
      </w:r>
      <w:r w:rsidR="00A23A5C">
        <w:rPr>
          <w:rFonts w:ascii="Times New Roman" w:hAnsi="Times New Roman" w:cs="Times New Roman"/>
        </w:rPr>
        <w:t>invalid</w:t>
      </w:r>
      <w:r w:rsidR="007E1117">
        <w:rPr>
          <w:rFonts w:ascii="Times New Roman" w:hAnsi="Times New Roman" w:cs="Times New Roman"/>
        </w:rPr>
        <w:t>.</w:t>
      </w:r>
      <w:r w:rsidR="00A23A5C">
        <w:rPr>
          <w:rFonts w:ascii="Times New Roman" w:hAnsi="Times New Roman" w:cs="Times New Roman"/>
        </w:rPr>
        <w:t xml:space="preserve"> Counsel’s </w:t>
      </w:r>
      <w:r w:rsidR="007E1117">
        <w:rPr>
          <w:rFonts w:ascii="Times New Roman" w:hAnsi="Times New Roman" w:cs="Times New Roman"/>
        </w:rPr>
        <w:t>train of</w:t>
      </w:r>
      <w:r w:rsidR="00A23A5C">
        <w:rPr>
          <w:rFonts w:ascii="Times New Roman" w:hAnsi="Times New Roman" w:cs="Times New Roman"/>
        </w:rPr>
        <w:t xml:space="preserve"> </w:t>
      </w:r>
      <w:r w:rsidR="007E1117">
        <w:rPr>
          <w:rFonts w:ascii="Times New Roman" w:hAnsi="Times New Roman" w:cs="Times New Roman"/>
        </w:rPr>
        <w:t xml:space="preserve">reasoning in that regard </w:t>
      </w:r>
      <w:r w:rsidR="00A23A5C">
        <w:rPr>
          <w:rFonts w:ascii="Times New Roman" w:hAnsi="Times New Roman" w:cs="Times New Roman"/>
        </w:rPr>
        <w:t>went thus; -</w:t>
      </w:r>
    </w:p>
    <w:p w14:paraId="7B67EE0B" w14:textId="7C8DC56E" w:rsidR="00C417AC" w:rsidRPr="00AE758A" w:rsidRDefault="00192B24" w:rsidP="008B7063">
      <w:pPr>
        <w:pStyle w:val="Default"/>
        <w:spacing w:line="360" w:lineRule="auto"/>
        <w:jc w:val="both"/>
        <w:rPr>
          <w:rFonts w:ascii="Times New Roman" w:hAnsi="Times New Roman" w:cs="Times New Roman"/>
        </w:rPr>
      </w:pPr>
      <w:r>
        <w:rPr>
          <w:rFonts w:ascii="Times New Roman" w:hAnsi="Times New Roman" w:cs="Times New Roman"/>
        </w:rPr>
        <w:t xml:space="preserve"> </w:t>
      </w:r>
      <w:r w:rsidR="00C960B2">
        <w:rPr>
          <w:rFonts w:ascii="Times New Roman" w:hAnsi="Times New Roman" w:cs="Times New Roman"/>
        </w:rPr>
        <w:t xml:space="preserve"> </w:t>
      </w:r>
      <w:r w:rsidR="005273AC">
        <w:rPr>
          <w:rFonts w:ascii="Times New Roman" w:hAnsi="Times New Roman" w:cs="Times New Roman"/>
        </w:rPr>
        <w:t xml:space="preserve"> </w:t>
      </w:r>
    </w:p>
    <w:p w14:paraId="3112B81C" w14:textId="07FD7A6F" w:rsidR="00E4196F" w:rsidRPr="0097453F" w:rsidRDefault="00536B7F" w:rsidP="008B7063">
      <w:pPr>
        <w:spacing w:line="360" w:lineRule="auto"/>
        <w:jc w:val="both"/>
        <w:rPr>
          <w:rFonts w:ascii="Times New Roman" w:hAnsi="Times New Roman" w:cs="Times New Roman"/>
        </w:rPr>
      </w:pPr>
      <w:r w:rsidRPr="0097453F">
        <w:rPr>
          <w:rFonts w:ascii="Times New Roman" w:hAnsi="Times New Roman" w:cs="Times New Roman"/>
        </w:rPr>
        <w:t>THE FULLER ARGUMENTS ON THE STATUTORY INTERPRETATION TECHNIQUE OF “READING IN”</w:t>
      </w:r>
    </w:p>
    <w:p w14:paraId="0B1B23EE" w14:textId="3CA17DB3" w:rsidR="00FF5EC5" w:rsidRDefault="00536B7F" w:rsidP="008B7063">
      <w:pPr>
        <w:spacing w:line="360" w:lineRule="auto"/>
        <w:jc w:val="both"/>
        <w:rPr>
          <w:rFonts w:ascii="Times New Roman" w:hAnsi="Times New Roman" w:cs="Times New Roman"/>
          <w:sz w:val="24"/>
          <w:szCs w:val="24"/>
        </w:rPr>
      </w:pPr>
      <w:r w:rsidRPr="00536B7F">
        <w:rPr>
          <w:rFonts w:ascii="Times New Roman" w:hAnsi="Times New Roman" w:cs="Times New Roman"/>
          <w:sz w:val="24"/>
          <w:szCs w:val="24"/>
        </w:rPr>
        <w:t>[2</w:t>
      </w:r>
      <w:r w:rsidR="0074082D">
        <w:rPr>
          <w:rFonts w:ascii="Times New Roman" w:hAnsi="Times New Roman" w:cs="Times New Roman"/>
          <w:sz w:val="24"/>
          <w:szCs w:val="24"/>
        </w:rPr>
        <w:t>8</w:t>
      </w:r>
      <w:r w:rsidRPr="00536B7F">
        <w:rPr>
          <w:rFonts w:ascii="Times New Roman" w:hAnsi="Times New Roman" w:cs="Times New Roman"/>
          <w:sz w:val="24"/>
          <w:szCs w:val="24"/>
        </w:rPr>
        <w:t xml:space="preserve">] First, Mr. </w:t>
      </w:r>
      <w:r w:rsidRPr="00327FFB">
        <w:rPr>
          <w:rFonts w:ascii="Times New Roman" w:hAnsi="Times New Roman" w:cs="Times New Roman"/>
          <w:i/>
          <w:iCs/>
          <w:sz w:val="24"/>
          <w:szCs w:val="24"/>
        </w:rPr>
        <w:t>Madhuku</w:t>
      </w:r>
      <w:r w:rsidRPr="00536B7F">
        <w:rPr>
          <w:rFonts w:ascii="Times New Roman" w:hAnsi="Times New Roman" w:cs="Times New Roman"/>
          <w:sz w:val="24"/>
          <w:szCs w:val="24"/>
        </w:rPr>
        <w:t xml:space="preserve"> disputed the application of r 53 (1) of the Commercial Court Rules to the matter at hand. Rule 53 dealt with </w:t>
      </w:r>
      <w:r w:rsidRPr="00536B7F">
        <w:rPr>
          <w:rFonts w:ascii="Times New Roman" w:hAnsi="Times New Roman" w:cs="Times New Roman"/>
          <w:sz w:val="24"/>
          <w:szCs w:val="24"/>
          <w:u w:val="single"/>
        </w:rPr>
        <w:t>“Conduct of hearing, postponements and adjournments</w:t>
      </w:r>
      <w:r w:rsidR="00327FFB" w:rsidRPr="00536B7F">
        <w:rPr>
          <w:rFonts w:ascii="Times New Roman" w:hAnsi="Times New Roman" w:cs="Times New Roman"/>
          <w:sz w:val="24"/>
          <w:szCs w:val="24"/>
          <w:u w:val="single"/>
        </w:rPr>
        <w:t>”</w:t>
      </w:r>
      <w:r w:rsidR="00327FFB">
        <w:rPr>
          <w:rFonts w:ascii="Times New Roman" w:hAnsi="Times New Roman" w:cs="Times New Roman"/>
          <w:sz w:val="24"/>
          <w:szCs w:val="24"/>
          <w:u w:val="single"/>
        </w:rPr>
        <w:t>.</w:t>
      </w:r>
      <w:r>
        <w:rPr>
          <w:rFonts w:ascii="Times New Roman" w:hAnsi="Times New Roman" w:cs="Times New Roman"/>
          <w:sz w:val="24"/>
          <w:szCs w:val="24"/>
        </w:rPr>
        <w:t xml:space="preserve"> </w:t>
      </w:r>
      <w:r w:rsidR="005416C6">
        <w:rPr>
          <w:rFonts w:ascii="Times New Roman" w:hAnsi="Times New Roman" w:cs="Times New Roman"/>
          <w:sz w:val="24"/>
          <w:szCs w:val="24"/>
        </w:rPr>
        <w:t>Properly construed, the term “h</w:t>
      </w:r>
      <w:r>
        <w:rPr>
          <w:rFonts w:ascii="Times New Roman" w:hAnsi="Times New Roman" w:cs="Times New Roman"/>
          <w:sz w:val="24"/>
          <w:szCs w:val="24"/>
        </w:rPr>
        <w:t>earings</w:t>
      </w:r>
      <w:r w:rsidR="005416C6">
        <w:rPr>
          <w:rFonts w:ascii="Times New Roman" w:hAnsi="Times New Roman" w:cs="Times New Roman"/>
          <w:sz w:val="24"/>
          <w:szCs w:val="24"/>
        </w:rPr>
        <w:t>”</w:t>
      </w:r>
      <w:r>
        <w:rPr>
          <w:rFonts w:ascii="Times New Roman" w:hAnsi="Times New Roman" w:cs="Times New Roman"/>
          <w:sz w:val="24"/>
          <w:szCs w:val="24"/>
        </w:rPr>
        <w:t xml:space="preserve"> referred “common-sensically” to </w:t>
      </w:r>
      <w:r w:rsidR="00327FFB">
        <w:rPr>
          <w:rFonts w:ascii="Times New Roman" w:hAnsi="Times New Roman" w:cs="Times New Roman"/>
          <w:sz w:val="24"/>
          <w:szCs w:val="24"/>
        </w:rPr>
        <w:t xml:space="preserve">civil </w:t>
      </w:r>
      <w:r>
        <w:rPr>
          <w:rFonts w:ascii="Times New Roman" w:hAnsi="Times New Roman" w:cs="Times New Roman"/>
          <w:sz w:val="24"/>
          <w:szCs w:val="24"/>
        </w:rPr>
        <w:t>tr</w:t>
      </w:r>
      <w:r w:rsidR="00327FFB">
        <w:rPr>
          <w:rFonts w:ascii="Times New Roman" w:hAnsi="Times New Roman" w:cs="Times New Roman"/>
          <w:sz w:val="24"/>
          <w:szCs w:val="24"/>
        </w:rPr>
        <w:t xml:space="preserve">ials in the Commercial Court. A purposive and contextual interpretation of r 53 </w:t>
      </w:r>
      <w:r w:rsidR="0051647B">
        <w:rPr>
          <w:rFonts w:ascii="Times New Roman" w:hAnsi="Times New Roman" w:cs="Times New Roman"/>
          <w:sz w:val="24"/>
          <w:szCs w:val="24"/>
        </w:rPr>
        <w:t xml:space="preserve">disclosed that the receipt </w:t>
      </w:r>
      <w:r w:rsidR="0051647B">
        <w:rPr>
          <w:rFonts w:ascii="Times New Roman" w:hAnsi="Times New Roman" w:cs="Times New Roman"/>
          <w:sz w:val="24"/>
          <w:szCs w:val="24"/>
        </w:rPr>
        <w:lastRenderedPageBreak/>
        <w:t xml:space="preserve">by a court of legal argument in motion proceedings could not be elevated to the status of </w:t>
      </w:r>
      <w:r w:rsidR="00F63F61">
        <w:rPr>
          <w:rFonts w:ascii="Times New Roman" w:hAnsi="Times New Roman" w:cs="Times New Roman"/>
          <w:sz w:val="24"/>
          <w:szCs w:val="24"/>
        </w:rPr>
        <w:t xml:space="preserve">a </w:t>
      </w:r>
      <w:r w:rsidR="0051647B">
        <w:rPr>
          <w:rFonts w:ascii="Times New Roman" w:hAnsi="Times New Roman" w:cs="Times New Roman"/>
          <w:sz w:val="24"/>
          <w:szCs w:val="24"/>
        </w:rPr>
        <w:t xml:space="preserve">hearing. </w:t>
      </w:r>
    </w:p>
    <w:p w14:paraId="38DE35E0" w14:textId="008A94E5" w:rsidR="007E1117" w:rsidRPr="007E1117" w:rsidRDefault="00FF5EC5" w:rsidP="008B7063">
      <w:pPr>
        <w:spacing w:line="360" w:lineRule="auto"/>
        <w:jc w:val="both"/>
        <w:rPr>
          <w:rFonts w:ascii="Times New Roman" w:hAnsi="Times New Roman" w:cs="Times New Roman"/>
          <w:sz w:val="24"/>
          <w:szCs w:val="24"/>
        </w:rPr>
      </w:pPr>
      <w:r w:rsidRPr="007E1117">
        <w:rPr>
          <w:rFonts w:ascii="Times New Roman" w:hAnsi="Times New Roman" w:cs="Times New Roman"/>
          <w:sz w:val="24"/>
          <w:szCs w:val="24"/>
        </w:rPr>
        <w:t>[2</w:t>
      </w:r>
      <w:r w:rsidR="007E1117">
        <w:rPr>
          <w:rFonts w:ascii="Times New Roman" w:hAnsi="Times New Roman" w:cs="Times New Roman"/>
          <w:sz w:val="24"/>
          <w:szCs w:val="24"/>
        </w:rPr>
        <w:t>9</w:t>
      </w:r>
      <w:r w:rsidRPr="007E1117">
        <w:rPr>
          <w:rFonts w:ascii="Times New Roman" w:hAnsi="Times New Roman" w:cs="Times New Roman"/>
          <w:sz w:val="24"/>
          <w:szCs w:val="24"/>
        </w:rPr>
        <w:t xml:space="preserve">] </w:t>
      </w:r>
      <w:r w:rsidR="0051647B" w:rsidRPr="007E1117">
        <w:rPr>
          <w:rFonts w:ascii="Times New Roman" w:hAnsi="Times New Roman" w:cs="Times New Roman"/>
          <w:sz w:val="24"/>
          <w:szCs w:val="24"/>
        </w:rPr>
        <w:t>Secondly, counsel went so bold as to declare</w:t>
      </w:r>
      <w:r w:rsidR="00C36CC5" w:rsidRPr="007E1117">
        <w:rPr>
          <w:rFonts w:ascii="Times New Roman" w:hAnsi="Times New Roman" w:cs="Times New Roman"/>
          <w:sz w:val="24"/>
          <w:szCs w:val="24"/>
        </w:rPr>
        <w:t xml:space="preserve">, with uncharacteristic vehemence, </w:t>
      </w:r>
      <w:r w:rsidR="00753B35" w:rsidRPr="007E1117">
        <w:rPr>
          <w:rFonts w:ascii="Times New Roman" w:hAnsi="Times New Roman" w:cs="Times New Roman"/>
          <w:sz w:val="24"/>
          <w:szCs w:val="24"/>
        </w:rPr>
        <w:t>that Mr.</w:t>
      </w:r>
      <w:r w:rsidR="0051647B" w:rsidRPr="007E1117">
        <w:rPr>
          <w:rFonts w:ascii="Times New Roman" w:hAnsi="Times New Roman" w:cs="Times New Roman"/>
          <w:sz w:val="24"/>
          <w:szCs w:val="24"/>
        </w:rPr>
        <w:t xml:space="preserve"> </w:t>
      </w:r>
      <w:r w:rsidR="0051647B" w:rsidRPr="007E1117">
        <w:rPr>
          <w:rFonts w:ascii="Times New Roman" w:hAnsi="Times New Roman" w:cs="Times New Roman"/>
          <w:i/>
          <w:iCs/>
          <w:sz w:val="24"/>
          <w:szCs w:val="24"/>
        </w:rPr>
        <w:t>Mpofu</w:t>
      </w:r>
      <w:r w:rsidR="0051647B" w:rsidRPr="007E1117">
        <w:rPr>
          <w:rFonts w:ascii="Times New Roman" w:hAnsi="Times New Roman" w:cs="Times New Roman"/>
          <w:sz w:val="24"/>
          <w:szCs w:val="24"/>
        </w:rPr>
        <w:t xml:space="preserve">’s submissions </w:t>
      </w:r>
      <w:r w:rsidR="00753B35" w:rsidRPr="007E1117">
        <w:rPr>
          <w:rFonts w:ascii="Times New Roman" w:hAnsi="Times New Roman" w:cs="Times New Roman"/>
          <w:sz w:val="24"/>
          <w:szCs w:val="24"/>
        </w:rPr>
        <w:t xml:space="preserve">amounted to a “dangerous” </w:t>
      </w:r>
      <w:r w:rsidR="0051647B" w:rsidRPr="007E1117">
        <w:rPr>
          <w:rFonts w:ascii="Times New Roman" w:hAnsi="Times New Roman" w:cs="Times New Roman"/>
          <w:sz w:val="24"/>
          <w:szCs w:val="24"/>
        </w:rPr>
        <w:t xml:space="preserve">invitation for the court to rewrite the rules! For the reason that r 53 of the Commercial Court Rules did not in any manner, cross reference </w:t>
      </w:r>
      <w:r w:rsidR="005416C6" w:rsidRPr="007E1117">
        <w:rPr>
          <w:rFonts w:ascii="Times New Roman" w:hAnsi="Times New Roman" w:cs="Times New Roman"/>
          <w:sz w:val="24"/>
          <w:szCs w:val="24"/>
        </w:rPr>
        <w:t>to r 56</w:t>
      </w:r>
      <w:r w:rsidR="007E1117" w:rsidRPr="007E1117">
        <w:rPr>
          <w:rFonts w:ascii="Times New Roman" w:hAnsi="Times New Roman" w:cs="Times New Roman"/>
          <w:sz w:val="24"/>
          <w:szCs w:val="24"/>
        </w:rPr>
        <w:t xml:space="preserve"> (21) of the High Court Rules but the offending Order 49</w:t>
      </w:r>
      <w:r w:rsidR="005416C6" w:rsidRPr="007E1117">
        <w:rPr>
          <w:rFonts w:ascii="Times New Roman" w:hAnsi="Times New Roman" w:cs="Times New Roman"/>
          <w:sz w:val="24"/>
          <w:szCs w:val="24"/>
        </w:rPr>
        <w:t xml:space="preserve">. The error in r 53 went beyond a mere typographical </w:t>
      </w:r>
      <w:r w:rsidR="005B53C5" w:rsidRPr="007E1117">
        <w:rPr>
          <w:rFonts w:ascii="Times New Roman" w:hAnsi="Times New Roman" w:cs="Times New Roman"/>
          <w:sz w:val="24"/>
          <w:szCs w:val="24"/>
        </w:rPr>
        <w:t xml:space="preserve">error. </w:t>
      </w:r>
    </w:p>
    <w:p w14:paraId="6F10D4A1" w14:textId="2D81DE8E" w:rsidR="005416C6" w:rsidRPr="002E2852" w:rsidRDefault="007E1117" w:rsidP="002E28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Pr="007E1117">
        <w:rPr>
          <w:rFonts w:ascii="Times New Roman" w:hAnsi="Times New Roman" w:cs="Times New Roman"/>
          <w:sz w:val="24"/>
          <w:szCs w:val="24"/>
        </w:rPr>
        <w:t>The anomaly constituted an incurable defect which the handy principle of reading-in could not remedy. The offending portions had to be expunged, he submitted. R</w:t>
      </w:r>
      <w:r w:rsidR="00753B35" w:rsidRPr="007E1117">
        <w:rPr>
          <w:rFonts w:ascii="Times New Roman" w:hAnsi="Times New Roman" w:cs="Times New Roman"/>
          <w:sz w:val="24"/>
          <w:szCs w:val="24"/>
        </w:rPr>
        <w:t>eference in the Commercial Court Rules in the old 1971 High Court Rules format constituted glaring inconsistencies which only the draftsman could rectify.</w:t>
      </w:r>
      <w:r w:rsidR="005416C6" w:rsidRPr="005416C6">
        <w:rPr>
          <w:rFonts w:ascii="Times New Roman" w:hAnsi="Times New Roman" w:cs="Times New Roman"/>
        </w:rPr>
        <w:t xml:space="preserve"> Counsel referred in that regard to </w:t>
      </w:r>
      <w:r w:rsidR="005416C6" w:rsidRPr="005416C6">
        <w:rPr>
          <w:rFonts w:ascii="Times New Roman" w:hAnsi="Times New Roman" w:cs="Times New Roman"/>
          <w:i/>
          <w:iCs/>
        </w:rPr>
        <w:t>ZLHR v Minister of Transport &amp; Ors</w:t>
      </w:r>
      <w:r w:rsidR="005416C6" w:rsidRPr="005416C6">
        <w:rPr>
          <w:rFonts w:ascii="Times New Roman" w:hAnsi="Times New Roman" w:cs="Times New Roman"/>
        </w:rPr>
        <w:t xml:space="preserve"> 2014 (2) ZLR 44(H) at 57D-58A </w:t>
      </w:r>
      <w:r w:rsidR="005416C6" w:rsidRPr="002E2852">
        <w:rPr>
          <w:rFonts w:ascii="Times New Roman" w:hAnsi="Times New Roman" w:cs="Times New Roman"/>
          <w:sz w:val="24"/>
          <w:szCs w:val="24"/>
        </w:rPr>
        <w:t xml:space="preserve">and </w:t>
      </w:r>
      <w:r w:rsidR="005416C6" w:rsidRPr="002E2852">
        <w:rPr>
          <w:rFonts w:ascii="Times New Roman" w:hAnsi="Times New Roman" w:cs="Times New Roman"/>
          <w:i/>
          <w:iCs/>
          <w:sz w:val="24"/>
          <w:szCs w:val="24"/>
        </w:rPr>
        <w:t>S v Nathoo Supermarket (Pvt) Ltd</w:t>
      </w:r>
      <w:r w:rsidR="005416C6" w:rsidRPr="002E2852">
        <w:rPr>
          <w:rFonts w:ascii="Times New Roman" w:hAnsi="Times New Roman" w:cs="Times New Roman"/>
          <w:sz w:val="24"/>
          <w:szCs w:val="24"/>
        </w:rPr>
        <w:t xml:space="preserve"> 1987(2) ZLR 136(S) at 139G-140F.</w:t>
      </w:r>
    </w:p>
    <w:p w14:paraId="42AEFF0E" w14:textId="77777777" w:rsidR="005416C6" w:rsidRDefault="005416C6" w:rsidP="005416C6">
      <w:pPr>
        <w:pStyle w:val="Default"/>
        <w:spacing w:line="360" w:lineRule="auto"/>
        <w:jc w:val="both"/>
        <w:rPr>
          <w:rFonts w:ascii="Times New Roman" w:hAnsi="Times New Roman" w:cs="Times New Roman"/>
        </w:rPr>
      </w:pPr>
    </w:p>
    <w:p w14:paraId="76B6DDD0" w14:textId="44241F55" w:rsidR="0097453F" w:rsidRDefault="005416C6" w:rsidP="005416C6">
      <w:pPr>
        <w:pStyle w:val="Default"/>
        <w:spacing w:line="360" w:lineRule="auto"/>
        <w:jc w:val="both"/>
        <w:rPr>
          <w:rFonts w:ascii="Times New Roman" w:hAnsi="Times New Roman" w:cs="Times New Roman"/>
        </w:rPr>
      </w:pPr>
      <w:r>
        <w:rPr>
          <w:rFonts w:ascii="Times New Roman" w:hAnsi="Times New Roman" w:cs="Times New Roman"/>
        </w:rPr>
        <w:t>[</w:t>
      </w:r>
      <w:r w:rsidR="00E90E8A">
        <w:rPr>
          <w:rFonts w:ascii="Times New Roman" w:hAnsi="Times New Roman" w:cs="Times New Roman"/>
        </w:rPr>
        <w:t>3</w:t>
      </w:r>
      <w:r w:rsidR="002E2852">
        <w:rPr>
          <w:rFonts w:ascii="Times New Roman" w:hAnsi="Times New Roman" w:cs="Times New Roman"/>
        </w:rPr>
        <w:t>1</w:t>
      </w:r>
      <w:r>
        <w:rPr>
          <w:rFonts w:ascii="Times New Roman" w:hAnsi="Times New Roman" w:cs="Times New Roman"/>
        </w:rPr>
        <w:t xml:space="preserve">] Ms </w:t>
      </w:r>
      <w:r w:rsidRPr="00753B35">
        <w:rPr>
          <w:rFonts w:ascii="Times New Roman" w:hAnsi="Times New Roman" w:cs="Times New Roman"/>
          <w:i/>
          <w:iCs/>
        </w:rPr>
        <w:t>Mahere`</w:t>
      </w:r>
      <w:r>
        <w:rPr>
          <w:rFonts w:ascii="Times New Roman" w:hAnsi="Times New Roman" w:cs="Times New Roman"/>
        </w:rPr>
        <w:t xml:space="preserve">s response was to draw the court`s attention to the proviso to r 53 of the Commercial Court Rules as a clear suggestion that the rule contemplates trial rather than motion proceedings. </w:t>
      </w:r>
      <w:r w:rsidR="00517D7F">
        <w:rPr>
          <w:rFonts w:ascii="Times New Roman" w:hAnsi="Times New Roman" w:cs="Times New Roman"/>
        </w:rPr>
        <w:t>It made reference to witness, a concept associated with trials. If the framers of the Commercial Court Rules meant r 53 to refer specifically to r 56 of the High Court Rules or even r 442 of Order 49, they would have clearly said so.</w:t>
      </w:r>
    </w:p>
    <w:p w14:paraId="22D5AF0F" w14:textId="77777777" w:rsidR="0097453F" w:rsidRDefault="0097453F" w:rsidP="005416C6">
      <w:pPr>
        <w:pStyle w:val="Default"/>
        <w:spacing w:line="360" w:lineRule="auto"/>
        <w:jc w:val="both"/>
        <w:rPr>
          <w:rFonts w:ascii="Times New Roman" w:hAnsi="Times New Roman" w:cs="Times New Roman"/>
        </w:rPr>
      </w:pPr>
    </w:p>
    <w:p w14:paraId="357A794A" w14:textId="4887C2EA" w:rsidR="00517D7F" w:rsidRDefault="0097453F" w:rsidP="005416C6">
      <w:pPr>
        <w:pStyle w:val="Default"/>
        <w:spacing w:line="360" w:lineRule="auto"/>
        <w:jc w:val="both"/>
        <w:rPr>
          <w:rFonts w:ascii="Times New Roman" w:hAnsi="Times New Roman" w:cs="Times New Roman"/>
        </w:rPr>
      </w:pPr>
      <w:r>
        <w:rPr>
          <w:rFonts w:ascii="Times New Roman" w:hAnsi="Times New Roman" w:cs="Times New Roman"/>
        </w:rPr>
        <w:t>[3</w:t>
      </w:r>
      <w:r w:rsidR="002E2852">
        <w:rPr>
          <w:rFonts w:ascii="Times New Roman" w:hAnsi="Times New Roman" w:cs="Times New Roman"/>
        </w:rPr>
        <w:t>2</w:t>
      </w:r>
      <w:r>
        <w:rPr>
          <w:rFonts w:ascii="Times New Roman" w:hAnsi="Times New Roman" w:cs="Times New Roman"/>
        </w:rPr>
        <w:t>] One</w:t>
      </w:r>
      <w:r w:rsidR="00517D7F">
        <w:rPr>
          <w:rFonts w:ascii="Times New Roman" w:hAnsi="Times New Roman" w:cs="Times New Roman"/>
        </w:rPr>
        <w:t xml:space="preserve"> was obliged, in dealing with this matter, to consider the mischief behind r 56 (21</w:t>
      </w:r>
      <w:r w:rsidR="00414C7A">
        <w:rPr>
          <w:rFonts w:ascii="Times New Roman" w:hAnsi="Times New Roman" w:cs="Times New Roman"/>
        </w:rPr>
        <w:t>); -</w:t>
      </w:r>
      <w:r w:rsidR="00517D7F">
        <w:rPr>
          <w:rFonts w:ascii="Times New Roman" w:hAnsi="Times New Roman" w:cs="Times New Roman"/>
        </w:rPr>
        <w:t xml:space="preserve"> the need to avoid multiple layers of cross examination or the possibility of leading questions and such matters. Herein, all that the two applicants intended to do was each to argue their point minus departure from their cases.</w:t>
      </w:r>
    </w:p>
    <w:p w14:paraId="2CA8C208" w14:textId="77777777" w:rsidR="00517D7F" w:rsidRDefault="00517D7F" w:rsidP="005416C6">
      <w:pPr>
        <w:pStyle w:val="Default"/>
        <w:spacing w:line="360" w:lineRule="auto"/>
        <w:jc w:val="both"/>
        <w:rPr>
          <w:rFonts w:ascii="Times New Roman" w:hAnsi="Times New Roman" w:cs="Times New Roman"/>
        </w:rPr>
      </w:pPr>
    </w:p>
    <w:p w14:paraId="0EC9178C" w14:textId="2373A81E" w:rsidR="005416C6" w:rsidRDefault="00517D7F" w:rsidP="005416C6">
      <w:pPr>
        <w:pStyle w:val="Default"/>
        <w:spacing w:line="360" w:lineRule="auto"/>
        <w:jc w:val="both"/>
        <w:rPr>
          <w:rFonts w:ascii="Times New Roman" w:hAnsi="Times New Roman" w:cs="Times New Roman"/>
        </w:rPr>
      </w:pPr>
      <w:r>
        <w:rPr>
          <w:rFonts w:ascii="Times New Roman" w:hAnsi="Times New Roman" w:cs="Times New Roman"/>
        </w:rPr>
        <w:t>[</w:t>
      </w:r>
      <w:r w:rsidR="0097453F">
        <w:rPr>
          <w:rFonts w:ascii="Times New Roman" w:hAnsi="Times New Roman" w:cs="Times New Roman"/>
        </w:rPr>
        <w:t>3</w:t>
      </w:r>
      <w:r w:rsidR="002E2852">
        <w:rPr>
          <w:rFonts w:ascii="Times New Roman" w:hAnsi="Times New Roman" w:cs="Times New Roman"/>
        </w:rPr>
        <w:t>3</w:t>
      </w:r>
      <w:r>
        <w:rPr>
          <w:rFonts w:ascii="Times New Roman" w:hAnsi="Times New Roman" w:cs="Times New Roman"/>
        </w:rPr>
        <w:t xml:space="preserve">] Mr </w:t>
      </w:r>
      <w:r w:rsidRPr="0097453F">
        <w:rPr>
          <w:rFonts w:ascii="Times New Roman" w:hAnsi="Times New Roman" w:cs="Times New Roman"/>
          <w:i/>
          <w:iCs/>
        </w:rPr>
        <w:t>Mpofu</w:t>
      </w:r>
      <w:r>
        <w:rPr>
          <w:rFonts w:ascii="Times New Roman" w:hAnsi="Times New Roman" w:cs="Times New Roman"/>
        </w:rPr>
        <w:t xml:space="preserve"> </w:t>
      </w:r>
      <w:r w:rsidR="00AA36B1">
        <w:rPr>
          <w:rFonts w:ascii="Times New Roman" w:hAnsi="Times New Roman" w:cs="Times New Roman"/>
        </w:rPr>
        <w:t>in reply on the point that all that the court needed to do was establish if indeed what was before the court qualified as a hearing. If so</w:t>
      </w:r>
      <w:r w:rsidR="001D54C4">
        <w:rPr>
          <w:rFonts w:ascii="Times New Roman" w:hAnsi="Times New Roman" w:cs="Times New Roman"/>
        </w:rPr>
        <w:t>,</w:t>
      </w:r>
      <w:r w:rsidR="00AA36B1">
        <w:rPr>
          <w:rFonts w:ascii="Times New Roman" w:hAnsi="Times New Roman" w:cs="Times New Roman"/>
        </w:rPr>
        <w:t xml:space="preserve"> then r 53 (1) applied. Secondly </w:t>
      </w:r>
      <w:r w:rsidR="0097453F">
        <w:rPr>
          <w:rFonts w:ascii="Times New Roman" w:hAnsi="Times New Roman" w:cs="Times New Roman"/>
        </w:rPr>
        <w:t>the fact</w:t>
      </w:r>
      <w:r>
        <w:rPr>
          <w:rFonts w:ascii="Times New Roman" w:hAnsi="Times New Roman" w:cs="Times New Roman"/>
        </w:rPr>
        <w:t xml:space="preserve"> that r 53 (1) referred to a non-existent </w:t>
      </w:r>
      <w:r w:rsidR="00AA36B1">
        <w:rPr>
          <w:rFonts w:ascii="Times New Roman" w:hAnsi="Times New Roman" w:cs="Times New Roman"/>
        </w:rPr>
        <w:t xml:space="preserve">rule 445 of Order 49 clearly exposed its meaningless nature. </w:t>
      </w:r>
      <w:r w:rsidR="0097453F">
        <w:rPr>
          <w:rFonts w:ascii="Times New Roman" w:hAnsi="Times New Roman" w:cs="Times New Roman"/>
        </w:rPr>
        <w:t xml:space="preserve">That in addition to the fact that </w:t>
      </w:r>
      <w:r w:rsidR="00AA36B1">
        <w:rPr>
          <w:rFonts w:ascii="Times New Roman" w:hAnsi="Times New Roman" w:cs="Times New Roman"/>
        </w:rPr>
        <w:t xml:space="preserve">Order 49 </w:t>
      </w:r>
      <w:r w:rsidR="0097453F">
        <w:rPr>
          <w:rFonts w:ascii="Times New Roman" w:hAnsi="Times New Roman" w:cs="Times New Roman"/>
        </w:rPr>
        <w:t>carried no rule which regulated he</w:t>
      </w:r>
      <w:r w:rsidR="00AA36B1">
        <w:rPr>
          <w:rFonts w:ascii="Times New Roman" w:hAnsi="Times New Roman" w:cs="Times New Roman"/>
        </w:rPr>
        <w:t>arings</w:t>
      </w:r>
      <w:r w:rsidR="0097453F">
        <w:rPr>
          <w:rFonts w:ascii="Times New Roman" w:hAnsi="Times New Roman" w:cs="Times New Roman"/>
        </w:rPr>
        <w:t xml:space="preserve"> constituted a further anomaly which justified a reading-in by the court to infuse sense into the rules</w:t>
      </w:r>
      <w:r w:rsidR="00AA36B1">
        <w:rPr>
          <w:rFonts w:ascii="Times New Roman" w:hAnsi="Times New Roman" w:cs="Times New Roman"/>
        </w:rPr>
        <w:t>.</w:t>
      </w:r>
    </w:p>
    <w:p w14:paraId="22B71365" w14:textId="77777777" w:rsidR="0097453F" w:rsidRDefault="0097453F" w:rsidP="005416C6">
      <w:pPr>
        <w:pStyle w:val="Default"/>
        <w:spacing w:line="360" w:lineRule="auto"/>
        <w:jc w:val="both"/>
        <w:rPr>
          <w:rFonts w:ascii="Times New Roman" w:hAnsi="Times New Roman" w:cs="Times New Roman"/>
        </w:rPr>
      </w:pPr>
    </w:p>
    <w:p w14:paraId="3247F7CA" w14:textId="18CCC75D" w:rsidR="0097453F" w:rsidRDefault="0097453F" w:rsidP="005416C6">
      <w:pPr>
        <w:pStyle w:val="Default"/>
        <w:spacing w:line="360" w:lineRule="auto"/>
        <w:jc w:val="both"/>
        <w:rPr>
          <w:rFonts w:ascii="Times New Roman" w:hAnsi="Times New Roman" w:cs="Times New Roman"/>
        </w:rPr>
      </w:pPr>
      <w:r>
        <w:rPr>
          <w:rFonts w:ascii="Times New Roman" w:hAnsi="Times New Roman" w:cs="Times New Roman"/>
        </w:rPr>
        <w:lastRenderedPageBreak/>
        <w:t>[3</w:t>
      </w:r>
      <w:r w:rsidR="002E2852">
        <w:rPr>
          <w:rFonts w:ascii="Times New Roman" w:hAnsi="Times New Roman" w:cs="Times New Roman"/>
        </w:rPr>
        <w:t>4</w:t>
      </w:r>
      <w:r>
        <w:rPr>
          <w:rFonts w:ascii="Times New Roman" w:hAnsi="Times New Roman" w:cs="Times New Roman"/>
        </w:rPr>
        <w:t xml:space="preserve">] Mr. </w:t>
      </w:r>
      <w:r w:rsidRPr="00753B35">
        <w:rPr>
          <w:rFonts w:ascii="Times New Roman" w:hAnsi="Times New Roman" w:cs="Times New Roman"/>
          <w:i/>
          <w:iCs/>
        </w:rPr>
        <w:t>Mpofu</w:t>
      </w:r>
      <w:r>
        <w:rPr>
          <w:rFonts w:ascii="Times New Roman" w:hAnsi="Times New Roman" w:cs="Times New Roman"/>
        </w:rPr>
        <w:t>’s final leap at the fire dance w</w:t>
      </w:r>
      <w:r w:rsidR="00C36CC5">
        <w:rPr>
          <w:rFonts w:ascii="Times New Roman" w:hAnsi="Times New Roman" w:cs="Times New Roman"/>
        </w:rPr>
        <w:t>ent thus; -</w:t>
      </w:r>
      <w:r>
        <w:rPr>
          <w:rFonts w:ascii="Times New Roman" w:hAnsi="Times New Roman" w:cs="Times New Roman"/>
        </w:rPr>
        <w:t xml:space="preserve"> as a general rule, courts </w:t>
      </w:r>
      <w:r w:rsidR="00C36CC5">
        <w:rPr>
          <w:rFonts w:ascii="Times New Roman" w:hAnsi="Times New Roman" w:cs="Times New Roman"/>
        </w:rPr>
        <w:t>could, under limited circumstances and in exercise of proper discretion,</w:t>
      </w:r>
      <w:r w:rsidR="00C36CC5" w:rsidRPr="00C36CC5">
        <w:rPr>
          <w:rFonts w:ascii="Times New Roman" w:hAnsi="Times New Roman" w:cs="Times New Roman"/>
        </w:rPr>
        <w:t xml:space="preserve"> </w:t>
      </w:r>
      <w:r w:rsidR="00C36CC5">
        <w:rPr>
          <w:rFonts w:ascii="Times New Roman" w:hAnsi="Times New Roman" w:cs="Times New Roman"/>
        </w:rPr>
        <w:t xml:space="preserve">rewrite statutes. The main purpose being to give effect to the reverend wish of the legislature. If courts could in that respect, adjust Acts of Parliament for good effect, then why not their own set of rules meant to rationalise the adjudication of matters </w:t>
      </w:r>
      <w:r w:rsidR="001D54C4">
        <w:rPr>
          <w:rFonts w:ascii="Times New Roman" w:hAnsi="Times New Roman" w:cs="Times New Roman"/>
        </w:rPr>
        <w:t xml:space="preserve">before </w:t>
      </w:r>
      <w:r w:rsidR="00C36CC5">
        <w:rPr>
          <w:rFonts w:ascii="Times New Roman" w:hAnsi="Times New Roman" w:cs="Times New Roman"/>
        </w:rPr>
        <w:t xml:space="preserve">the courts? </w:t>
      </w:r>
    </w:p>
    <w:p w14:paraId="20768F63" w14:textId="77777777" w:rsidR="00517D7F" w:rsidRDefault="00517D7F" w:rsidP="005416C6">
      <w:pPr>
        <w:pStyle w:val="Default"/>
        <w:spacing w:line="360" w:lineRule="auto"/>
        <w:jc w:val="both"/>
        <w:rPr>
          <w:rFonts w:ascii="Times New Roman" w:hAnsi="Times New Roman" w:cs="Times New Roman"/>
        </w:rPr>
      </w:pPr>
    </w:p>
    <w:p w14:paraId="3E78AA96" w14:textId="6B83A0D8" w:rsidR="00517D7F" w:rsidRPr="00A40190" w:rsidRDefault="00517D7F" w:rsidP="005416C6">
      <w:pPr>
        <w:pStyle w:val="Default"/>
        <w:spacing w:line="360" w:lineRule="auto"/>
        <w:jc w:val="both"/>
        <w:rPr>
          <w:rFonts w:ascii="Times New Roman" w:hAnsi="Times New Roman" w:cs="Times New Roman"/>
          <w:sz w:val="22"/>
          <w:szCs w:val="22"/>
        </w:rPr>
      </w:pPr>
      <w:r w:rsidRPr="00A40190">
        <w:rPr>
          <w:rFonts w:ascii="Times New Roman" w:hAnsi="Times New Roman" w:cs="Times New Roman"/>
          <w:sz w:val="22"/>
          <w:szCs w:val="22"/>
        </w:rPr>
        <w:t xml:space="preserve">THE </w:t>
      </w:r>
      <w:r w:rsidR="00753B35" w:rsidRPr="00A40190">
        <w:rPr>
          <w:rFonts w:ascii="Times New Roman" w:hAnsi="Times New Roman" w:cs="Times New Roman"/>
          <w:sz w:val="22"/>
          <w:szCs w:val="22"/>
        </w:rPr>
        <w:t>ISSUES EMANATING FROM THE OBJECTION</w:t>
      </w:r>
    </w:p>
    <w:p w14:paraId="784B9145" w14:textId="77777777" w:rsidR="00753B35" w:rsidRDefault="00753B35" w:rsidP="005416C6">
      <w:pPr>
        <w:pStyle w:val="Default"/>
        <w:spacing w:line="360" w:lineRule="auto"/>
        <w:jc w:val="both"/>
        <w:rPr>
          <w:rFonts w:ascii="Times New Roman" w:hAnsi="Times New Roman" w:cs="Times New Roman"/>
        </w:rPr>
      </w:pPr>
    </w:p>
    <w:p w14:paraId="6FD146B2" w14:textId="25B589B0" w:rsidR="008340C7" w:rsidRDefault="00753B35" w:rsidP="005416C6">
      <w:pPr>
        <w:pStyle w:val="Default"/>
        <w:spacing w:line="360" w:lineRule="auto"/>
        <w:jc w:val="both"/>
        <w:rPr>
          <w:rFonts w:ascii="Times New Roman" w:hAnsi="Times New Roman" w:cs="Times New Roman"/>
        </w:rPr>
      </w:pPr>
      <w:r>
        <w:rPr>
          <w:rFonts w:ascii="Times New Roman" w:hAnsi="Times New Roman" w:cs="Times New Roman"/>
        </w:rPr>
        <w:t>[3</w:t>
      </w:r>
      <w:r w:rsidR="002E2852">
        <w:rPr>
          <w:rFonts w:ascii="Times New Roman" w:hAnsi="Times New Roman" w:cs="Times New Roman"/>
        </w:rPr>
        <w:t>5</w:t>
      </w:r>
      <w:r>
        <w:rPr>
          <w:rFonts w:ascii="Times New Roman" w:hAnsi="Times New Roman" w:cs="Times New Roman"/>
        </w:rPr>
        <w:t xml:space="preserve">] In my view, the alarm sounded by Mr. </w:t>
      </w:r>
      <w:r w:rsidRPr="008A4DB1">
        <w:rPr>
          <w:rFonts w:ascii="Times New Roman" w:hAnsi="Times New Roman" w:cs="Times New Roman"/>
          <w:i/>
          <w:iCs/>
        </w:rPr>
        <w:t>Madhuku</w:t>
      </w:r>
      <w:r>
        <w:rPr>
          <w:rFonts w:ascii="Times New Roman" w:hAnsi="Times New Roman" w:cs="Times New Roman"/>
        </w:rPr>
        <w:t xml:space="preserve"> (and Ms </w:t>
      </w:r>
      <w:r w:rsidRPr="008A4DB1">
        <w:rPr>
          <w:rFonts w:ascii="Times New Roman" w:hAnsi="Times New Roman" w:cs="Times New Roman"/>
          <w:i/>
          <w:iCs/>
        </w:rPr>
        <w:t xml:space="preserve">Mahere </w:t>
      </w:r>
      <w:r>
        <w:rPr>
          <w:rFonts w:ascii="Times New Roman" w:hAnsi="Times New Roman" w:cs="Times New Roman"/>
        </w:rPr>
        <w:t>by association) that the objection</w:t>
      </w:r>
      <w:r w:rsidR="008A4DB1">
        <w:rPr>
          <w:rFonts w:ascii="Times New Roman" w:hAnsi="Times New Roman" w:cs="Times New Roman"/>
        </w:rPr>
        <w:t xml:space="preserve"> beguiled the court into </w:t>
      </w:r>
      <w:r>
        <w:rPr>
          <w:rFonts w:ascii="Times New Roman" w:hAnsi="Times New Roman" w:cs="Times New Roman"/>
        </w:rPr>
        <w:t>the rewriting of the rules</w:t>
      </w:r>
      <w:r w:rsidR="008A4DB1">
        <w:rPr>
          <w:rFonts w:ascii="Times New Roman" w:hAnsi="Times New Roman" w:cs="Times New Roman"/>
        </w:rPr>
        <w:t>,</w:t>
      </w:r>
      <w:r>
        <w:rPr>
          <w:rFonts w:ascii="Times New Roman" w:hAnsi="Times New Roman" w:cs="Times New Roman"/>
        </w:rPr>
        <w:t xml:space="preserve"> was needless.  The crisp issue </w:t>
      </w:r>
      <w:r w:rsidR="008A4DB1">
        <w:rPr>
          <w:rFonts w:ascii="Times New Roman" w:hAnsi="Times New Roman" w:cs="Times New Roman"/>
        </w:rPr>
        <w:t xml:space="preserve">arising from the objection is </w:t>
      </w:r>
      <w:r>
        <w:rPr>
          <w:rFonts w:ascii="Times New Roman" w:hAnsi="Times New Roman" w:cs="Times New Roman"/>
        </w:rPr>
        <w:t xml:space="preserve">whether </w:t>
      </w:r>
      <w:r w:rsidR="008340C7">
        <w:rPr>
          <w:rFonts w:ascii="Times New Roman" w:hAnsi="Times New Roman" w:cs="Times New Roman"/>
        </w:rPr>
        <w:t xml:space="preserve">the applicants stand barred from severing their cases as prescribed by r 56 (1) of the High Court Rules </w:t>
      </w:r>
      <w:r w:rsidR="002E2852">
        <w:rPr>
          <w:rFonts w:ascii="Times New Roman" w:hAnsi="Times New Roman" w:cs="Times New Roman"/>
        </w:rPr>
        <w:t>2021, or any other consideration at law. This</w:t>
      </w:r>
      <w:r w:rsidR="008340C7">
        <w:rPr>
          <w:rFonts w:ascii="Times New Roman" w:hAnsi="Times New Roman" w:cs="Times New Roman"/>
        </w:rPr>
        <w:t xml:space="preserve"> question demands nothing more than application of the established rules of interpretation to the </w:t>
      </w:r>
      <w:r w:rsidR="008A4DB1">
        <w:rPr>
          <w:rFonts w:ascii="Times New Roman" w:hAnsi="Times New Roman" w:cs="Times New Roman"/>
        </w:rPr>
        <w:t xml:space="preserve">relevant </w:t>
      </w:r>
      <w:r w:rsidR="008340C7">
        <w:rPr>
          <w:rFonts w:ascii="Times New Roman" w:hAnsi="Times New Roman" w:cs="Times New Roman"/>
        </w:rPr>
        <w:t xml:space="preserve">provisions </w:t>
      </w:r>
      <w:r w:rsidR="008A4DB1">
        <w:rPr>
          <w:rFonts w:ascii="Times New Roman" w:hAnsi="Times New Roman" w:cs="Times New Roman"/>
        </w:rPr>
        <w:t>of t</w:t>
      </w:r>
      <w:r w:rsidR="008340C7">
        <w:rPr>
          <w:rFonts w:ascii="Times New Roman" w:hAnsi="Times New Roman" w:cs="Times New Roman"/>
        </w:rPr>
        <w:t>he Commercial Court and High Court Rules</w:t>
      </w:r>
      <w:r w:rsidR="008A4DB1">
        <w:rPr>
          <w:rFonts w:ascii="Times New Roman" w:hAnsi="Times New Roman" w:cs="Times New Roman"/>
        </w:rPr>
        <w:t xml:space="preserve"> raised in argument</w:t>
      </w:r>
      <w:r w:rsidR="008340C7">
        <w:rPr>
          <w:rFonts w:ascii="Times New Roman" w:hAnsi="Times New Roman" w:cs="Times New Roman"/>
        </w:rPr>
        <w:t xml:space="preserve">. </w:t>
      </w:r>
    </w:p>
    <w:p w14:paraId="5D5ABF3A" w14:textId="77777777" w:rsidR="008340C7" w:rsidRDefault="008340C7" w:rsidP="005416C6">
      <w:pPr>
        <w:pStyle w:val="Default"/>
        <w:spacing w:line="360" w:lineRule="auto"/>
        <w:jc w:val="both"/>
        <w:rPr>
          <w:rFonts w:ascii="Times New Roman" w:hAnsi="Times New Roman" w:cs="Times New Roman"/>
        </w:rPr>
      </w:pPr>
    </w:p>
    <w:p w14:paraId="71C45075" w14:textId="0E12EC25" w:rsidR="00712AAF" w:rsidRDefault="008340C7" w:rsidP="005416C6">
      <w:pPr>
        <w:pStyle w:val="Default"/>
        <w:spacing w:line="360" w:lineRule="auto"/>
        <w:jc w:val="both"/>
        <w:rPr>
          <w:rFonts w:ascii="Times New Roman" w:eastAsia="Calibri" w:hAnsi="Times New Roman" w:cs="Times New Roman"/>
          <w:color w:val="auto"/>
          <w14:ligatures w14:val="none"/>
        </w:rPr>
      </w:pPr>
      <w:r w:rsidRPr="00712AAF">
        <w:rPr>
          <w:rFonts w:ascii="Times New Roman" w:hAnsi="Times New Roman" w:cs="Times New Roman"/>
        </w:rPr>
        <w:t>[3</w:t>
      </w:r>
      <w:r w:rsidR="002E2852">
        <w:rPr>
          <w:rFonts w:ascii="Times New Roman" w:hAnsi="Times New Roman" w:cs="Times New Roman"/>
        </w:rPr>
        <w:t>6</w:t>
      </w:r>
      <w:r w:rsidRPr="00712AAF">
        <w:rPr>
          <w:rFonts w:ascii="Times New Roman" w:hAnsi="Times New Roman" w:cs="Times New Roman"/>
        </w:rPr>
        <w:t xml:space="preserve">] I may state of course that Mr. </w:t>
      </w:r>
      <w:r w:rsidRPr="008A4DB1">
        <w:rPr>
          <w:rFonts w:ascii="Times New Roman" w:hAnsi="Times New Roman" w:cs="Times New Roman"/>
          <w:i/>
          <w:iCs/>
        </w:rPr>
        <w:t>Mpofu</w:t>
      </w:r>
      <w:r w:rsidRPr="00712AAF">
        <w:rPr>
          <w:rFonts w:ascii="Times New Roman" w:hAnsi="Times New Roman" w:cs="Times New Roman"/>
        </w:rPr>
        <w:t xml:space="preserve">’s final submission urging the court to </w:t>
      </w:r>
      <w:r w:rsidR="00E479DC">
        <w:rPr>
          <w:rFonts w:ascii="Times New Roman" w:hAnsi="Times New Roman" w:cs="Times New Roman"/>
        </w:rPr>
        <w:t xml:space="preserve">interpret </w:t>
      </w:r>
      <w:r w:rsidRPr="00712AAF">
        <w:rPr>
          <w:rFonts w:ascii="Times New Roman" w:hAnsi="Times New Roman" w:cs="Times New Roman"/>
        </w:rPr>
        <w:t xml:space="preserve">the “reading-in” authorities </w:t>
      </w:r>
      <w:r w:rsidR="004757C5" w:rsidRPr="00712AAF">
        <w:rPr>
          <w:rFonts w:ascii="Times New Roman" w:hAnsi="Times New Roman" w:cs="Times New Roman"/>
        </w:rPr>
        <w:t>liberall</w:t>
      </w:r>
      <w:r w:rsidR="004757C5">
        <w:rPr>
          <w:rFonts w:ascii="Times New Roman" w:hAnsi="Times New Roman" w:cs="Times New Roman"/>
        </w:rPr>
        <w:t>y</w:t>
      </w:r>
      <w:r w:rsidRPr="00712AAF">
        <w:rPr>
          <w:rFonts w:ascii="Times New Roman" w:hAnsi="Times New Roman" w:cs="Times New Roman"/>
        </w:rPr>
        <w:t xml:space="preserve"> amounted to </w:t>
      </w:r>
      <w:r w:rsidR="008A4DB1">
        <w:rPr>
          <w:rFonts w:ascii="Times New Roman" w:hAnsi="Times New Roman" w:cs="Times New Roman"/>
        </w:rPr>
        <w:t>but one</w:t>
      </w:r>
      <w:r w:rsidRPr="00712AAF">
        <w:rPr>
          <w:rFonts w:ascii="Times New Roman" w:hAnsi="Times New Roman" w:cs="Times New Roman"/>
        </w:rPr>
        <w:t xml:space="preserve"> of the considerations under the aegis of statutory interpretation. </w:t>
      </w:r>
      <w:r w:rsidR="00712AAF">
        <w:rPr>
          <w:rFonts w:ascii="Times New Roman" w:hAnsi="Times New Roman" w:cs="Times New Roman"/>
        </w:rPr>
        <w:t xml:space="preserve">I extract, as a reminder, the following line from a longer passage setting out the </w:t>
      </w:r>
      <w:r w:rsidRPr="00712AAF">
        <w:rPr>
          <w:rFonts w:ascii="Times New Roman" w:hAnsi="Times New Roman" w:cs="Times New Roman"/>
        </w:rPr>
        <w:t xml:space="preserve">iconoclastic remarks </w:t>
      </w:r>
      <w:r w:rsidR="00712AAF" w:rsidRPr="00712AAF">
        <w:rPr>
          <w:rFonts w:ascii="Times New Roman" w:hAnsi="Times New Roman" w:cs="Times New Roman"/>
        </w:rPr>
        <w:t xml:space="preserve">of </w:t>
      </w:r>
      <w:r w:rsidR="00712AAF" w:rsidRPr="00A40190">
        <w:rPr>
          <w:rFonts w:ascii="Times New Roman" w:hAnsi="Times New Roman" w:cs="Times New Roman"/>
          <w:sz w:val="22"/>
          <w:szCs w:val="22"/>
        </w:rPr>
        <w:t>GUBBAY CJ</w:t>
      </w:r>
      <w:r w:rsidR="00712AAF" w:rsidRPr="00712AAF">
        <w:rPr>
          <w:rFonts w:ascii="Times New Roman" w:hAnsi="Times New Roman" w:cs="Times New Roman"/>
        </w:rPr>
        <w:t xml:space="preserve"> </w:t>
      </w:r>
      <w:r w:rsidR="00712AAF">
        <w:rPr>
          <w:rFonts w:ascii="Times New Roman" w:hAnsi="Times New Roman" w:cs="Times New Roman"/>
        </w:rPr>
        <w:t xml:space="preserve">thirty-five years ago </w:t>
      </w:r>
      <w:r w:rsidR="00712AAF" w:rsidRPr="00712AAF">
        <w:rPr>
          <w:rFonts w:ascii="Times New Roman" w:hAnsi="Times New Roman" w:cs="Times New Roman"/>
        </w:rPr>
        <w:t xml:space="preserve">in </w:t>
      </w:r>
      <w:r w:rsidR="00712AAF" w:rsidRPr="00A40190">
        <w:rPr>
          <w:rFonts w:ascii="Times New Roman" w:hAnsi="Times New Roman" w:cs="Times New Roman"/>
          <w:i/>
          <w:iCs/>
        </w:rPr>
        <w:t>Zimnat</w:t>
      </w:r>
      <w:r w:rsidR="00712AAF" w:rsidRPr="00A40190">
        <w:rPr>
          <w:rFonts w:ascii="Times New Roman" w:eastAsia="Calibri" w:hAnsi="Times New Roman" w:cs="Times New Roman"/>
          <w:i/>
          <w:iCs/>
          <w:color w:val="auto"/>
          <w14:ligatures w14:val="none"/>
        </w:rPr>
        <w:t xml:space="preserve"> Insurance Company Ltd v Chawanda</w:t>
      </w:r>
      <w:r w:rsidR="00712AAF" w:rsidRPr="00712AAF">
        <w:rPr>
          <w:rFonts w:ascii="Times New Roman" w:eastAsia="Calibri" w:hAnsi="Times New Roman" w:cs="Times New Roman"/>
          <w:color w:val="auto"/>
          <w14:ligatures w14:val="none"/>
        </w:rPr>
        <w:t xml:space="preserve"> 1990 (2) ZLR 143 (S) </w:t>
      </w:r>
      <w:r w:rsidR="00712AAF">
        <w:rPr>
          <w:rFonts w:ascii="Times New Roman" w:eastAsia="Calibri" w:hAnsi="Times New Roman" w:cs="Times New Roman"/>
          <w:color w:val="auto"/>
          <w14:ligatures w14:val="none"/>
        </w:rPr>
        <w:t xml:space="preserve">at 154 </w:t>
      </w:r>
      <w:r w:rsidR="005B53C5">
        <w:rPr>
          <w:rFonts w:ascii="Times New Roman" w:eastAsia="Calibri" w:hAnsi="Times New Roman" w:cs="Times New Roman"/>
          <w:color w:val="auto"/>
          <w14:ligatures w14:val="none"/>
        </w:rPr>
        <w:t>that; -</w:t>
      </w:r>
      <w:r w:rsidR="00712AAF">
        <w:rPr>
          <w:rFonts w:ascii="Times New Roman" w:eastAsia="Calibri" w:hAnsi="Times New Roman" w:cs="Times New Roman"/>
          <w:color w:val="auto"/>
          <w14:ligatures w14:val="none"/>
        </w:rPr>
        <w:t xml:space="preserve"> </w:t>
      </w:r>
    </w:p>
    <w:p w14:paraId="15CD259F" w14:textId="77777777" w:rsidR="00712AAF" w:rsidRDefault="00712AAF" w:rsidP="005416C6">
      <w:pPr>
        <w:pStyle w:val="Default"/>
        <w:spacing w:line="360" w:lineRule="auto"/>
        <w:jc w:val="both"/>
        <w:rPr>
          <w:rFonts w:ascii="Times New Roman" w:eastAsia="Calibri" w:hAnsi="Times New Roman" w:cs="Times New Roman"/>
          <w:color w:val="auto"/>
          <w14:ligatures w14:val="none"/>
        </w:rPr>
      </w:pPr>
    </w:p>
    <w:p w14:paraId="553F9AEE" w14:textId="63357B6E" w:rsidR="00753B35" w:rsidRDefault="00712AAF" w:rsidP="00712AAF">
      <w:pPr>
        <w:pStyle w:val="Default"/>
        <w:spacing w:line="360" w:lineRule="auto"/>
        <w:ind w:left="1134"/>
        <w:jc w:val="both"/>
        <w:rPr>
          <w:rFonts w:ascii="Times New Roman" w:eastAsia="Calibri" w:hAnsi="Times New Roman" w:cs="Times New Roman"/>
          <w:color w:val="auto"/>
          <w14:ligatures w14:val="none"/>
        </w:rPr>
      </w:pPr>
      <w:r w:rsidRPr="00712AAF">
        <w:rPr>
          <w:rFonts w:ascii="Times New Roman" w:eastAsia="Calibri" w:hAnsi="Times New Roman" w:cs="Times New Roman"/>
          <w:color w:val="auto"/>
          <w14:ligatures w14:val="none"/>
        </w:rPr>
        <w:t>“…...judges have a certain amount of freedom or latitude in the process of interpretation and application of the law. It is now acknowledged that judges do not merely discover the law, but they also make law.”</w:t>
      </w:r>
    </w:p>
    <w:p w14:paraId="5ADE629F" w14:textId="77777777" w:rsidR="00A40190" w:rsidRPr="00712AAF" w:rsidRDefault="00A40190" w:rsidP="00712AAF">
      <w:pPr>
        <w:pStyle w:val="Default"/>
        <w:spacing w:line="360" w:lineRule="auto"/>
        <w:ind w:left="1134"/>
        <w:jc w:val="both"/>
        <w:rPr>
          <w:rFonts w:ascii="Times New Roman" w:hAnsi="Times New Roman" w:cs="Times New Roman"/>
        </w:rPr>
      </w:pPr>
    </w:p>
    <w:p w14:paraId="7809641E" w14:textId="3AE441B1" w:rsidR="00753B35" w:rsidRDefault="00712AAF" w:rsidP="005416C6">
      <w:pPr>
        <w:pStyle w:val="Default"/>
        <w:spacing w:line="360" w:lineRule="auto"/>
        <w:jc w:val="both"/>
        <w:rPr>
          <w:rFonts w:ascii="Times New Roman" w:hAnsi="Times New Roman" w:cs="Times New Roman"/>
        </w:rPr>
      </w:pPr>
      <w:r>
        <w:rPr>
          <w:rFonts w:ascii="Times New Roman" w:hAnsi="Times New Roman" w:cs="Times New Roman"/>
        </w:rPr>
        <w:t>[ 3</w:t>
      </w:r>
      <w:r w:rsidR="002E2852">
        <w:rPr>
          <w:rFonts w:ascii="Times New Roman" w:hAnsi="Times New Roman" w:cs="Times New Roman"/>
        </w:rPr>
        <w:t>7</w:t>
      </w:r>
      <w:r>
        <w:rPr>
          <w:rFonts w:ascii="Times New Roman" w:hAnsi="Times New Roman" w:cs="Times New Roman"/>
        </w:rPr>
        <w:t xml:space="preserve">] </w:t>
      </w:r>
      <w:r w:rsidR="008A4DB1">
        <w:rPr>
          <w:rFonts w:ascii="Times New Roman" w:hAnsi="Times New Roman" w:cs="Times New Roman"/>
        </w:rPr>
        <w:t xml:space="preserve">I turn </w:t>
      </w:r>
      <w:r>
        <w:rPr>
          <w:rFonts w:ascii="Times New Roman" w:hAnsi="Times New Roman" w:cs="Times New Roman"/>
        </w:rPr>
        <w:t xml:space="preserve">to the </w:t>
      </w:r>
      <w:r w:rsidR="002E2852">
        <w:rPr>
          <w:rFonts w:ascii="Times New Roman" w:hAnsi="Times New Roman" w:cs="Times New Roman"/>
        </w:rPr>
        <w:t xml:space="preserve">contentious </w:t>
      </w:r>
      <w:r>
        <w:rPr>
          <w:rFonts w:ascii="Times New Roman" w:hAnsi="Times New Roman" w:cs="Times New Roman"/>
        </w:rPr>
        <w:t xml:space="preserve">rule 53 (1) of the Commercial </w:t>
      </w:r>
      <w:r w:rsidR="008A4DB1">
        <w:rPr>
          <w:rFonts w:ascii="Times New Roman" w:hAnsi="Times New Roman" w:cs="Times New Roman"/>
        </w:rPr>
        <w:t>Court</w:t>
      </w:r>
      <w:r w:rsidR="002E2852">
        <w:rPr>
          <w:rFonts w:ascii="Times New Roman" w:hAnsi="Times New Roman" w:cs="Times New Roman"/>
        </w:rPr>
        <w:t xml:space="preserve"> Rules</w:t>
      </w:r>
      <w:r w:rsidR="008A4DB1">
        <w:rPr>
          <w:rFonts w:ascii="Times New Roman" w:hAnsi="Times New Roman" w:cs="Times New Roman"/>
        </w:rPr>
        <w:t>. This</w:t>
      </w:r>
      <w:r>
        <w:rPr>
          <w:rFonts w:ascii="Times New Roman" w:hAnsi="Times New Roman" w:cs="Times New Roman"/>
        </w:rPr>
        <w:t xml:space="preserve"> </w:t>
      </w:r>
      <w:r w:rsidR="008A4DB1">
        <w:rPr>
          <w:rFonts w:ascii="Times New Roman" w:hAnsi="Times New Roman" w:cs="Times New Roman"/>
        </w:rPr>
        <w:t>provision closed</w:t>
      </w:r>
      <w:r>
        <w:rPr>
          <w:rFonts w:ascii="Times New Roman" w:hAnsi="Times New Roman" w:cs="Times New Roman"/>
        </w:rPr>
        <w:t xml:space="preserve"> as it were, the argument on the lacuna. As such, </w:t>
      </w:r>
      <w:r w:rsidR="008A4DB1">
        <w:rPr>
          <w:rFonts w:ascii="Times New Roman" w:hAnsi="Times New Roman" w:cs="Times New Roman"/>
        </w:rPr>
        <w:t xml:space="preserve">there is no need to resort to the cross-referral facility in </w:t>
      </w:r>
      <w:r>
        <w:rPr>
          <w:rFonts w:ascii="Times New Roman" w:hAnsi="Times New Roman" w:cs="Times New Roman"/>
        </w:rPr>
        <w:t xml:space="preserve">r 4 (2) of the Commercial Court Rule </w:t>
      </w:r>
      <w:r w:rsidR="008A4DB1">
        <w:rPr>
          <w:rFonts w:ascii="Times New Roman" w:hAnsi="Times New Roman" w:cs="Times New Roman"/>
        </w:rPr>
        <w:t xml:space="preserve">in </w:t>
      </w:r>
      <w:r w:rsidR="00DF344E">
        <w:rPr>
          <w:rFonts w:ascii="Times New Roman" w:hAnsi="Times New Roman" w:cs="Times New Roman"/>
        </w:rPr>
        <w:t>dispos</w:t>
      </w:r>
      <w:r w:rsidR="008A4DB1">
        <w:rPr>
          <w:rFonts w:ascii="Times New Roman" w:hAnsi="Times New Roman" w:cs="Times New Roman"/>
        </w:rPr>
        <w:t xml:space="preserve">ing </w:t>
      </w:r>
      <w:r w:rsidR="00DF344E">
        <w:rPr>
          <w:rFonts w:ascii="Times New Roman" w:hAnsi="Times New Roman" w:cs="Times New Roman"/>
        </w:rPr>
        <w:t xml:space="preserve">the objection. </w:t>
      </w:r>
      <w:r w:rsidR="00A40190">
        <w:rPr>
          <w:rFonts w:ascii="Times New Roman" w:hAnsi="Times New Roman" w:cs="Times New Roman"/>
        </w:rPr>
        <w:t>(See</w:t>
      </w:r>
      <w:r w:rsidR="00DF344E">
        <w:rPr>
          <w:rFonts w:ascii="Times New Roman" w:hAnsi="Times New Roman" w:cs="Times New Roman"/>
        </w:rPr>
        <w:t xml:space="preserve"> also </w:t>
      </w:r>
      <w:r w:rsidR="00DF344E" w:rsidRPr="00C6149A">
        <w:rPr>
          <w:rFonts w:ascii="Times New Roman" w:hAnsi="Times New Roman" w:cs="Times New Roman"/>
          <w:i/>
          <w:iCs/>
        </w:rPr>
        <w:t>Liziwe</w:t>
      </w:r>
      <w:r w:rsidR="00DF344E" w:rsidRPr="005D3544">
        <w:rPr>
          <w:rFonts w:ascii="Times New Roman" w:hAnsi="Times New Roman" w:cs="Times New Roman"/>
          <w:i/>
          <w:iCs/>
        </w:rPr>
        <w:t xml:space="preserve"> Museredza And 385 Ors V (1) Minister of Agriculture, Lands, Water And Rural Resettlement</w:t>
      </w:r>
      <w:r w:rsidR="00DF344E" w:rsidRPr="00C81A5A">
        <w:rPr>
          <w:rFonts w:ascii="Times New Roman" w:hAnsi="Times New Roman" w:cs="Times New Roman"/>
          <w:i/>
          <w:iCs/>
        </w:rPr>
        <w:t xml:space="preserve"> &amp; 9 Ors</w:t>
      </w:r>
      <w:r w:rsidR="00DF344E" w:rsidRPr="00C81A5A">
        <w:rPr>
          <w:rFonts w:ascii="Times New Roman" w:hAnsi="Times New Roman" w:cs="Times New Roman"/>
        </w:rPr>
        <w:t xml:space="preserve"> CCZ 11-21</w:t>
      </w:r>
      <w:r w:rsidR="00A40190">
        <w:rPr>
          <w:rFonts w:ascii="Times New Roman" w:hAnsi="Times New Roman" w:cs="Times New Roman"/>
        </w:rPr>
        <w:t>;</w:t>
      </w:r>
      <w:r w:rsidR="00A40190" w:rsidRPr="00A40190">
        <w:rPr>
          <w:rFonts w:ascii="Times New Roman" w:eastAsia="Calibri" w:hAnsi="Times New Roman" w:cs="Times New Roman"/>
          <w:bCs/>
          <w:i/>
          <w:iCs/>
          <w14:ligatures w14:val="none"/>
        </w:rPr>
        <w:t xml:space="preserve"> </w:t>
      </w:r>
      <w:r w:rsidR="00A40190" w:rsidRPr="00C81A5A">
        <w:rPr>
          <w:rFonts w:ascii="Times New Roman" w:eastAsia="Calibri" w:hAnsi="Times New Roman" w:cs="Times New Roman"/>
          <w:bCs/>
          <w:i/>
          <w:iCs/>
          <w14:ligatures w14:val="none"/>
        </w:rPr>
        <w:t>Dairiboard     Zimbabwe (Private) Limited v The     Taxing     Master     N. O.     (2)     Richard     Gangira</w:t>
      </w:r>
      <w:r w:rsidR="00A40190" w:rsidRPr="00C81A5A">
        <w:rPr>
          <w:rFonts w:ascii="Times New Roman" w:eastAsia="Calibri" w:hAnsi="Times New Roman" w:cs="Times New Roman"/>
          <w:bCs/>
          <w14:ligatures w14:val="none"/>
        </w:rPr>
        <w:t xml:space="preserve"> SC 61-24</w:t>
      </w:r>
      <w:r w:rsidR="00A40190">
        <w:rPr>
          <w:rFonts w:ascii="Times New Roman" w:eastAsia="Calibri" w:hAnsi="Times New Roman" w:cs="Times New Roman"/>
          <w:bCs/>
          <w14:ligatures w14:val="none"/>
        </w:rPr>
        <w:t xml:space="preserve"> and </w:t>
      </w:r>
      <w:r w:rsidR="00A40190" w:rsidRPr="00E845E4">
        <w:rPr>
          <w:rFonts w:ascii="Times New Roman" w:eastAsia="Calibri" w:hAnsi="Times New Roman" w:cs="Times New Roman"/>
          <w:i/>
          <w:iCs/>
          <w14:ligatures w14:val="none"/>
        </w:rPr>
        <w:t>Zimbabwe L</w:t>
      </w:r>
      <w:r w:rsidR="00A40190" w:rsidRPr="00C81A5A">
        <w:rPr>
          <w:rFonts w:ascii="Times New Roman" w:eastAsia="Calibri" w:hAnsi="Times New Roman" w:cs="Times New Roman"/>
          <w:i/>
          <w:iCs/>
          <w14:ligatures w14:val="none"/>
        </w:rPr>
        <w:t xml:space="preserve">eaf Tobacco Company (Pvt) Ltd v </w:t>
      </w:r>
      <w:r w:rsidR="00A40190" w:rsidRPr="00C81A5A">
        <w:rPr>
          <w:rFonts w:ascii="Times New Roman" w:hAnsi="Times New Roman" w:cs="Times New Roman"/>
          <w:i/>
          <w:iCs/>
        </w:rPr>
        <w:t>Bhuka Fungai Chinamasa</w:t>
      </w:r>
      <w:r w:rsidR="00A40190" w:rsidRPr="00C81A5A">
        <w:rPr>
          <w:rFonts w:ascii="Times New Roman" w:eastAsia="Calibri" w:hAnsi="Times New Roman" w:cs="Times New Roman"/>
          <w14:ligatures w14:val="none"/>
        </w:rPr>
        <w:t xml:space="preserve"> HH 658-23</w:t>
      </w:r>
      <w:r w:rsidR="00A40190">
        <w:rPr>
          <w:rFonts w:ascii="Times New Roman" w:eastAsia="Calibri" w:hAnsi="Times New Roman" w:cs="Times New Roman"/>
          <w14:ligatures w14:val="none"/>
        </w:rPr>
        <w:t xml:space="preserve"> as discussed in </w:t>
      </w:r>
      <w:r w:rsidR="00A40190" w:rsidRPr="00A40190">
        <w:rPr>
          <w:rFonts w:ascii="Times New Roman" w:eastAsia="Calibri" w:hAnsi="Times New Roman" w:cs="Times New Roman"/>
          <w:i/>
          <w:iCs/>
          <w14:ligatures w14:val="none"/>
        </w:rPr>
        <w:t>Mac En Paul (Pvt) Ltd v Gwanda Municipality &amp; Anor</w:t>
      </w:r>
      <w:r w:rsidR="00A40190">
        <w:rPr>
          <w:rFonts w:ascii="Times New Roman" w:eastAsia="Calibri" w:hAnsi="Times New Roman" w:cs="Times New Roman"/>
          <w14:ligatures w14:val="none"/>
        </w:rPr>
        <w:t xml:space="preserve"> HH 227-25).</w:t>
      </w:r>
    </w:p>
    <w:p w14:paraId="32699C17" w14:textId="77777777" w:rsidR="00712AAF" w:rsidRDefault="00712AAF" w:rsidP="005416C6">
      <w:pPr>
        <w:pStyle w:val="Default"/>
        <w:spacing w:line="360" w:lineRule="auto"/>
        <w:jc w:val="both"/>
        <w:rPr>
          <w:rFonts w:ascii="Times New Roman" w:hAnsi="Times New Roman" w:cs="Times New Roman"/>
        </w:rPr>
      </w:pPr>
    </w:p>
    <w:p w14:paraId="48829453" w14:textId="79941C21" w:rsidR="00712AAF" w:rsidRDefault="00E82EDD" w:rsidP="005416C6">
      <w:pPr>
        <w:pStyle w:val="Default"/>
        <w:spacing w:line="360" w:lineRule="auto"/>
        <w:jc w:val="both"/>
        <w:rPr>
          <w:rFonts w:ascii="Times New Roman" w:hAnsi="Times New Roman" w:cs="Times New Roman"/>
        </w:rPr>
      </w:pPr>
      <w:r>
        <w:rPr>
          <w:rFonts w:ascii="Times New Roman" w:hAnsi="Times New Roman" w:cs="Times New Roman"/>
        </w:rPr>
        <w:t>[3</w:t>
      </w:r>
      <w:r w:rsidR="002E2852">
        <w:rPr>
          <w:rFonts w:ascii="Times New Roman" w:hAnsi="Times New Roman" w:cs="Times New Roman"/>
        </w:rPr>
        <w:t>8</w:t>
      </w:r>
      <w:r>
        <w:rPr>
          <w:rFonts w:ascii="Times New Roman" w:hAnsi="Times New Roman" w:cs="Times New Roman"/>
        </w:rPr>
        <w:t xml:space="preserve">] That conclusion reduces the issues on r 53 (1) to two; </w:t>
      </w:r>
      <w:r w:rsidR="002E2852">
        <w:rPr>
          <w:rFonts w:ascii="Times New Roman" w:hAnsi="Times New Roman" w:cs="Times New Roman"/>
        </w:rPr>
        <w:t>firstly,</w:t>
      </w:r>
      <w:r>
        <w:rPr>
          <w:rFonts w:ascii="Times New Roman" w:hAnsi="Times New Roman" w:cs="Times New Roman"/>
        </w:rPr>
        <w:t xml:space="preserve"> can the rule survive the invalidity argument</w:t>
      </w:r>
      <w:r w:rsidR="002E2852">
        <w:rPr>
          <w:rFonts w:ascii="Times New Roman" w:hAnsi="Times New Roman" w:cs="Times New Roman"/>
        </w:rPr>
        <w:t>s</w:t>
      </w:r>
      <w:r>
        <w:rPr>
          <w:rFonts w:ascii="Times New Roman" w:hAnsi="Times New Roman" w:cs="Times New Roman"/>
        </w:rPr>
        <w:t xml:space="preserve"> raised by Mr. </w:t>
      </w:r>
      <w:r w:rsidRPr="00D3755D">
        <w:rPr>
          <w:rFonts w:ascii="Times New Roman" w:hAnsi="Times New Roman" w:cs="Times New Roman"/>
          <w:i/>
          <w:iCs/>
        </w:rPr>
        <w:t>Madhuku</w:t>
      </w:r>
      <w:r>
        <w:rPr>
          <w:rFonts w:ascii="Times New Roman" w:hAnsi="Times New Roman" w:cs="Times New Roman"/>
        </w:rPr>
        <w:t xml:space="preserve">, and </w:t>
      </w:r>
      <w:r w:rsidR="0011312A">
        <w:rPr>
          <w:rFonts w:ascii="Times New Roman" w:hAnsi="Times New Roman" w:cs="Times New Roman"/>
        </w:rPr>
        <w:t xml:space="preserve">secondly </w:t>
      </w:r>
      <w:r>
        <w:rPr>
          <w:rFonts w:ascii="Times New Roman" w:hAnsi="Times New Roman" w:cs="Times New Roman"/>
        </w:rPr>
        <w:t>if so, is it applicable to motion proceedings? The principle of reading</w:t>
      </w:r>
      <w:r w:rsidR="0011312A">
        <w:rPr>
          <w:rFonts w:ascii="Times New Roman" w:hAnsi="Times New Roman" w:cs="Times New Roman"/>
        </w:rPr>
        <w:t>-in</w:t>
      </w:r>
      <w:r>
        <w:rPr>
          <w:rFonts w:ascii="Times New Roman" w:hAnsi="Times New Roman" w:cs="Times New Roman"/>
        </w:rPr>
        <w:t xml:space="preserve"> </w:t>
      </w:r>
      <w:r w:rsidR="0011312A">
        <w:rPr>
          <w:rFonts w:ascii="Times New Roman" w:hAnsi="Times New Roman" w:cs="Times New Roman"/>
        </w:rPr>
        <w:t xml:space="preserve">becomes </w:t>
      </w:r>
      <w:r>
        <w:rPr>
          <w:rFonts w:ascii="Times New Roman" w:hAnsi="Times New Roman" w:cs="Times New Roman"/>
        </w:rPr>
        <w:t xml:space="preserve">a ready tool </w:t>
      </w:r>
      <w:r w:rsidR="0011312A">
        <w:rPr>
          <w:rFonts w:ascii="Times New Roman" w:hAnsi="Times New Roman" w:cs="Times New Roman"/>
        </w:rPr>
        <w:t>to resolve the first, and the rest of the rules on interpretation address the second.</w:t>
      </w:r>
    </w:p>
    <w:p w14:paraId="1713A2EF" w14:textId="77777777" w:rsidR="0011312A" w:rsidRDefault="0011312A" w:rsidP="005416C6">
      <w:pPr>
        <w:pStyle w:val="Default"/>
        <w:spacing w:line="360" w:lineRule="auto"/>
        <w:jc w:val="both"/>
        <w:rPr>
          <w:rFonts w:ascii="Times New Roman" w:hAnsi="Times New Roman" w:cs="Times New Roman"/>
        </w:rPr>
      </w:pPr>
    </w:p>
    <w:p w14:paraId="2C3AF3A0" w14:textId="0819695F" w:rsidR="0011312A" w:rsidRDefault="0011312A" w:rsidP="0011312A">
      <w:pPr>
        <w:autoSpaceDE w:val="0"/>
        <w:autoSpaceDN w:val="0"/>
        <w:adjustRightInd w:val="0"/>
        <w:spacing w:after="0" w:line="360" w:lineRule="auto"/>
        <w:jc w:val="both"/>
        <w:rPr>
          <w:rFonts w:ascii="Times New Roman" w:hAnsi="Times New Roman" w:cs="Times New Roman"/>
          <w:kern w:val="0"/>
          <w:sz w:val="24"/>
          <w:szCs w:val="24"/>
        </w:rPr>
      </w:pPr>
      <w:r w:rsidRPr="0011312A">
        <w:rPr>
          <w:rFonts w:ascii="Times New Roman" w:hAnsi="Times New Roman" w:cs="Times New Roman"/>
          <w:sz w:val="24"/>
          <w:szCs w:val="24"/>
        </w:rPr>
        <w:t>[3</w:t>
      </w:r>
      <w:r w:rsidR="002E2852">
        <w:rPr>
          <w:rFonts w:ascii="Times New Roman" w:hAnsi="Times New Roman" w:cs="Times New Roman"/>
          <w:sz w:val="24"/>
          <w:szCs w:val="24"/>
        </w:rPr>
        <w:t>9</w:t>
      </w:r>
      <w:r w:rsidRPr="0011312A">
        <w:rPr>
          <w:rFonts w:ascii="Times New Roman" w:hAnsi="Times New Roman" w:cs="Times New Roman"/>
          <w:sz w:val="24"/>
          <w:szCs w:val="24"/>
        </w:rPr>
        <w:t xml:space="preserve">] </w:t>
      </w:r>
      <w:r w:rsidR="00D3755D">
        <w:rPr>
          <w:rFonts w:ascii="Times New Roman" w:hAnsi="Times New Roman" w:cs="Times New Roman"/>
          <w:sz w:val="24"/>
          <w:szCs w:val="24"/>
        </w:rPr>
        <w:t xml:space="preserve">That </w:t>
      </w:r>
      <w:r w:rsidRPr="0011312A">
        <w:rPr>
          <w:rFonts w:ascii="Times New Roman" w:hAnsi="Times New Roman" w:cs="Times New Roman"/>
          <w:sz w:val="24"/>
          <w:szCs w:val="24"/>
        </w:rPr>
        <w:t>courts can read-into statutes and salvage same from the blight of glaring error</w:t>
      </w:r>
      <w:r w:rsidR="00D3755D">
        <w:rPr>
          <w:rFonts w:ascii="Times New Roman" w:hAnsi="Times New Roman" w:cs="Times New Roman"/>
          <w:sz w:val="24"/>
          <w:szCs w:val="24"/>
        </w:rPr>
        <w:t xml:space="preserve"> was a principle accepted by counsel from both sides</w:t>
      </w:r>
      <w:r w:rsidRPr="0011312A">
        <w:rPr>
          <w:rFonts w:ascii="Times New Roman" w:hAnsi="Times New Roman" w:cs="Times New Roman"/>
          <w:sz w:val="24"/>
          <w:szCs w:val="24"/>
        </w:rPr>
        <w:t xml:space="preserve">. </w:t>
      </w:r>
      <w:r w:rsidR="00D3755D">
        <w:rPr>
          <w:rFonts w:ascii="Times New Roman" w:hAnsi="Times New Roman" w:cs="Times New Roman"/>
          <w:sz w:val="24"/>
          <w:szCs w:val="24"/>
        </w:rPr>
        <w:t xml:space="preserve">Errors in legislation </w:t>
      </w:r>
      <w:r w:rsidRPr="0011312A">
        <w:rPr>
          <w:rFonts w:ascii="Times New Roman" w:hAnsi="Times New Roman" w:cs="Times New Roman"/>
          <w:sz w:val="24"/>
          <w:szCs w:val="24"/>
        </w:rPr>
        <w:t xml:space="preserve">may </w:t>
      </w:r>
      <w:r w:rsidR="00D3755D">
        <w:rPr>
          <w:rFonts w:ascii="Times New Roman" w:hAnsi="Times New Roman" w:cs="Times New Roman"/>
          <w:sz w:val="24"/>
          <w:szCs w:val="24"/>
        </w:rPr>
        <w:t xml:space="preserve">variously arise </w:t>
      </w:r>
      <w:r w:rsidR="0036178E">
        <w:rPr>
          <w:rFonts w:ascii="Times New Roman" w:hAnsi="Times New Roman" w:cs="Times New Roman"/>
          <w:sz w:val="24"/>
          <w:szCs w:val="24"/>
        </w:rPr>
        <w:t xml:space="preserve">from </w:t>
      </w:r>
      <w:r w:rsidRPr="0011312A">
        <w:rPr>
          <w:rFonts w:ascii="Times New Roman" w:hAnsi="Times New Roman" w:cs="Times New Roman"/>
          <w:sz w:val="24"/>
          <w:szCs w:val="24"/>
        </w:rPr>
        <w:t xml:space="preserve">typographical (typos), misprints, draftsman mistakes, or as observed by </w:t>
      </w:r>
      <w:r w:rsidR="00D3755D" w:rsidRPr="0011312A">
        <w:rPr>
          <w:rFonts w:ascii="Times New Roman" w:hAnsi="Times New Roman" w:cs="Times New Roman"/>
          <w:kern w:val="0"/>
          <w:sz w:val="24"/>
          <w:szCs w:val="24"/>
        </w:rPr>
        <w:t>Denning LJ (as he then was)</w:t>
      </w:r>
      <w:r w:rsidRPr="0011312A">
        <w:rPr>
          <w:rFonts w:ascii="Times New Roman" w:hAnsi="Times New Roman" w:cs="Times New Roman"/>
          <w:sz w:val="24"/>
          <w:szCs w:val="24"/>
        </w:rPr>
        <w:t xml:space="preserve">, the lexicographical idiosyncrasies which he expressed as follows </w:t>
      </w:r>
      <w:r w:rsidRPr="0011312A">
        <w:rPr>
          <w:rFonts w:ascii="Times New Roman" w:hAnsi="Times New Roman" w:cs="Times New Roman"/>
          <w:kern w:val="0"/>
          <w:sz w:val="24"/>
          <w:szCs w:val="24"/>
        </w:rPr>
        <w:t xml:space="preserve">in </w:t>
      </w:r>
      <w:r w:rsidRPr="0011312A">
        <w:rPr>
          <w:rFonts w:ascii="Times New Roman" w:hAnsi="Times New Roman" w:cs="Times New Roman"/>
          <w:i/>
          <w:iCs/>
          <w:kern w:val="0"/>
          <w:sz w:val="24"/>
          <w:szCs w:val="24"/>
        </w:rPr>
        <w:t xml:space="preserve">Seaford Court Estates Ltd </w:t>
      </w:r>
      <w:r w:rsidRPr="0011312A">
        <w:rPr>
          <w:rFonts w:ascii="Times New Roman" w:hAnsi="Times New Roman" w:cs="Times New Roman"/>
          <w:kern w:val="0"/>
          <w:sz w:val="24"/>
          <w:szCs w:val="24"/>
        </w:rPr>
        <w:t xml:space="preserve">v </w:t>
      </w:r>
      <w:r w:rsidRPr="0011312A">
        <w:rPr>
          <w:rFonts w:ascii="Times New Roman" w:hAnsi="Times New Roman" w:cs="Times New Roman"/>
          <w:i/>
          <w:iCs/>
          <w:kern w:val="0"/>
          <w:sz w:val="24"/>
          <w:szCs w:val="24"/>
        </w:rPr>
        <w:t xml:space="preserve">Asher </w:t>
      </w:r>
      <w:r w:rsidRPr="0011312A">
        <w:rPr>
          <w:rFonts w:ascii="Times New Roman" w:hAnsi="Times New Roman" w:cs="Times New Roman"/>
          <w:kern w:val="0"/>
          <w:sz w:val="24"/>
          <w:szCs w:val="24"/>
        </w:rPr>
        <w:t>[1949] 2 All ER 155 (CA) at 164 E-H</w:t>
      </w:r>
      <w:r w:rsidR="00D3755D">
        <w:rPr>
          <w:rFonts w:ascii="Times New Roman" w:hAnsi="Times New Roman" w:cs="Times New Roman"/>
          <w:kern w:val="0"/>
          <w:sz w:val="24"/>
          <w:szCs w:val="24"/>
        </w:rPr>
        <w:t>; -</w:t>
      </w:r>
    </w:p>
    <w:p w14:paraId="738CA05D" w14:textId="119F90BE" w:rsidR="00D3755D" w:rsidRPr="00D3755D" w:rsidRDefault="00D3755D" w:rsidP="00D3755D">
      <w:pPr>
        <w:autoSpaceDE w:val="0"/>
        <w:autoSpaceDN w:val="0"/>
        <w:adjustRightInd w:val="0"/>
        <w:spacing w:after="0" w:line="360" w:lineRule="auto"/>
        <w:ind w:left="737"/>
        <w:jc w:val="both"/>
        <w:rPr>
          <w:rFonts w:ascii="Times New Roman" w:hAnsi="Times New Roman" w:cs="Times New Roman"/>
          <w:kern w:val="0"/>
          <w:sz w:val="24"/>
          <w:szCs w:val="24"/>
        </w:rPr>
      </w:pPr>
      <w:r w:rsidRPr="00D3755D">
        <w:rPr>
          <w:rFonts w:ascii="Times New Roman" w:hAnsi="Times New Roman" w:cs="Times New Roman"/>
          <w:kern w:val="0"/>
          <w:sz w:val="24"/>
          <w:szCs w:val="24"/>
        </w:rPr>
        <w:t>“Whenever a statute comes up for consideration it must be remembered that it is not within human powers to foresee the manifold sets of facts which may arise, and, even if it were, it is not possible to provide for them in terms free from all ambiguity. The English language is not an instrument of mathematical precision. Our literature would be much the poorer if it were.”</w:t>
      </w:r>
    </w:p>
    <w:p w14:paraId="2B967329" w14:textId="6CA1035C" w:rsidR="0011312A" w:rsidRPr="00D3755D" w:rsidRDefault="0011312A" w:rsidP="00D3755D">
      <w:pPr>
        <w:pStyle w:val="Default"/>
        <w:spacing w:line="360" w:lineRule="auto"/>
        <w:jc w:val="both"/>
        <w:rPr>
          <w:rFonts w:ascii="Times New Roman" w:hAnsi="Times New Roman" w:cs="Times New Roman"/>
        </w:rPr>
      </w:pPr>
    </w:p>
    <w:p w14:paraId="713142D2" w14:textId="16495E89" w:rsidR="009E4BCC" w:rsidRPr="002E2852" w:rsidRDefault="00D3755D" w:rsidP="009E4BCC">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rPr>
        <w:t>[</w:t>
      </w:r>
      <w:r w:rsidR="002E2852">
        <w:rPr>
          <w:rFonts w:ascii="Times New Roman" w:hAnsi="Times New Roman" w:cs="Times New Roman"/>
          <w:sz w:val="24"/>
          <w:szCs w:val="24"/>
        </w:rPr>
        <w:t>40</w:t>
      </w:r>
      <w:r w:rsidRPr="00755F3B">
        <w:rPr>
          <w:rFonts w:ascii="Times New Roman" w:hAnsi="Times New Roman" w:cs="Times New Roman"/>
          <w:sz w:val="24"/>
          <w:szCs w:val="24"/>
        </w:rPr>
        <w:t xml:space="preserve">] This decision was cited with approval in </w:t>
      </w:r>
      <w:r w:rsidRPr="00811BB1">
        <w:rPr>
          <w:rFonts w:ascii="Times New Roman" w:hAnsi="Times New Roman" w:cs="Times New Roman"/>
          <w:i/>
          <w:iCs/>
          <w:sz w:val="24"/>
          <w:szCs w:val="24"/>
        </w:rPr>
        <w:t xml:space="preserve">S v </w:t>
      </w:r>
      <w:r w:rsidR="00811BB1" w:rsidRPr="00811BB1">
        <w:rPr>
          <w:rFonts w:ascii="Times New Roman" w:hAnsi="Times New Roman" w:cs="Times New Roman"/>
          <w:i/>
          <w:iCs/>
          <w:sz w:val="24"/>
          <w:szCs w:val="24"/>
        </w:rPr>
        <w:t>K</w:t>
      </w:r>
      <w:r w:rsidR="00811BB1">
        <w:rPr>
          <w:rFonts w:ascii="Times New Roman" w:hAnsi="Times New Roman" w:cs="Times New Roman"/>
        </w:rPr>
        <w:t xml:space="preserve"> </w:t>
      </w:r>
      <w:r w:rsidR="002E2852" w:rsidRPr="002E2852">
        <w:rPr>
          <w:rFonts w:ascii="Times New Roman" w:hAnsi="Times New Roman" w:cs="Times New Roman"/>
          <w:sz w:val="24"/>
          <w:szCs w:val="24"/>
        </w:rPr>
        <w:t>(supra), where</w:t>
      </w:r>
      <w:r w:rsidR="009E4BCC" w:rsidRPr="002E2852">
        <w:rPr>
          <w:rFonts w:ascii="Times New Roman" w:hAnsi="Times New Roman" w:cs="Times New Roman"/>
          <w:sz w:val="24"/>
          <w:szCs w:val="24"/>
        </w:rPr>
        <w:t xml:space="preserve"> the</w:t>
      </w:r>
      <w:r w:rsidR="00755F3B" w:rsidRPr="002E2852">
        <w:rPr>
          <w:rFonts w:ascii="Times New Roman" w:hAnsi="Times New Roman" w:cs="Times New Roman"/>
          <w:sz w:val="24"/>
          <w:szCs w:val="24"/>
        </w:rPr>
        <w:t xml:space="preserve"> problem confronting the court </w:t>
      </w:r>
      <w:r w:rsidR="009E4BCC" w:rsidRPr="002E2852">
        <w:rPr>
          <w:rFonts w:ascii="Times New Roman" w:hAnsi="Times New Roman" w:cs="Times New Roman"/>
          <w:sz w:val="24"/>
          <w:szCs w:val="24"/>
        </w:rPr>
        <w:t xml:space="preserve">was expressed as follows at </w:t>
      </w:r>
      <w:r w:rsidR="009E4BCC" w:rsidRPr="002E2852">
        <w:rPr>
          <w:rFonts w:ascii="Times New Roman" w:hAnsi="Times New Roman" w:cs="Times New Roman"/>
          <w:kern w:val="0"/>
          <w:sz w:val="24"/>
          <w:szCs w:val="24"/>
        </w:rPr>
        <w:t>417 A-</w:t>
      </w:r>
      <w:r w:rsidR="009E4BCC" w:rsidRPr="002E2852">
        <w:rPr>
          <w:rFonts w:ascii="Times New Roman" w:hAnsi="Times New Roman" w:cs="Times New Roman"/>
          <w:sz w:val="24"/>
          <w:szCs w:val="24"/>
        </w:rPr>
        <w:t>B; -</w:t>
      </w:r>
    </w:p>
    <w:p w14:paraId="09DD7677" w14:textId="77777777" w:rsidR="009E4BCC" w:rsidRDefault="009E4BCC" w:rsidP="009E4BCC">
      <w:pPr>
        <w:autoSpaceDE w:val="0"/>
        <w:autoSpaceDN w:val="0"/>
        <w:adjustRightInd w:val="0"/>
        <w:spacing w:after="0" w:line="240" w:lineRule="auto"/>
        <w:jc w:val="both"/>
        <w:rPr>
          <w:rFonts w:ascii="ArialMT" w:hAnsi="ArialMT" w:cs="ArialMT"/>
          <w:kern w:val="0"/>
          <w:sz w:val="16"/>
          <w:szCs w:val="16"/>
        </w:rPr>
      </w:pPr>
    </w:p>
    <w:p w14:paraId="73EF2582" w14:textId="1FFBCF29" w:rsidR="00811BB1" w:rsidRDefault="009E4BCC" w:rsidP="009E4BCC">
      <w:pPr>
        <w:autoSpaceDE w:val="0"/>
        <w:autoSpaceDN w:val="0"/>
        <w:adjustRightInd w:val="0"/>
        <w:spacing w:after="0" w:line="360" w:lineRule="auto"/>
        <w:ind w:left="737"/>
        <w:jc w:val="both"/>
        <w:rPr>
          <w:rFonts w:ascii="Times New Roman" w:hAnsi="Times New Roman" w:cs="Times New Roman"/>
          <w:sz w:val="24"/>
          <w:szCs w:val="24"/>
        </w:rPr>
      </w:pPr>
      <w:r>
        <w:rPr>
          <w:rFonts w:ascii="Times New Roman" w:hAnsi="Times New Roman" w:cs="Times New Roman"/>
          <w:kern w:val="0"/>
          <w:sz w:val="24"/>
          <w:szCs w:val="24"/>
        </w:rPr>
        <w:t>“</w:t>
      </w:r>
      <w:r w:rsidRPr="00D576B8">
        <w:rPr>
          <w:rFonts w:ascii="Times New Roman" w:hAnsi="Times New Roman" w:cs="Times New Roman"/>
          <w:kern w:val="0"/>
          <w:sz w:val="24"/>
          <w:szCs w:val="24"/>
        </w:rPr>
        <w:t xml:space="preserve">Section 248 does not provide for a mental disorder or defect being a complete defence. It </w:t>
      </w:r>
      <w:r>
        <w:rPr>
          <w:rFonts w:ascii="Times New Roman" w:hAnsi="Times New Roman" w:cs="Times New Roman"/>
          <w:kern w:val="0"/>
          <w:sz w:val="24"/>
          <w:szCs w:val="24"/>
        </w:rPr>
        <w:t>p</w:t>
      </w:r>
      <w:r w:rsidRPr="00D576B8">
        <w:rPr>
          <w:rFonts w:ascii="Times New Roman" w:hAnsi="Times New Roman" w:cs="Times New Roman"/>
          <w:kern w:val="0"/>
          <w:sz w:val="24"/>
          <w:szCs w:val="24"/>
        </w:rPr>
        <w:t>rovides for consent to medical treatment for non-therapeutic</w:t>
      </w:r>
      <w:r>
        <w:rPr>
          <w:rFonts w:ascii="Times New Roman" w:hAnsi="Times New Roman" w:cs="Times New Roman"/>
          <w:kern w:val="0"/>
          <w:sz w:val="24"/>
          <w:szCs w:val="24"/>
        </w:rPr>
        <w:t xml:space="preserve"> </w:t>
      </w:r>
      <w:r w:rsidRPr="00D576B8">
        <w:rPr>
          <w:rFonts w:ascii="Times New Roman" w:hAnsi="Times New Roman" w:cs="Times New Roman"/>
          <w:kern w:val="0"/>
          <w:sz w:val="24"/>
          <w:szCs w:val="24"/>
        </w:rPr>
        <w:t>A purposes. It is therefore not the provision intended by the legislature in</w:t>
      </w:r>
      <w:r>
        <w:rPr>
          <w:rFonts w:ascii="Times New Roman" w:hAnsi="Times New Roman" w:cs="Times New Roman"/>
          <w:kern w:val="0"/>
          <w:sz w:val="24"/>
          <w:szCs w:val="24"/>
        </w:rPr>
        <w:t xml:space="preserve"> </w:t>
      </w:r>
      <w:r w:rsidRPr="00D576B8">
        <w:rPr>
          <w:rFonts w:ascii="Times New Roman" w:hAnsi="Times New Roman" w:cs="Times New Roman"/>
          <w:kern w:val="0"/>
          <w:sz w:val="24"/>
          <w:szCs w:val="24"/>
        </w:rPr>
        <w:t>s 29(2) of the Mental Health Act. The legislature clearly intended to refer to</w:t>
      </w:r>
      <w:r>
        <w:rPr>
          <w:rFonts w:ascii="Times New Roman" w:hAnsi="Times New Roman" w:cs="Times New Roman"/>
          <w:kern w:val="0"/>
          <w:sz w:val="24"/>
          <w:szCs w:val="24"/>
        </w:rPr>
        <w:t xml:space="preserve"> </w:t>
      </w:r>
      <w:r w:rsidRPr="00D576B8">
        <w:rPr>
          <w:rFonts w:ascii="Times New Roman" w:hAnsi="Times New Roman" w:cs="Times New Roman"/>
          <w:kern w:val="0"/>
          <w:sz w:val="24"/>
          <w:szCs w:val="24"/>
        </w:rPr>
        <w:t xml:space="preserve">a section of the Code which provides for a mental disorder or </w:t>
      </w:r>
      <w:r>
        <w:rPr>
          <w:rFonts w:ascii="Times New Roman" w:hAnsi="Times New Roman" w:cs="Times New Roman"/>
          <w:kern w:val="0"/>
          <w:sz w:val="24"/>
          <w:szCs w:val="24"/>
        </w:rPr>
        <w:t>d</w:t>
      </w:r>
      <w:r w:rsidRPr="00D576B8">
        <w:rPr>
          <w:rFonts w:ascii="Times New Roman" w:hAnsi="Times New Roman" w:cs="Times New Roman"/>
          <w:kern w:val="0"/>
          <w:sz w:val="24"/>
          <w:szCs w:val="24"/>
        </w:rPr>
        <w:t>efect being</w:t>
      </w:r>
      <w:r>
        <w:rPr>
          <w:rFonts w:ascii="Times New Roman" w:hAnsi="Times New Roman" w:cs="Times New Roman"/>
          <w:kern w:val="0"/>
          <w:sz w:val="24"/>
          <w:szCs w:val="24"/>
        </w:rPr>
        <w:t xml:space="preserve"> </w:t>
      </w:r>
      <w:r w:rsidRPr="00D576B8">
        <w:rPr>
          <w:rFonts w:ascii="Times New Roman" w:hAnsi="Times New Roman" w:cs="Times New Roman"/>
          <w:kern w:val="0"/>
          <w:sz w:val="24"/>
          <w:szCs w:val="24"/>
        </w:rPr>
        <w:t>a complete defence. There is no doubt in my mind that a wrong section was</w:t>
      </w:r>
      <w:r>
        <w:rPr>
          <w:rFonts w:ascii="Times New Roman" w:hAnsi="Times New Roman" w:cs="Times New Roman"/>
          <w:kern w:val="0"/>
          <w:sz w:val="24"/>
          <w:szCs w:val="24"/>
        </w:rPr>
        <w:t xml:space="preserve"> </w:t>
      </w:r>
      <w:r w:rsidRPr="00D576B8">
        <w:rPr>
          <w:rFonts w:ascii="Times New Roman" w:hAnsi="Times New Roman" w:cs="Times New Roman"/>
          <w:kern w:val="0"/>
          <w:sz w:val="24"/>
          <w:szCs w:val="24"/>
        </w:rPr>
        <w:t>referred to in s 29(2) of the Mental Health Act. There is therefore an error</w:t>
      </w:r>
      <w:r>
        <w:rPr>
          <w:rFonts w:ascii="Times New Roman" w:hAnsi="Times New Roman" w:cs="Times New Roman"/>
          <w:kern w:val="0"/>
          <w:sz w:val="24"/>
          <w:szCs w:val="24"/>
        </w:rPr>
        <w:t xml:space="preserve"> </w:t>
      </w:r>
      <w:r w:rsidRPr="00D576B8">
        <w:rPr>
          <w:rFonts w:ascii="Times New Roman" w:hAnsi="Times New Roman" w:cs="Times New Roman"/>
          <w:kern w:val="0"/>
          <w:sz w:val="24"/>
          <w:szCs w:val="24"/>
        </w:rPr>
        <w:t>of reference. The intention of the legislature was obviously to refer to the</w:t>
      </w:r>
      <w:r>
        <w:rPr>
          <w:rFonts w:ascii="Times New Roman" w:hAnsi="Times New Roman" w:cs="Times New Roman"/>
          <w:kern w:val="0"/>
          <w:sz w:val="24"/>
          <w:szCs w:val="24"/>
        </w:rPr>
        <w:t xml:space="preserve"> </w:t>
      </w:r>
      <w:r w:rsidRPr="00D576B8">
        <w:rPr>
          <w:rFonts w:ascii="Times New Roman" w:hAnsi="Times New Roman" w:cs="Times New Roman"/>
          <w:kern w:val="0"/>
          <w:sz w:val="24"/>
          <w:szCs w:val="24"/>
        </w:rPr>
        <w:t>section which provides that a mental disorder or defect can be a complete</w:t>
      </w:r>
      <w:r>
        <w:rPr>
          <w:rFonts w:ascii="Times New Roman" w:hAnsi="Times New Roman" w:cs="Times New Roman"/>
          <w:kern w:val="0"/>
          <w:sz w:val="24"/>
          <w:szCs w:val="24"/>
        </w:rPr>
        <w:t xml:space="preserve"> </w:t>
      </w:r>
      <w:r w:rsidRPr="00D576B8">
        <w:rPr>
          <w:rFonts w:ascii="Times New Roman" w:hAnsi="Times New Roman" w:cs="Times New Roman"/>
          <w:kern w:val="0"/>
          <w:sz w:val="24"/>
          <w:szCs w:val="24"/>
        </w:rPr>
        <w:t>defence. A reading of the Code reveals that s 227 of the Code deals with</w:t>
      </w:r>
      <w:r>
        <w:rPr>
          <w:rFonts w:ascii="Times New Roman" w:hAnsi="Times New Roman" w:cs="Times New Roman"/>
          <w:kern w:val="0"/>
          <w:sz w:val="24"/>
          <w:szCs w:val="24"/>
        </w:rPr>
        <w:t xml:space="preserve"> </w:t>
      </w:r>
      <w:r w:rsidRPr="00D576B8">
        <w:rPr>
          <w:rFonts w:ascii="Times New Roman" w:hAnsi="Times New Roman" w:cs="Times New Roman"/>
          <w:kern w:val="0"/>
          <w:sz w:val="24"/>
          <w:szCs w:val="24"/>
        </w:rPr>
        <w:t>that issue.</w:t>
      </w:r>
      <w:r>
        <w:rPr>
          <w:rFonts w:ascii="Times New Roman" w:hAnsi="Times New Roman" w:cs="Times New Roman"/>
          <w:kern w:val="0"/>
          <w:sz w:val="24"/>
          <w:szCs w:val="24"/>
        </w:rPr>
        <w:t>”</w:t>
      </w:r>
    </w:p>
    <w:p w14:paraId="77A010F2" w14:textId="77777777" w:rsidR="00811BB1" w:rsidRDefault="00811BB1" w:rsidP="00811BB1">
      <w:pPr>
        <w:autoSpaceDE w:val="0"/>
        <w:autoSpaceDN w:val="0"/>
        <w:adjustRightInd w:val="0"/>
        <w:spacing w:after="0" w:line="360" w:lineRule="auto"/>
        <w:jc w:val="both"/>
        <w:rPr>
          <w:rFonts w:ascii="Times New Roman" w:hAnsi="Times New Roman" w:cs="Times New Roman"/>
          <w:sz w:val="24"/>
          <w:szCs w:val="24"/>
        </w:rPr>
      </w:pPr>
    </w:p>
    <w:p w14:paraId="3436B17C" w14:textId="4964D8D8" w:rsidR="009E4BCC" w:rsidRDefault="00811BB1" w:rsidP="009E4BCC">
      <w:pPr>
        <w:autoSpaceDE w:val="0"/>
        <w:autoSpaceDN w:val="0"/>
        <w:adjustRightInd w:val="0"/>
        <w:spacing w:after="0" w:line="360" w:lineRule="auto"/>
        <w:jc w:val="both"/>
        <w:rPr>
          <w:rFonts w:ascii="TimesNewRomanPSMT" w:hAnsi="TimesNewRomanPSMT" w:cs="TimesNewRomanPSMT"/>
          <w:kern w:val="0"/>
          <w:sz w:val="24"/>
          <w:szCs w:val="24"/>
        </w:rPr>
      </w:pPr>
      <w:r>
        <w:rPr>
          <w:rFonts w:ascii="Times New Roman" w:hAnsi="Times New Roman" w:cs="Times New Roman"/>
          <w:sz w:val="24"/>
          <w:szCs w:val="24"/>
        </w:rPr>
        <w:t>[</w:t>
      </w:r>
      <w:r w:rsidR="00AD5143">
        <w:rPr>
          <w:rFonts w:ascii="Times New Roman" w:hAnsi="Times New Roman" w:cs="Times New Roman"/>
          <w:sz w:val="24"/>
          <w:szCs w:val="24"/>
        </w:rPr>
        <w:t>4</w:t>
      </w:r>
      <w:r w:rsidR="002E2852">
        <w:rPr>
          <w:rFonts w:ascii="Times New Roman" w:hAnsi="Times New Roman" w:cs="Times New Roman"/>
          <w:sz w:val="24"/>
          <w:szCs w:val="24"/>
        </w:rPr>
        <w:t>1</w:t>
      </w:r>
      <w:r>
        <w:rPr>
          <w:rFonts w:ascii="Times New Roman" w:hAnsi="Times New Roman" w:cs="Times New Roman"/>
          <w:sz w:val="24"/>
          <w:szCs w:val="24"/>
        </w:rPr>
        <w:t xml:space="preserve">] </w:t>
      </w:r>
      <w:r w:rsidR="009E4BCC">
        <w:rPr>
          <w:rFonts w:ascii="Times New Roman" w:hAnsi="Times New Roman" w:cs="Times New Roman"/>
          <w:sz w:val="24"/>
          <w:szCs w:val="24"/>
        </w:rPr>
        <w:t xml:space="preserve">In seeking to address the above anomaly, </w:t>
      </w:r>
      <w:r w:rsidR="009E4BCC" w:rsidRPr="00811BB1">
        <w:rPr>
          <w:rFonts w:ascii="Times New Roman" w:hAnsi="Times New Roman" w:cs="Times New Roman"/>
          <w:sz w:val="24"/>
          <w:szCs w:val="24"/>
        </w:rPr>
        <w:t>the</w:t>
      </w:r>
      <w:r w:rsidRPr="00811BB1">
        <w:rPr>
          <w:rFonts w:ascii="Times New Roman" w:hAnsi="Times New Roman" w:cs="Times New Roman"/>
          <w:sz w:val="24"/>
          <w:szCs w:val="24"/>
        </w:rPr>
        <w:t xml:space="preserve"> court </w:t>
      </w:r>
      <w:r w:rsidR="009E4BCC">
        <w:rPr>
          <w:rFonts w:ascii="Times New Roman" w:hAnsi="Times New Roman" w:cs="Times New Roman"/>
          <w:sz w:val="24"/>
          <w:szCs w:val="24"/>
        </w:rPr>
        <w:t xml:space="preserve">considered authorities on the point </w:t>
      </w:r>
      <w:r w:rsidRPr="00811BB1">
        <w:rPr>
          <w:rFonts w:ascii="Times New Roman" w:hAnsi="Times New Roman" w:cs="Times New Roman"/>
          <w:sz w:val="24"/>
          <w:szCs w:val="24"/>
        </w:rPr>
        <w:t xml:space="preserve">including </w:t>
      </w:r>
      <w:r w:rsidRPr="00811BB1">
        <w:rPr>
          <w:rFonts w:ascii="TimesNewRomanPS-ItalicMT" w:hAnsi="TimesNewRomanPS-ItalicMT" w:cs="TimesNewRomanPS-ItalicMT"/>
          <w:i/>
          <w:iCs/>
          <w:kern w:val="0"/>
          <w:sz w:val="24"/>
          <w:szCs w:val="24"/>
        </w:rPr>
        <w:t xml:space="preserve">Skinner </w:t>
      </w:r>
      <w:r w:rsidRPr="00811BB1">
        <w:rPr>
          <w:rFonts w:ascii="TimesNewRomanPSMT" w:hAnsi="TimesNewRomanPSMT" w:cs="TimesNewRomanPSMT"/>
          <w:kern w:val="0"/>
          <w:sz w:val="24"/>
          <w:szCs w:val="24"/>
        </w:rPr>
        <w:t>v</w:t>
      </w:r>
      <w:r>
        <w:rPr>
          <w:rFonts w:ascii="TimesNewRomanPSMT" w:hAnsi="TimesNewRomanPSMT" w:cs="TimesNewRomanPSMT"/>
          <w:kern w:val="0"/>
          <w:sz w:val="24"/>
          <w:szCs w:val="24"/>
        </w:rPr>
        <w:t xml:space="preserve"> </w:t>
      </w:r>
      <w:r w:rsidRPr="00811BB1">
        <w:rPr>
          <w:rFonts w:ascii="TimesNewRomanPS-ItalicMT" w:hAnsi="TimesNewRomanPS-ItalicMT" w:cs="TimesNewRomanPS-ItalicMT"/>
          <w:i/>
          <w:iCs/>
          <w:kern w:val="0"/>
          <w:sz w:val="24"/>
          <w:szCs w:val="24"/>
        </w:rPr>
        <w:t xml:space="preserve">Palmer </w:t>
      </w:r>
      <w:r w:rsidRPr="00811BB1">
        <w:rPr>
          <w:rFonts w:ascii="TimesNewRomanPSMT" w:hAnsi="TimesNewRomanPSMT" w:cs="TimesNewRomanPSMT"/>
          <w:kern w:val="0"/>
          <w:sz w:val="24"/>
          <w:szCs w:val="24"/>
        </w:rPr>
        <w:t>1919 WLD 39</w:t>
      </w:r>
      <w:r w:rsidRPr="00811BB1">
        <w:rPr>
          <w:rFonts w:ascii="TimesNewRomanPS-ItalicMT" w:hAnsi="TimesNewRomanPS-ItalicMT" w:cs="TimesNewRomanPS-ItalicMT"/>
          <w:i/>
          <w:iCs/>
          <w:kern w:val="0"/>
          <w:sz w:val="24"/>
          <w:szCs w:val="24"/>
        </w:rPr>
        <w:t xml:space="preserve"> Durban City Council </w:t>
      </w:r>
      <w:r w:rsidRPr="00811BB1">
        <w:rPr>
          <w:rFonts w:ascii="TimesNewRomanPSMT" w:hAnsi="TimesNewRomanPSMT" w:cs="TimesNewRomanPSMT"/>
          <w:kern w:val="0"/>
          <w:sz w:val="24"/>
          <w:szCs w:val="24"/>
        </w:rPr>
        <w:t xml:space="preserve">v </w:t>
      </w:r>
      <w:r w:rsidRPr="00811BB1">
        <w:rPr>
          <w:rFonts w:ascii="TimesNewRomanPS-ItalicMT" w:hAnsi="TimesNewRomanPS-ItalicMT" w:cs="TimesNewRomanPS-ItalicMT"/>
          <w:i/>
          <w:iCs/>
          <w:kern w:val="0"/>
          <w:sz w:val="24"/>
          <w:szCs w:val="24"/>
        </w:rPr>
        <w:t xml:space="preserve">Gray </w:t>
      </w:r>
      <w:r w:rsidRPr="00811BB1">
        <w:rPr>
          <w:rFonts w:ascii="TimesNewRomanPSMT" w:hAnsi="TimesNewRomanPSMT" w:cs="TimesNewRomanPSMT"/>
          <w:kern w:val="0"/>
          <w:sz w:val="24"/>
          <w:szCs w:val="24"/>
        </w:rPr>
        <w:t>1951 (3) SA 568(A);</w:t>
      </w:r>
      <w:r w:rsidRPr="00811BB1">
        <w:rPr>
          <w:rFonts w:ascii="TimesNewRomanPS-ItalicMT" w:hAnsi="TimesNewRomanPS-ItalicMT" w:cs="TimesNewRomanPS-ItalicMT"/>
          <w:i/>
          <w:iCs/>
          <w:kern w:val="0"/>
          <w:sz w:val="24"/>
          <w:szCs w:val="24"/>
        </w:rPr>
        <w:t xml:space="preserve"> </w:t>
      </w:r>
      <w:r w:rsidRPr="00811BB1">
        <w:rPr>
          <w:rFonts w:ascii="TimesNewRomanPS-ItalicMT" w:hAnsi="TimesNewRomanPS-ItalicMT" w:cs="TimesNewRomanPS-ItalicMT"/>
          <w:i/>
          <w:iCs/>
          <w:kern w:val="0"/>
          <w:sz w:val="24"/>
          <w:szCs w:val="24"/>
        </w:rPr>
        <w:lastRenderedPageBreak/>
        <w:t xml:space="preserve">S </w:t>
      </w:r>
      <w:r w:rsidRPr="00811BB1">
        <w:rPr>
          <w:rFonts w:ascii="TimesNewRomanPSMT" w:hAnsi="TimesNewRomanPSMT" w:cs="TimesNewRomanPSMT"/>
          <w:kern w:val="0"/>
          <w:sz w:val="24"/>
          <w:szCs w:val="24"/>
        </w:rPr>
        <w:t xml:space="preserve">v </w:t>
      </w:r>
      <w:r w:rsidRPr="00811BB1">
        <w:rPr>
          <w:rFonts w:ascii="TimesNewRomanPS-ItalicMT" w:hAnsi="TimesNewRomanPS-ItalicMT" w:cs="TimesNewRomanPS-ItalicMT"/>
          <w:i/>
          <w:iCs/>
          <w:kern w:val="0"/>
          <w:sz w:val="24"/>
          <w:szCs w:val="24"/>
        </w:rPr>
        <w:t xml:space="preserve">Aitken </w:t>
      </w:r>
      <w:r w:rsidRPr="00811BB1">
        <w:rPr>
          <w:rFonts w:ascii="TimesNewRomanPSMT" w:hAnsi="TimesNewRomanPSMT" w:cs="TimesNewRomanPSMT"/>
          <w:kern w:val="0"/>
          <w:sz w:val="24"/>
          <w:szCs w:val="24"/>
        </w:rPr>
        <w:t>1992 (2) ZLR 84 (S)</w:t>
      </w:r>
      <w:r w:rsidRPr="00811BB1">
        <w:rPr>
          <w:rFonts w:ascii="TimesNewRomanPSMT" w:hAnsi="TimesNewRomanPSMT" w:cs="TimesNewRomanPSMT"/>
          <w:sz w:val="24"/>
          <w:szCs w:val="24"/>
        </w:rPr>
        <w:t>;</w:t>
      </w:r>
      <w:r w:rsidRPr="00811BB1">
        <w:rPr>
          <w:rFonts w:ascii="TimesNewRomanPS-ItalicMT" w:hAnsi="TimesNewRomanPS-ItalicMT" w:cs="TimesNewRomanPS-ItalicMT"/>
          <w:i/>
          <w:iCs/>
          <w:kern w:val="0"/>
          <w:sz w:val="24"/>
          <w:szCs w:val="24"/>
        </w:rPr>
        <w:t xml:space="preserve"> S </w:t>
      </w:r>
      <w:r w:rsidRPr="00811BB1">
        <w:rPr>
          <w:rFonts w:ascii="TimesNewRomanPSMT" w:hAnsi="TimesNewRomanPSMT" w:cs="TimesNewRomanPSMT"/>
          <w:kern w:val="0"/>
          <w:sz w:val="24"/>
          <w:szCs w:val="24"/>
        </w:rPr>
        <w:t xml:space="preserve">v </w:t>
      </w:r>
      <w:r w:rsidRPr="00811BB1">
        <w:rPr>
          <w:rFonts w:ascii="TimesNewRomanPS-ItalicMT" w:hAnsi="TimesNewRomanPS-ItalicMT" w:cs="TimesNewRomanPS-ItalicMT"/>
          <w:i/>
          <w:iCs/>
          <w:kern w:val="0"/>
          <w:sz w:val="24"/>
          <w:szCs w:val="24"/>
        </w:rPr>
        <w:t xml:space="preserve">Karani </w:t>
      </w:r>
      <w:r w:rsidRPr="00811BB1">
        <w:rPr>
          <w:rFonts w:ascii="TimesNewRomanPSMT" w:hAnsi="TimesNewRomanPSMT" w:cs="TimesNewRomanPSMT"/>
          <w:kern w:val="0"/>
          <w:sz w:val="24"/>
          <w:szCs w:val="24"/>
        </w:rPr>
        <w:t>1997 (2) ZLR 114 (H);</w:t>
      </w:r>
      <w:r>
        <w:rPr>
          <w:rFonts w:ascii="TimesNewRomanPSMT" w:hAnsi="TimesNewRomanPSMT" w:cs="TimesNewRomanPSMT"/>
          <w:kern w:val="0"/>
          <w:sz w:val="24"/>
          <w:szCs w:val="24"/>
        </w:rPr>
        <w:t xml:space="preserve"> and </w:t>
      </w:r>
      <w:r w:rsidRPr="00811BB1">
        <w:rPr>
          <w:rFonts w:ascii="TimesNewRomanPS-ItalicMT" w:hAnsi="TimesNewRomanPS-ItalicMT" w:cs="TimesNewRomanPS-ItalicMT"/>
          <w:i/>
          <w:iCs/>
          <w:kern w:val="0"/>
          <w:sz w:val="24"/>
          <w:szCs w:val="24"/>
        </w:rPr>
        <w:t xml:space="preserve">Bennett NO </w:t>
      </w:r>
      <w:r w:rsidRPr="00811BB1">
        <w:rPr>
          <w:rFonts w:ascii="TimesNewRomanPSMT" w:hAnsi="TimesNewRomanPSMT" w:cs="TimesNewRomanPSMT"/>
          <w:kern w:val="0"/>
          <w:sz w:val="24"/>
          <w:szCs w:val="24"/>
        </w:rPr>
        <w:t xml:space="preserve">v </w:t>
      </w:r>
      <w:r w:rsidRPr="00811BB1">
        <w:rPr>
          <w:rFonts w:ascii="TimesNewRomanPS-ItalicMT" w:hAnsi="TimesNewRomanPS-ItalicMT" w:cs="TimesNewRomanPS-ItalicMT"/>
          <w:i/>
          <w:iCs/>
          <w:kern w:val="0"/>
          <w:sz w:val="24"/>
          <w:szCs w:val="24"/>
        </w:rPr>
        <w:t xml:space="preserve">Master of the High Court </w:t>
      </w:r>
      <w:r w:rsidRPr="00811BB1">
        <w:rPr>
          <w:rFonts w:ascii="TimesNewRomanPSMT" w:hAnsi="TimesNewRomanPSMT" w:cs="TimesNewRomanPSMT"/>
          <w:kern w:val="0"/>
          <w:sz w:val="24"/>
          <w:szCs w:val="24"/>
        </w:rPr>
        <w:t>1986 (1) ZLR 127 (H</w:t>
      </w:r>
      <w:r w:rsidR="008A4DB1" w:rsidRPr="00811BB1">
        <w:rPr>
          <w:rFonts w:ascii="TimesNewRomanPSMT" w:hAnsi="TimesNewRomanPSMT" w:cs="TimesNewRomanPSMT"/>
          <w:kern w:val="0"/>
          <w:sz w:val="24"/>
          <w:szCs w:val="24"/>
        </w:rPr>
        <w:t>)</w:t>
      </w:r>
      <w:r w:rsidR="008A4DB1">
        <w:rPr>
          <w:rFonts w:ascii="TimesNewRomanPSMT" w:hAnsi="TimesNewRomanPSMT" w:cs="TimesNewRomanPSMT"/>
          <w:kern w:val="0"/>
          <w:sz w:val="24"/>
          <w:szCs w:val="24"/>
        </w:rPr>
        <w:t xml:space="preserve">. It </w:t>
      </w:r>
      <w:r>
        <w:rPr>
          <w:rFonts w:ascii="TimesNewRomanPSMT" w:hAnsi="TimesNewRomanPSMT" w:cs="TimesNewRomanPSMT"/>
          <w:kern w:val="0"/>
          <w:sz w:val="24"/>
          <w:szCs w:val="24"/>
        </w:rPr>
        <w:t>resolved the matter as follows</w:t>
      </w:r>
      <w:r w:rsidR="009E4BCC">
        <w:rPr>
          <w:rFonts w:ascii="TimesNewRomanPSMT" w:hAnsi="TimesNewRomanPSMT" w:cs="TimesNewRomanPSMT"/>
          <w:kern w:val="0"/>
          <w:sz w:val="24"/>
          <w:szCs w:val="24"/>
        </w:rPr>
        <w:t xml:space="preserve"> at</w:t>
      </w:r>
      <w:r w:rsidR="008A4DB1">
        <w:rPr>
          <w:rFonts w:ascii="TimesNewRomanPSMT" w:hAnsi="TimesNewRomanPSMT" w:cs="TimesNewRomanPSMT"/>
          <w:kern w:val="0"/>
          <w:sz w:val="24"/>
          <w:szCs w:val="24"/>
        </w:rPr>
        <w:t xml:space="preserve"> 419 A-B; -</w:t>
      </w:r>
    </w:p>
    <w:p w14:paraId="0A685AB4" w14:textId="77777777" w:rsidR="008A4DB1" w:rsidRDefault="008A4DB1" w:rsidP="009E4BCC">
      <w:pPr>
        <w:autoSpaceDE w:val="0"/>
        <w:autoSpaceDN w:val="0"/>
        <w:adjustRightInd w:val="0"/>
        <w:spacing w:after="0" w:line="360" w:lineRule="auto"/>
        <w:jc w:val="both"/>
        <w:rPr>
          <w:rFonts w:ascii="TimesNewRomanPSMT" w:hAnsi="TimesNewRomanPSMT" w:cs="TimesNewRomanPSMT"/>
          <w:kern w:val="0"/>
          <w:sz w:val="24"/>
          <w:szCs w:val="24"/>
        </w:rPr>
      </w:pPr>
    </w:p>
    <w:p w14:paraId="3649F5CC" w14:textId="4A798DFE" w:rsidR="008A4DB1" w:rsidRPr="008A4DB1" w:rsidRDefault="008A4DB1" w:rsidP="008A4DB1">
      <w:pPr>
        <w:autoSpaceDE w:val="0"/>
        <w:autoSpaceDN w:val="0"/>
        <w:adjustRightInd w:val="0"/>
        <w:spacing w:after="0" w:line="360" w:lineRule="auto"/>
        <w:ind w:left="737"/>
        <w:jc w:val="both"/>
        <w:rPr>
          <w:rFonts w:ascii="TimesNewRomanPSMT" w:hAnsi="TimesNewRomanPSMT" w:cs="TimesNewRomanPSMT"/>
          <w:kern w:val="0"/>
          <w:sz w:val="24"/>
          <w:szCs w:val="24"/>
        </w:rPr>
      </w:pPr>
      <w:r w:rsidRPr="008A4DB1">
        <w:rPr>
          <w:rFonts w:ascii="TimesNewRomanPSMT" w:hAnsi="TimesNewRomanPSMT" w:cs="TimesNewRomanPSMT"/>
          <w:kern w:val="0"/>
          <w:sz w:val="24"/>
          <w:szCs w:val="24"/>
        </w:rPr>
        <w:t>“I am satisfied that the legislature in this case said what it did not intend to say. The rest of its words in s 29(2) of the Mental Health Act clearly point to its having intended to refer to s 227 of the Code. Its reference to s 248 of the Code is therefore a mistake which this court must correct to give effect to the clear intention of the legislature.”</w:t>
      </w:r>
    </w:p>
    <w:p w14:paraId="421FC5FA" w14:textId="77777777" w:rsidR="009861F0" w:rsidRDefault="00811BB1" w:rsidP="0036178E">
      <w:pPr>
        <w:pStyle w:val="Default"/>
        <w:spacing w:line="360" w:lineRule="auto"/>
        <w:rPr>
          <w:rFonts w:ascii="TimesNewRomanPSMT" w:hAnsi="TimesNewRomanPSMT" w:cs="TimesNewRomanPSMT"/>
        </w:rPr>
      </w:pPr>
      <w:r>
        <w:rPr>
          <w:rFonts w:ascii="TimesNewRomanPSMT" w:hAnsi="TimesNewRomanPSMT" w:cs="TimesNewRomanPSMT"/>
        </w:rPr>
        <w:t xml:space="preserve"> </w:t>
      </w:r>
    </w:p>
    <w:p w14:paraId="35B2F8EE" w14:textId="6B732444" w:rsidR="0036178E" w:rsidRDefault="00811BB1" w:rsidP="0036178E">
      <w:pPr>
        <w:pStyle w:val="Default"/>
        <w:spacing w:line="360" w:lineRule="auto"/>
        <w:rPr>
          <w:rFonts w:ascii="Times New Roman" w:hAnsi="Times New Roman" w:cs="Times New Roman"/>
        </w:rPr>
      </w:pPr>
      <w:r w:rsidRPr="0036178E">
        <w:rPr>
          <w:rFonts w:ascii="Times New Roman" w:hAnsi="Times New Roman" w:cs="Times New Roman"/>
        </w:rPr>
        <w:t>[</w:t>
      </w:r>
      <w:r w:rsidR="00AD5143">
        <w:rPr>
          <w:rFonts w:ascii="Times New Roman" w:hAnsi="Times New Roman" w:cs="Times New Roman"/>
        </w:rPr>
        <w:t>4</w:t>
      </w:r>
      <w:r w:rsidR="002E2852">
        <w:rPr>
          <w:rFonts w:ascii="Times New Roman" w:hAnsi="Times New Roman" w:cs="Times New Roman"/>
        </w:rPr>
        <w:t>2</w:t>
      </w:r>
      <w:r w:rsidRPr="0036178E">
        <w:rPr>
          <w:rFonts w:ascii="Times New Roman" w:hAnsi="Times New Roman" w:cs="Times New Roman"/>
        </w:rPr>
        <w:t xml:space="preserve">] </w:t>
      </w:r>
      <w:r w:rsidR="0036178E" w:rsidRPr="0036178E">
        <w:rPr>
          <w:rFonts w:ascii="Times New Roman" w:hAnsi="Times New Roman" w:cs="Times New Roman"/>
        </w:rPr>
        <w:t xml:space="preserve">The same reasoning had guided the Supreme Court twelve years earlier in </w:t>
      </w:r>
      <w:r w:rsidR="0036178E" w:rsidRPr="0036178E">
        <w:rPr>
          <w:rFonts w:ascii="Times New Roman" w:hAnsi="Times New Roman" w:cs="Times New Roman"/>
          <w:i/>
          <w:iCs/>
        </w:rPr>
        <w:t xml:space="preserve">S v Nathoo Supermarket (Pvt) Ltd </w:t>
      </w:r>
      <w:r w:rsidR="0036178E" w:rsidRPr="0036178E">
        <w:rPr>
          <w:rFonts w:ascii="Times New Roman" w:hAnsi="Times New Roman" w:cs="Times New Roman"/>
        </w:rPr>
        <w:t xml:space="preserve">1987(2) ZLR 136(S) </w:t>
      </w:r>
      <w:r w:rsidR="0036178E">
        <w:rPr>
          <w:rFonts w:ascii="Times New Roman" w:hAnsi="Times New Roman" w:cs="Times New Roman"/>
        </w:rPr>
        <w:t xml:space="preserve">where the court held, </w:t>
      </w:r>
      <w:r w:rsidR="0036178E" w:rsidRPr="0036178E">
        <w:rPr>
          <w:rFonts w:ascii="Times New Roman" w:hAnsi="Times New Roman" w:cs="Times New Roman"/>
        </w:rPr>
        <w:t>at 139</w:t>
      </w:r>
      <w:r w:rsidR="0036178E">
        <w:rPr>
          <w:rFonts w:ascii="Times New Roman" w:hAnsi="Times New Roman" w:cs="Times New Roman"/>
        </w:rPr>
        <w:t xml:space="preserve"> that; -</w:t>
      </w:r>
    </w:p>
    <w:p w14:paraId="0C6D6962" w14:textId="77777777" w:rsidR="0036178E" w:rsidRDefault="0036178E" w:rsidP="0036178E">
      <w:pPr>
        <w:pStyle w:val="Default"/>
        <w:spacing w:line="360" w:lineRule="auto"/>
        <w:rPr>
          <w:rFonts w:ascii="Times New Roman" w:hAnsi="Times New Roman" w:cs="Times New Roman"/>
        </w:rPr>
      </w:pPr>
    </w:p>
    <w:p w14:paraId="0238045E" w14:textId="7AF5934F" w:rsidR="0036178E" w:rsidRPr="0036178E" w:rsidRDefault="0036178E" w:rsidP="0036178E">
      <w:pPr>
        <w:pStyle w:val="Default"/>
        <w:spacing w:line="360" w:lineRule="auto"/>
        <w:ind w:left="737"/>
        <w:jc w:val="both"/>
        <w:rPr>
          <w:rFonts w:ascii="Times New Roman" w:hAnsi="Times New Roman" w:cs="Times New Roman"/>
        </w:rPr>
      </w:pPr>
      <w:r w:rsidRPr="0036178E">
        <w:rPr>
          <w:rFonts w:ascii="Times New Roman" w:hAnsi="Times New Roman" w:cs="Times New Roman"/>
        </w:rPr>
        <w:t>“That there has been a patent mistake on the part of the legal draftsman in the use of the words “that subsection” and “subsection (1)” is unquestionable. It would seem that the mistake arose in consequence of the draftsman’s reference to the predecessor to s 5, as contained in SI 370/80, which was framed under two subsections. However that may be, I do not consider that there is any obstacle preventing this court from rectifying the error by reading and interpreting the words in contention as “this section”.</w:t>
      </w:r>
    </w:p>
    <w:p w14:paraId="2E048141" w14:textId="77777777" w:rsidR="0036178E" w:rsidRDefault="0036178E" w:rsidP="0036178E">
      <w:pPr>
        <w:pStyle w:val="Default"/>
        <w:rPr>
          <w:sz w:val="28"/>
          <w:szCs w:val="28"/>
        </w:rPr>
      </w:pPr>
    </w:p>
    <w:p w14:paraId="28934C47" w14:textId="1DF99291" w:rsidR="009861F0" w:rsidRPr="005B53C5" w:rsidRDefault="009861F0" w:rsidP="005B53C5">
      <w:pPr>
        <w:pStyle w:val="Default"/>
        <w:spacing w:line="360" w:lineRule="auto"/>
        <w:jc w:val="both"/>
        <w:rPr>
          <w:rFonts w:ascii="Times New Roman" w:hAnsi="Times New Roman" w:cs="Times New Roman"/>
        </w:rPr>
      </w:pPr>
      <w:r w:rsidRPr="005B53C5">
        <w:rPr>
          <w:rFonts w:ascii="Times New Roman" w:hAnsi="Times New Roman" w:cs="Times New Roman"/>
        </w:rPr>
        <w:t>[4</w:t>
      </w:r>
      <w:r w:rsidR="002E2852">
        <w:rPr>
          <w:rFonts w:ascii="Times New Roman" w:hAnsi="Times New Roman" w:cs="Times New Roman"/>
        </w:rPr>
        <w:t>3</w:t>
      </w:r>
      <w:r w:rsidRPr="005B53C5">
        <w:rPr>
          <w:rFonts w:ascii="Times New Roman" w:hAnsi="Times New Roman" w:cs="Times New Roman"/>
        </w:rPr>
        <w:t xml:space="preserve">] More recently, this court dealt with the point in </w:t>
      </w:r>
      <w:r w:rsidR="005B53C5" w:rsidRPr="005B53C5">
        <w:rPr>
          <w:rFonts w:ascii="Times New Roman" w:hAnsi="Times New Roman" w:cs="Times New Roman"/>
          <w:i/>
          <w:iCs/>
        </w:rPr>
        <w:t>ZLHR v Minister of Transport &amp; Ors</w:t>
      </w:r>
      <w:r w:rsidR="005B53C5" w:rsidRPr="005B53C5">
        <w:rPr>
          <w:rFonts w:ascii="Times New Roman" w:hAnsi="Times New Roman" w:cs="Times New Roman"/>
        </w:rPr>
        <w:t xml:space="preserve"> 2014 (2) ZLR 44(H) </w:t>
      </w:r>
      <w:r w:rsidR="005B53C5">
        <w:rPr>
          <w:rFonts w:ascii="Times New Roman" w:hAnsi="Times New Roman" w:cs="Times New Roman"/>
        </w:rPr>
        <w:t xml:space="preserve">and </w:t>
      </w:r>
      <w:r w:rsidRPr="005B53C5">
        <w:rPr>
          <w:rFonts w:ascii="Times New Roman" w:hAnsi="Times New Roman" w:cs="Times New Roman"/>
        </w:rPr>
        <w:t xml:space="preserve">concluded that mundane or obvious errors could not be permitted to derail the efficacy of legislation. </w:t>
      </w:r>
      <w:r w:rsidRPr="00AD5143">
        <w:rPr>
          <w:rFonts w:ascii="Times New Roman" w:hAnsi="Times New Roman" w:cs="Times New Roman"/>
          <w:sz w:val="22"/>
          <w:szCs w:val="22"/>
        </w:rPr>
        <w:t>MAFUSIRE J</w:t>
      </w:r>
      <w:r w:rsidRPr="005B53C5">
        <w:rPr>
          <w:rFonts w:ascii="Times New Roman" w:hAnsi="Times New Roman" w:cs="Times New Roman"/>
        </w:rPr>
        <w:t xml:space="preserve"> held as follows at page 57 D-58 A </w:t>
      </w:r>
    </w:p>
    <w:p w14:paraId="35E21271" w14:textId="77777777" w:rsidR="009861F0" w:rsidRPr="009861F0" w:rsidRDefault="009861F0" w:rsidP="009861F0">
      <w:pPr>
        <w:autoSpaceDE w:val="0"/>
        <w:autoSpaceDN w:val="0"/>
        <w:adjustRightInd w:val="0"/>
        <w:spacing w:after="0" w:line="360" w:lineRule="auto"/>
        <w:jc w:val="both"/>
        <w:rPr>
          <w:rFonts w:ascii="Times New Roman" w:hAnsi="Times New Roman" w:cs="Times New Roman"/>
          <w:kern w:val="0"/>
          <w:sz w:val="24"/>
          <w:szCs w:val="24"/>
        </w:rPr>
      </w:pPr>
    </w:p>
    <w:p w14:paraId="32439C76" w14:textId="05610144" w:rsidR="009861F0" w:rsidRPr="009861F0" w:rsidRDefault="009861F0" w:rsidP="009861F0">
      <w:pPr>
        <w:autoSpaceDE w:val="0"/>
        <w:autoSpaceDN w:val="0"/>
        <w:adjustRightInd w:val="0"/>
        <w:spacing w:after="0" w:line="360" w:lineRule="auto"/>
        <w:ind w:left="737"/>
        <w:jc w:val="both"/>
        <w:rPr>
          <w:rFonts w:ascii="Times New Roman" w:hAnsi="Times New Roman" w:cs="Times New Roman"/>
          <w:kern w:val="0"/>
          <w:sz w:val="24"/>
          <w:szCs w:val="24"/>
        </w:rPr>
      </w:pPr>
      <w:r>
        <w:rPr>
          <w:rFonts w:ascii="Times New Roman" w:hAnsi="Times New Roman" w:cs="Times New Roman"/>
          <w:i/>
          <w:iCs/>
          <w:kern w:val="0"/>
          <w:sz w:val="24"/>
          <w:szCs w:val="24"/>
        </w:rPr>
        <w:t>“</w:t>
      </w:r>
      <w:r w:rsidRPr="009861F0">
        <w:rPr>
          <w:rFonts w:ascii="Times New Roman" w:hAnsi="Times New Roman" w:cs="Times New Roman"/>
          <w:i/>
          <w:iCs/>
          <w:kern w:val="0"/>
          <w:sz w:val="24"/>
          <w:szCs w:val="24"/>
        </w:rPr>
        <w:t>In casu</w:t>
      </w:r>
      <w:r w:rsidRPr="009861F0">
        <w:rPr>
          <w:rFonts w:ascii="Times New Roman" w:hAnsi="Times New Roman" w:cs="Times New Roman"/>
          <w:kern w:val="0"/>
          <w:sz w:val="24"/>
          <w:szCs w:val="24"/>
        </w:rPr>
        <w:t xml:space="preserve">, Mr </w:t>
      </w:r>
      <w:r w:rsidRPr="009861F0">
        <w:rPr>
          <w:rFonts w:ascii="Times New Roman" w:hAnsi="Times New Roman" w:cs="Times New Roman"/>
          <w:i/>
          <w:iCs/>
          <w:kern w:val="0"/>
          <w:sz w:val="24"/>
          <w:szCs w:val="24"/>
        </w:rPr>
        <w:t xml:space="preserve">Uriri’s </w:t>
      </w:r>
      <w:r w:rsidRPr="009861F0">
        <w:rPr>
          <w:rFonts w:ascii="Times New Roman" w:hAnsi="Times New Roman" w:cs="Times New Roman"/>
          <w:kern w:val="0"/>
          <w:sz w:val="24"/>
          <w:szCs w:val="24"/>
        </w:rPr>
        <w:t xml:space="preserve">argument that SI 106 of 2014 is unlawful because it refers to a wrong Act of Parliament is illusory. Whilst the error is patently obvious, it is so infinitesimal as to be </w:t>
      </w:r>
      <w:r>
        <w:rPr>
          <w:rFonts w:ascii="Times New Roman" w:hAnsi="Times New Roman" w:cs="Times New Roman"/>
          <w:kern w:val="0"/>
          <w:sz w:val="24"/>
          <w:szCs w:val="24"/>
        </w:rPr>
        <w:t>i</w:t>
      </w:r>
      <w:r w:rsidRPr="009861F0">
        <w:rPr>
          <w:rFonts w:ascii="Times New Roman" w:hAnsi="Times New Roman" w:cs="Times New Roman"/>
          <w:kern w:val="0"/>
          <w:sz w:val="24"/>
          <w:szCs w:val="24"/>
        </w:rPr>
        <w:t>nconsequential. It practically was a</w:t>
      </w:r>
      <w:r>
        <w:rPr>
          <w:rFonts w:ascii="Times New Roman" w:hAnsi="Times New Roman" w:cs="Times New Roman"/>
          <w:kern w:val="0"/>
          <w:sz w:val="24"/>
          <w:szCs w:val="24"/>
        </w:rPr>
        <w:t xml:space="preserve"> </w:t>
      </w:r>
      <w:r w:rsidRPr="009861F0">
        <w:rPr>
          <w:rFonts w:ascii="Times New Roman" w:hAnsi="Times New Roman" w:cs="Times New Roman"/>
          <w:kern w:val="0"/>
          <w:sz w:val="24"/>
          <w:szCs w:val="24"/>
        </w:rPr>
        <w:t>typing error, a slip of the pen by the typist, or of the tongue by whoever may have dictated the contents. A law cannot be knocked down for such a minor mistake. There is no question that the Minister does have the power</w:t>
      </w:r>
      <w:r>
        <w:rPr>
          <w:rFonts w:ascii="Times New Roman" w:hAnsi="Times New Roman" w:cs="Times New Roman"/>
          <w:kern w:val="0"/>
          <w:sz w:val="24"/>
          <w:szCs w:val="24"/>
        </w:rPr>
        <w:t xml:space="preserve"> </w:t>
      </w:r>
      <w:r w:rsidRPr="009861F0">
        <w:rPr>
          <w:rFonts w:ascii="Times New Roman" w:hAnsi="Times New Roman" w:cs="Times New Roman"/>
          <w:kern w:val="0"/>
          <w:sz w:val="24"/>
          <w:szCs w:val="24"/>
        </w:rPr>
        <w:t xml:space="preserve">under </w:t>
      </w:r>
      <w:r w:rsidRPr="009861F0">
        <w:rPr>
          <w:rFonts w:ascii="Times New Roman" w:hAnsi="Times New Roman" w:cs="Times New Roman"/>
          <w:kern w:val="0"/>
        </w:rPr>
        <w:t xml:space="preserve">TORA </w:t>
      </w:r>
      <w:r w:rsidRPr="009861F0">
        <w:rPr>
          <w:rFonts w:ascii="Times New Roman" w:hAnsi="Times New Roman" w:cs="Times New Roman"/>
          <w:kern w:val="0"/>
          <w:sz w:val="24"/>
          <w:szCs w:val="24"/>
        </w:rPr>
        <w:t xml:space="preserve">to fix toll tariffs. There is no question that it is s 6 of </w:t>
      </w:r>
      <w:r w:rsidRPr="009861F0">
        <w:rPr>
          <w:rFonts w:ascii="Times New Roman" w:hAnsi="Times New Roman" w:cs="Times New Roman"/>
          <w:kern w:val="0"/>
        </w:rPr>
        <w:t>TORA</w:t>
      </w:r>
      <w:r w:rsidRPr="009861F0">
        <w:rPr>
          <w:rFonts w:ascii="Times New Roman" w:hAnsi="Times New Roman" w:cs="Times New Roman"/>
          <w:kern w:val="0"/>
          <w:sz w:val="24"/>
          <w:szCs w:val="24"/>
        </w:rPr>
        <w:t xml:space="preserve"> that empowers the Minister to make subsidiary legislation. </w:t>
      </w:r>
      <w:r w:rsidRPr="009861F0">
        <w:rPr>
          <w:rFonts w:ascii="Times New Roman" w:hAnsi="Times New Roman" w:cs="Times New Roman"/>
          <w:kern w:val="0"/>
        </w:rPr>
        <w:t>TORA</w:t>
      </w:r>
      <w:r w:rsidRPr="009861F0">
        <w:rPr>
          <w:rFonts w:ascii="Times New Roman" w:hAnsi="Times New Roman" w:cs="Times New Roman"/>
          <w:kern w:val="0"/>
          <w:sz w:val="24"/>
          <w:szCs w:val="24"/>
        </w:rPr>
        <w:t xml:space="preserve"> is Chapter 13:13 in the statute books. All the other provisions of SI 106 of 2014 seem perfect except the erroneous reference to </w:t>
      </w:r>
      <w:r w:rsidRPr="009861F0">
        <w:rPr>
          <w:rFonts w:ascii="Times New Roman" w:hAnsi="Times New Roman" w:cs="Times New Roman"/>
          <w:kern w:val="0"/>
        </w:rPr>
        <w:t>ROMOTRA</w:t>
      </w:r>
      <w:r w:rsidRPr="009861F0">
        <w:rPr>
          <w:rFonts w:ascii="Times New Roman" w:hAnsi="Times New Roman" w:cs="Times New Roman"/>
          <w:kern w:val="0"/>
          <w:sz w:val="24"/>
          <w:szCs w:val="24"/>
        </w:rPr>
        <w:t xml:space="preserve">.It is not every mistake that affects the validity of a law. Even some far more serious mistakes or omissions than in the present matter have </w:t>
      </w:r>
      <w:r w:rsidRPr="009861F0">
        <w:rPr>
          <w:rFonts w:ascii="Times New Roman" w:hAnsi="Times New Roman" w:cs="Times New Roman"/>
          <w:kern w:val="0"/>
          <w:sz w:val="24"/>
          <w:szCs w:val="24"/>
        </w:rPr>
        <w:lastRenderedPageBreak/>
        <w:t>failed to upset</w:t>
      </w:r>
      <w:r>
        <w:rPr>
          <w:rFonts w:ascii="Times New Roman" w:hAnsi="Times New Roman" w:cs="Times New Roman"/>
          <w:kern w:val="0"/>
          <w:sz w:val="24"/>
          <w:szCs w:val="24"/>
        </w:rPr>
        <w:t xml:space="preserve"> </w:t>
      </w:r>
      <w:r w:rsidRPr="009861F0">
        <w:rPr>
          <w:rFonts w:ascii="Times New Roman" w:hAnsi="Times New Roman" w:cs="Times New Roman"/>
          <w:kern w:val="0"/>
          <w:sz w:val="24"/>
          <w:szCs w:val="24"/>
        </w:rPr>
        <w:t xml:space="preserve">an existing law. In the </w:t>
      </w:r>
      <w:r w:rsidRPr="009861F0">
        <w:rPr>
          <w:rFonts w:ascii="Times New Roman" w:hAnsi="Times New Roman" w:cs="Times New Roman"/>
          <w:i/>
          <w:iCs/>
          <w:kern w:val="0"/>
          <w:sz w:val="24"/>
          <w:szCs w:val="24"/>
        </w:rPr>
        <w:t xml:space="preserve">Blair Atholl </w:t>
      </w:r>
      <w:r w:rsidRPr="009861F0">
        <w:rPr>
          <w:rFonts w:ascii="Times New Roman" w:hAnsi="Times New Roman" w:cs="Times New Roman"/>
          <w:kern w:val="0"/>
          <w:sz w:val="24"/>
          <w:szCs w:val="24"/>
        </w:rPr>
        <w:t xml:space="preserve">case, </w:t>
      </w:r>
      <w:r w:rsidRPr="009861F0">
        <w:rPr>
          <w:rFonts w:ascii="Times New Roman" w:hAnsi="Times New Roman" w:cs="Times New Roman"/>
          <w:i/>
          <w:iCs/>
          <w:kern w:val="0"/>
          <w:sz w:val="24"/>
          <w:szCs w:val="24"/>
        </w:rPr>
        <w:t>supra</w:t>
      </w:r>
      <w:r w:rsidRPr="009861F0">
        <w:rPr>
          <w:rFonts w:ascii="Times New Roman" w:hAnsi="Times New Roman" w:cs="Times New Roman"/>
          <w:kern w:val="0"/>
          <w:sz w:val="24"/>
          <w:szCs w:val="24"/>
        </w:rPr>
        <w:t>, Murphy J said in para 36 of the judgment:</w:t>
      </w:r>
    </w:p>
    <w:p w14:paraId="40D96AA3" w14:textId="7E95D4D0" w:rsidR="009861F0" w:rsidRPr="009861F0" w:rsidRDefault="009861F0" w:rsidP="009861F0">
      <w:pPr>
        <w:autoSpaceDE w:val="0"/>
        <w:autoSpaceDN w:val="0"/>
        <w:adjustRightInd w:val="0"/>
        <w:spacing w:after="0" w:line="360" w:lineRule="auto"/>
        <w:ind w:left="737"/>
        <w:jc w:val="both"/>
        <w:rPr>
          <w:rFonts w:ascii="Times New Roman" w:hAnsi="Times New Roman" w:cs="Times New Roman"/>
          <w:kern w:val="0"/>
          <w:sz w:val="24"/>
          <w:szCs w:val="24"/>
        </w:rPr>
      </w:pPr>
      <w:r w:rsidRPr="009861F0">
        <w:rPr>
          <w:rFonts w:ascii="Times New Roman" w:hAnsi="Times New Roman" w:cs="Times New Roman"/>
          <w:kern w:val="0"/>
          <w:sz w:val="24"/>
          <w:szCs w:val="24"/>
        </w:rPr>
        <w:t xml:space="preserve">“Even though the notice might have been invalid for want of compliance with the time </w:t>
      </w:r>
      <w:r>
        <w:rPr>
          <w:rFonts w:ascii="Times New Roman" w:hAnsi="Times New Roman" w:cs="Times New Roman"/>
          <w:kern w:val="0"/>
          <w:sz w:val="24"/>
          <w:szCs w:val="24"/>
        </w:rPr>
        <w:t>p</w:t>
      </w:r>
      <w:r w:rsidRPr="009861F0">
        <w:rPr>
          <w:rFonts w:ascii="Times New Roman" w:hAnsi="Times New Roman" w:cs="Times New Roman"/>
          <w:kern w:val="0"/>
          <w:sz w:val="24"/>
          <w:szCs w:val="24"/>
        </w:rPr>
        <w:t>eriod, such procedural invalidity, in the face of substantial compliance and no notable prejudice, does not justify a declaration of invalidity with retrospective</w:t>
      </w:r>
      <w:r>
        <w:rPr>
          <w:rFonts w:ascii="Times New Roman" w:hAnsi="Times New Roman" w:cs="Times New Roman"/>
          <w:kern w:val="0"/>
          <w:sz w:val="24"/>
          <w:szCs w:val="24"/>
        </w:rPr>
        <w:t xml:space="preserve"> </w:t>
      </w:r>
      <w:r w:rsidRPr="009861F0">
        <w:rPr>
          <w:rFonts w:ascii="Times New Roman" w:hAnsi="Times New Roman" w:cs="Times New Roman"/>
          <w:kern w:val="0"/>
          <w:sz w:val="24"/>
          <w:szCs w:val="24"/>
        </w:rPr>
        <w:t xml:space="preserve">effect. Illegal acts can have factual consequences which in all other respects are lawful and have no on-going or prospective illegal effect. Sometimes invalid administrative action, in this case the non-compliance with a statutory procedure, must be allowed to stand in the interests of finality, pragmatism and practicality, especially when non-compliance is not material or prejudicial – </w:t>
      </w:r>
      <w:r w:rsidRPr="009861F0">
        <w:rPr>
          <w:rFonts w:ascii="Times New Roman" w:hAnsi="Times New Roman" w:cs="Times New Roman"/>
          <w:i/>
          <w:iCs/>
          <w:kern w:val="0"/>
          <w:sz w:val="24"/>
          <w:szCs w:val="24"/>
        </w:rPr>
        <w:t xml:space="preserve">Chairperson, Standing Tender Committee </w:t>
      </w:r>
      <w:r w:rsidRPr="009861F0">
        <w:rPr>
          <w:rFonts w:ascii="Times New Roman" w:hAnsi="Times New Roman" w:cs="Times New Roman"/>
          <w:kern w:val="0"/>
          <w:sz w:val="24"/>
          <w:szCs w:val="24"/>
        </w:rPr>
        <w:t xml:space="preserve">v </w:t>
      </w:r>
      <w:r w:rsidRPr="009861F0">
        <w:rPr>
          <w:rFonts w:ascii="Times New Roman" w:hAnsi="Times New Roman" w:cs="Times New Roman"/>
          <w:i/>
          <w:iCs/>
          <w:kern w:val="0"/>
          <w:sz w:val="24"/>
          <w:szCs w:val="24"/>
        </w:rPr>
        <w:t xml:space="preserve">JFE Sapela Electronics </w:t>
      </w:r>
      <w:r w:rsidRPr="009861F0">
        <w:rPr>
          <w:rFonts w:ascii="Times New Roman" w:hAnsi="Times New Roman" w:cs="Times New Roman"/>
          <w:kern w:val="0"/>
          <w:sz w:val="24"/>
          <w:szCs w:val="24"/>
        </w:rPr>
        <w:t>2008 (2) SA (SCA) para In such circumstances, a court in its discretion may decline to set aside the invalid action …”</w:t>
      </w:r>
    </w:p>
    <w:p w14:paraId="6FDCB9EA" w14:textId="77777777" w:rsidR="009861F0" w:rsidRPr="009861F0" w:rsidRDefault="009861F0" w:rsidP="009861F0">
      <w:pPr>
        <w:autoSpaceDE w:val="0"/>
        <w:autoSpaceDN w:val="0"/>
        <w:adjustRightInd w:val="0"/>
        <w:spacing w:after="0" w:line="360" w:lineRule="auto"/>
        <w:jc w:val="both"/>
        <w:rPr>
          <w:rFonts w:ascii="Times New Roman" w:hAnsi="Times New Roman" w:cs="Times New Roman"/>
          <w:kern w:val="0"/>
          <w:sz w:val="24"/>
          <w:szCs w:val="24"/>
        </w:rPr>
      </w:pPr>
    </w:p>
    <w:p w14:paraId="083A4FB3" w14:textId="77777777" w:rsidR="005B53C5" w:rsidRDefault="009861F0" w:rsidP="005B53C5">
      <w:pPr>
        <w:autoSpaceDE w:val="0"/>
        <w:autoSpaceDN w:val="0"/>
        <w:adjustRightInd w:val="0"/>
        <w:spacing w:after="0" w:line="360" w:lineRule="auto"/>
        <w:ind w:left="737"/>
        <w:jc w:val="both"/>
        <w:rPr>
          <w:sz w:val="24"/>
          <w:szCs w:val="24"/>
        </w:rPr>
      </w:pPr>
      <w:r w:rsidRPr="009861F0">
        <w:rPr>
          <w:rFonts w:ascii="Times New Roman" w:hAnsi="Times New Roman" w:cs="Times New Roman"/>
          <w:kern w:val="0"/>
          <w:sz w:val="24"/>
          <w:szCs w:val="24"/>
        </w:rPr>
        <w:t>On this particular point the Minister is not being impugned for any procedural impropriety. He is being impeached for a typing error. This ground must fail.</w:t>
      </w:r>
      <w:r w:rsidR="005B53C5">
        <w:rPr>
          <w:rFonts w:ascii="Times New Roman" w:hAnsi="Times New Roman" w:cs="Times New Roman"/>
          <w:kern w:val="0"/>
          <w:sz w:val="24"/>
          <w:szCs w:val="24"/>
        </w:rPr>
        <w:t>”</w:t>
      </w:r>
    </w:p>
    <w:p w14:paraId="4B71E4E7" w14:textId="77777777" w:rsidR="005B53C5" w:rsidRDefault="005B53C5" w:rsidP="00811BB1">
      <w:pPr>
        <w:autoSpaceDE w:val="0"/>
        <w:autoSpaceDN w:val="0"/>
        <w:adjustRightInd w:val="0"/>
        <w:spacing w:after="0" w:line="360" w:lineRule="auto"/>
        <w:jc w:val="both"/>
        <w:rPr>
          <w:sz w:val="24"/>
          <w:szCs w:val="24"/>
        </w:rPr>
      </w:pPr>
    </w:p>
    <w:p w14:paraId="341FE1E5" w14:textId="4C2490A4" w:rsidR="007B5570" w:rsidRPr="003B1CBD" w:rsidRDefault="009861F0" w:rsidP="00811BB1">
      <w:pPr>
        <w:autoSpaceDE w:val="0"/>
        <w:autoSpaceDN w:val="0"/>
        <w:adjustRightInd w:val="0"/>
        <w:spacing w:after="0" w:line="360" w:lineRule="auto"/>
        <w:jc w:val="both"/>
        <w:rPr>
          <w:rFonts w:ascii="Times New Roman" w:hAnsi="Times New Roman" w:cs="Times New Roman"/>
          <w:sz w:val="24"/>
          <w:szCs w:val="24"/>
        </w:rPr>
      </w:pPr>
      <w:r w:rsidRPr="003B1CBD">
        <w:rPr>
          <w:rFonts w:ascii="Times New Roman" w:hAnsi="Times New Roman" w:cs="Times New Roman"/>
          <w:sz w:val="24"/>
          <w:szCs w:val="24"/>
        </w:rPr>
        <w:t xml:space="preserve"> </w:t>
      </w:r>
      <w:r w:rsidR="003B1CBD">
        <w:rPr>
          <w:rFonts w:ascii="Times New Roman" w:hAnsi="Times New Roman" w:cs="Times New Roman"/>
          <w:sz w:val="24"/>
          <w:szCs w:val="24"/>
        </w:rPr>
        <w:t>[4</w:t>
      </w:r>
      <w:r w:rsidR="002E2852">
        <w:rPr>
          <w:rFonts w:ascii="Times New Roman" w:hAnsi="Times New Roman" w:cs="Times New Roman"/>
          <w:sz w:val="24"/>
          <w:szCs w:val="24"/>
        </w:rPr>
        <w:t>4</w:t>
      </w:r>
      <w:r w:rsidR="003B1CBD">
        <w:rPr>
          <w:rFonts w:ascii="Times New Roman" w:hAnsi="Times New Roman" w:cs="Times New Roman"/>
          <w:sz w:val="24"/>
          <w:szCs w:val="24"/>
        </w:rPr>
        <w:t xml:space="preserve">] </w:t>
      </w:r>
      <w:r w:rsidRPr="003B1CBD">
        <w:rPr>
          <w:rFonts w:ascii="Times New Roman" w:hAnsi="Times New Roman" w:cs="Times New Roman"/>
          <w:sz w:val="24"/>
          <w:szCs w:val="24"/>
        </w:rPr>
        <w:t xml:space="preserve">My reading of this decision and those in the preceding paragraphs in as </w:t>
      </w:r>
      <w:r w:rsidR="005B53C5" w:rsidRPr="003B1CBD">
        <w:rPr>
          <w:rFonts w:ascii="Times New Roman" w:hAnsi="Times New Roman" w:cs="Times New Roman"/>
          <w:sz w:val="24"/>
          <w:szCs w:val="24"/>
        </w:rPr>
        <w:t>follows; -</w:t>
      </w:r>
      <w:r w:rsidRPr="003B1CBD">
        <w:rPr>
          <w:rFonts w:ascii="Times New Roman" w:hAnsi="Times New Roman" w:cs="Times New Roman"/>
          <w:sz w:val="24"/>
          <w:szCs w:val="24"/>
        </w:rPr>
        <w:t xml:space="preserve">faced with an anomalous provision, the court must </w:t>
      </w:r>
      <w:r w:rsidR="007B5570" w:rsidRPr="003B1CBD">
        <w:rPr>
          <w:rFonts w:ascii="Times New Roman" w:hAnsi="Times New Roman" w:cs="Times New Roman"/>
          <w:sz w:val="24"/>
          <w:szCs w:val="24"/>
        </w:rPr>
        <w:t>apply the usual</w:t>
      </w:r>
      <w:r w:rsidRPr="003B1CBD">
        <w:rPr>
          <w:rFonts w:ascii="Times New Roman" w:hAnsi="Times New Roman" w:cs="Times New Roman"/>
          <w:sz w:val="24"/>
          <w:szCs w:val="24"/>
        </w:rPr>
        <w:t xml:space="preserve"> rules of statutory interpretation</w:t>
      </w:r>
      <w:r w:rsidR="007B5570" w:rsidRPr="003B1CBD">
        <w:rPr>
          <w:rFonts w:ascii="Times New Roman" w:hAnsi="Times New Roman" w:cs="Times New Roman"/>
          <w:sz w:val="24"/>
          <w:szCs w:val="24"/>
        </w:rPr>
        <w:t xml:space="preserve"> commencing with the </w:t>
      </w:r>
      <w:r w:rsidR="00E479DC">
        <w:rPr>
          <w:rFonts w:ascii="Times New Roman" w:hAnsi="Times New Roman" w:cs="Times New Roman"/>
          <w:sz w:val="24"/>
          <w:szCs w:val="24"/>
        </w:rPr>
        <w:t xml:space="preserve">basic rules of such exercise. </w:t>
      </w:r>
      <w:r w:rsidR="007B5570" w:rsidRPr="003B1CBD">
        <w:rPr>
          <w:rFonts w:ascii="Times New Roman" w:hAnsi="Times New Roman" w:cs="Times New Roman"/>
          <w:sz w:val="24"/>
          <w:szCs w:val="24"/>
        </w:rPr>
        <w:t xml:space="preserve"> Should such </w:t>
      </w:r>
      <w:r w:rsidR="00E479DC">
        <w:rPr>
          <w:rFonts w:ascii="Times New Roman" w:hAnsi="Times New Roman" w:cs="Times New Roman"/>
          <w:sz w:val="24"/>
          <w:szCs w:val="24"/>
        </w:rPr>
        <w:t xml:space="preserve">inquiry </w:t>
      </w:r>
      <w:r w:rsidR="007B5570" w:rsidRPr="003B1CBD">
        <w:rPr>
          <w:rFonts w:ascii="Times New Roman" w:hAnsi="Times New Roman" w:cs="Times New Roman"/>
          <w:sz w:val="24"/>
          <w:szCs w:val="24"/>
        </w:rPr>
        <w:t>render the provision in question illogical, then the court must ascertain the cause</w:t>
      </w:r>
      <w:r w:rsidR="00792811">
        <w:rPr>
          <w:rFonts w:ascii="Times New Roman" w:hAnsi="Times New Roman" w:cs="Times New Roman"/>
          <w:sz w:val="24"/>
          <w:szCs w:val="24"/>
        </w:rPr>
        <w:t xml:space="preserve"> of such defect</w:t>
      </w:r>
      <w:r w:rsidR="007B5570" w:rsidRPr="003B1CBD">
        <w:rPr>
          <w:rFonts w:ascii="Times New Roman" w:hAnsi="Times New Roman" w:cs="Times New Roman"/>
          <w:sz w:val="24"/>
          <w:szCs w:val="24"/>
        </w:rPr>
        <w:t xml:space="preserve">. </w:t>
      </w:r>
    </w:p>
    <w:p w14:paraId="4E6CE6F6" w14:textId="77777777" w:rsidR="007B5570" w:rsidRPr="003B1CBD" w:rsidRDefault="007B5570" w:rsidP="00811BB1">
      <w:pPr>
        <w:autoSpaceDE w:val="0"/>
        <w:autoSpaceDN w:val="0"/>
        <w:adjustRightInd w:val="0"/>
        <w:spacing w:after="0" w:line="360" w:lineRule="auto"/>
        <w:jc w:val="both"/>
        <w:rPr>
          <w:rFonts w:ascii="Times New Roman" w:hAnsi="Times New Roman" w:cs="Times New Roman"/>
          <w:sz w:val="24"/>
          <w:szCs w:val="24"/>
        </w:rPr>
      </w:pPr>
    </w:p>
    <w:p w14:paraId="7CD287AE" w14:textId="1FC862CC" w:rsidR="007B5570" w:rsidRPr="003B1CBD" w:rsidRDefault="003B1CBD" w:rsidP="00811B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2E2852">
        <w:rPr>
          <w:rFonts w:ascii="Times New Roman" w:hAnsi="Times New Roman" w:cs="Times New Roman"/>
          <w:sz w:val="24"/>
          <w:szCs w:val="24"/>
        </w:rPr>
        <w:t>5</w:t>
      </w:r>
      <w:r>
        <w:rPr>
          <w:rFonts w:ascii="Times New Roman" w:hAnsi="Times New Roman" w:cs="Times New Roman"/>
          <w:sz w:val="24"/>
          <w:szCs w:val="24"/>
        </w:rPr>
        <w:t xml:space="preserve">] </w:t>
      </w:r>
      <w:r w:rsidR="007B5570" w:rsidRPr="003B1CBD">
        <w:rPr>
          <w:rFonts w:ascii="Times New Roman" w:hAnsi="Times New Roman" w:cs="Times New Roman"/>
          <w:sz w:val="24"/>
          <w:szCs w:val="24"/>
        </w:rPr>
        <w:t xml:space="preserve">And if such </w:t>
      </w:r>
      <w:r w:rsidR="00792811">
        <w:rPr>
          <w:rFonts w:ascii="Times New Roman" w:hAnsi="Times New Roman" w:cs="Times New Roman"/>
          <w:sz w:val="24"/>
          <w:szCs w:val="24"/>
        </w:rPr>
        <w:t xml:space="preserve">defect emanates from an error, </w:t>
      </w:r>
      <w:r w:rsidR="007B5570" w:rsidRPr="003B1CBD">
        <w:rPr>
          <w:rFonts w:ascii="Times New Roman" w:hAnsi="Times New Roman" w:cs="Times New Roman"/>
          <w:sz w:val="24"/>
          <w:szCs w:val="24"/>
        </w:rPr>
        <w:t xml:space="preserve">then </w:t>
      </w:r>
      <w:r w:rsidR="00792811">
        <w:rPr>
          <w:rFonts w:ascii="Times New Roman" w:hAnsi="Times New Roman" w:cs="Times New Roman"/>
          <w:sz w:val="24"/>
          <w:szCs w:val="24"/>
        </w:rPr>
        <w:t xml:space="preserve">the next task is to determine the </w:t>
      </w:r>
      <w:r w:rsidR="007B5570" w:rsidRPr="003B1CBD">
        <w:rPr>
          <w:rFonts w:ascii="Times New Roman" w:hAnsi="Times New Roman" w:cs="Times New Roman"/>
          <w:sz w:val="24"/>
          <w:szCs w:val="24"/>
        </w:rPr>
        <w:t>nature, and effect of the error</w:t>
      </w:r>
      <w:r w:rsidR="00792811">
        <w:rPr>
          <w:rFonts w:ascii="Times New Roman" w:hAnsi="Times New Roman" w:cs="Times New Roman"/>
          <w:sz w:val="24"/>
          <w:szCs w:val="24"/>
        </w:rPr>
        <w:t>.</w:t>
      </w:r>
      <w:r w:rsidR="007B5570" w:rsidRPr="003B1CBD">
        <w:rPr>
          <w:rFonts w:ascii="Times New Roman" w:hAnsi="Times New Roman" w:cs="Times New Roman"/>
          <w:sz w:val="24"/>
          <w:szCs w:val="24"/>
        </w:rPr>
        <w:t xml:space="preserve"> Such reflection must be based on whether the provision can be jettisoned or salvaged-the default position being to avoid lightly </w:t>
      </w:r>
      <w:r w:rsidR="00F63F61" w:rsidRPr="003B1CBD">
        <w:rPr>
          <w:rFonts w:ascii="Times New Roman" w:hAnsi="Times New Roman" w:cs="Times New Roman"/>
          <w:sz w:val="24"/>
          <w:szCs w:val="24"/>
        </w:rPr>
        <w:t xml:space="preserve">condemning </w:t>
      </w:r>
      <w:r w:rsidR="00F63F61">
        <w:rPr>
          <w:rFonts w:ascii="Times New Roman" w:hAnsi="Times New Roman" w:cs="Times New Roman"/>
          <w:sz w:val="24"/>
          <w:szCs w:val="24"/>
        </w:rPr>
        <w:t>as</w:t>
      </w:r>
      <w:r w:rsidR="00411F4D">
        <w:rPr>
          <w:rFonts w:ascii="Times New Roman" w:hAnsi="Times New Roman" w:cs="Times New Roman"/>
          <w:sz w:val="24"/>
          <w:szCs w:val="24"/>
        </w:rPr>
        <w:t xml:space="preserve"> invalid, </w:t>
      </w:r>
      <w:r w:rsidR="007B5570" w:rsidRPr="003B1CBD">
        <w:rPr>
          <w:rFonts w:ascii="Times New Roman" w:hAnsi="Times New Roman" w:cs="Times New Roman"/>
          <w:sz w:val="24"/>
          <w:szCs w:val="24"/>
        </w:rPr>
        <w:t>extant provisions of the law. If reading-into the statute, guided of course by the surfeit of examples documented in the authorities, can save the provision, then the court should proceed and do so.</w:t>
      </w:r>
    </w:p>
    <w:p w14:paraId="6A4EBA53" w14:textId="77777777" w:rsidR="007B5570" w:rsidRPr="003B1CBD" w:rsidRDefault="007B5570" w:rsidP="00811BB1">
      <w:pPr>
        <w:autoSpaceDE w:val="0"/>
        <w:autoSpaceDN w:val="0"/>
        <w:adjustRightInd w:val="0"/>
        <w:spacing w:after="0" w:line="360" w:lineRule="auto"/>
        <w:jc w:val="both"/>
        <w:rPr>
          <w:rFonts w:ascii="Times New Roman" w:hAnsi="Times New Roman" w:cs="Times New Roman"/>
          <w:sz w:val="24"/>
          <w:szCs w:val="24"/>
        </w:rPr>
      </w:pPr>
    </w:p>
    <w:p w14:paraId="2F0A913D" w14:textId="6739E60C" w:rsidR="006127A6" w:rsidRDefault="003B1CBD" w:rsidP="00811B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2E2852">
        <w:rPr>
          <w:rFonts w:ascii="Times New Roman" w:hAnsi="Times New Roman" w:cs="Times New Roman"/>
          <w:sz w:val="24"/>
          <w:szCs w:val="24"/>
        </w:rPr>
        <w:t>6</w:t>
      </w:r>
      <w:r>
        <w:rPr>
          <w:rFonts w:ascii="Times New Roman" w:hAnsi="Times New Roman" w:cs="Times New Roman"/>
          <w:sz w:val="24"/>
          <w:szCs w:val="24"/>
        </w:rPr>
        <w:t xml:space="preserve">] </w:t>
      </w:r>
      <w:r w:rsidR="007B5570" w:rsidRPr="003B1CBD">
        <w:rPr>
          <w:rFonts w:ascii="Times New Roman" w:hAnsi="Times New Roman" w:cs="Times New Roman"/>
          <w:sz w:val="24"/>
          <w:szCs w:val="24"/>
        </w:rPr>
        <w:t xml:space="preserve">As indeed I shall proceed to do in this instance </w:t>
      </w:r>
      <w:r w:rsidR="008838E5">
        <w:rPr>
          <w:rFonts w:ascii="Times New Roman" w:hAnsi="Times New Roman" w:cs="Times New Roman"/>
          <w:sz w:val="24"/>
          <w:szCs w:val="24"/>
        </w:rPr>
        <w:t xml:space="preserve">by examining the </w:t>
      </w:r>
      <w:r w:rsidR="007B5570" w:rsidRPr="003B1CBD">
        <w:rPr>
          <w:rFonts w:ascii="Times New Roman" w:hAnsi="Times New Roman" w:cs="Times New Roman"/>
          <w:sz w:val="24"/>
          <w:szCs w:val="24"/>
        </w:rPr>
        <w:t>error issuing from r 53 (1) of the Commercial Court</w:t>
      </w:r>
      <w:r w:rsidR="008838E5">
        <w:rPr>
          <w:rFonts w:ascii="Times New Roman" w:hAnsi="Times New Roman" w:cs="Times New Roman"/>
          <w:sz w:val="24"/>
          <w:szCs w:val="24"/>
        </w:rPr>
        <w:t xml:space="preserve"> per </w:t>
      </w:r>
      <w:r w:rsidR="00E947C8" w:rsidRPr="003B1CBD">
        <w:rPr>
          <w:rFonts w:ascii="Times New Roman" w:hAnsi="Times New Roman" w:cs="Times New Roman"/>
          <w:sz w:val="24"/>
          <w:szCs w:val="24"/>
        </w:rPr>
        <w:t xml:space="preserve">Mr. </w:t>
      </w:r>
      <w:r w:rsidR="00E947C8" w:rsidRPr="003B1CBD">
        <w:rPr>
          <w:rFonts w:ascii="Times New Roman" w:hAnsi="Times New Roman" w:cs="Times New Roman"/>
          <w:i/>
          <w:iCs/>
          <w:sz w:val="24"/>
          <w:szCs w:val="24"/>
        </w:rPr>
        <w:t>Mpofu</w:t>
      </w:r>
      <w:r w:rsidR="008838E5">
        <w:rPr>
          <w:rFonts w:ascii="Times New Roman" w:hAnsi="Times New Roman" w:cs="Times New Roman"/>
          <w:sz w:val="24"/>
          <w:szCs w:val="24"/>
        </w:rPr>
        <w:t xml:space="preserve">`s prognosis. Counsel’s conclusion that </w:t>
      </w:r>
      <w:r w:rsidR="00E947C8" w:rsidRPr="003B1CBD">
        <w:rPr>
          <w:rFonts w:ascii="Times New Roman" w:hAnsi="Times New Roman" w:cs="Times New Roman"/>
          <w:sz w:val="24"/>
          <w:szCs w:val="24"/>
        </w:rPr>
        <w:t xml:space="preserve">reference in r 53 (1) to Order 49 </w:t>
      </w:r>
      <w:r w:rsidR="008838E5">
        <w:rPr>
          <w:rFonts w:ascii="Times New Roman" w:hAnsi="Times New Roman" w:cs="Times New Roman"/>
          <w:sz w:val="24"/>
          <w:szCs w:val="24"/>
        </w:rPr>
        <w:t>was erroneous cannot be correct. Rule 53 (1) is</w:t>
      </w:r>
      <w:r w:rsidR="006127A6">
        <w:rPr>
          <w:rFonts w:ascii="Times New Roman" w:hAnsi="Times New Roman" w:cs="Times New Roman"/>
          <w:sz w:val="24"/>
          <w:szCs w:val="24"/>
        </w:rPr>
        <w:t>, in my view, an</w:t>
      </w:r>
      <w:r w:rsidR="008838E5">
        <w:rPr>
          <w:rFonts w:ascii="Times New Roman" w:hAnsi="Times New Roman" w:cs="Times New Roman"/>
          <w:sz w:val="24"/>
          <w:szCs w:val="24"/>
        </w:rPr>
        <w:t xml:space="preserve"> all-encompassing </w:t>
      </w:r>
      <w:r w:rsidR="006127A6">
        <w:rPr>
          <w:rFonts w:ascii="Times New Roman" w:hAnsi="Times New Roman" w:cs="Times New Roman"/>
          <w:sz w:val="24"/>
          <w:szCs w:val="24"/>
        </w:rPr>
        <w:t xml:space="preserve">provision. Its </w:t>
      </w:r>
      <w:r w:rsidR="008838E5">
        <w:rPr>
          <w:rFonts w:ascii="Times New Roman" w:hAnsi="Times New Roman" w:cs="Times New Roman"/>
          <w:sz w:val="24"/>
          <w:szCs w:val="24"/>
        </w:rPr>
        <w:t xml:space="preserve">reference to Order 49 generally, rather than Order 49`s rule 442 in particular was deliberate. </w:t>
      </w:r>
      <w:r w:rsidR="00A40E93">
        <w:rPr>
          <w:rFonts w:ascii="Times New Roman" w:hAnsi="Times New Roman" w:cs="Times New Roman"/>
          <w:sz w:val="24"/>
          <w:szCs w:val="24"/>
        </w:rPr>
        <w:t>I say so for the following reasons; -</w:t>
      </w:r>
    </w:p>
    <w:p w14:paraId="21E5E75D" w14:textId="77777777" w:rsidR="006127A6" w:rsidRDefault="006127A6" w:rsidP="00811BB1">
      <w:pPr>
        <w:autoSpaceDE w:val="0"/>
        <w:autoSpaceDN w:val="0"/>
        <w:adjustRightInd w:val="0"/>
        <w:spacing w:after="0" w:line="360" w:lineRule="auto"/>
        <w:jc w:val="both"/>
        <w:rPr>
          <w:rFonts w:ascii="Times New Roman" w:hAnsi="Times New Roman" w:cs="Times New Roman"/>
          <w:sz w:val="24"/>
          <w:szCs w:val="24"/>
        </w:rPr>
      </w:pPr>
    </w:p>
    <w:p w14:paraId="74042F40" w14:textId="44676834" w:rsidR="006127A6" w:rsidRDefault="006127A6" w:rsidP="00811B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2E2852">
        <w:rPr>
          <w:rFonts w:ascii="Times New Roman" w:hAnsi="Times New Roman" w:cs="Times New Roman"/>
          <w:sz w:val="24"/>
          <w:szCs w:val="24"/>
        </w:rPr>
        <w:t>7</w:t>
      </w:r>
      <w:r>
        <w:rPr>
          <w:rFonts w:ascii="Times New Roman" w:hAnsi="Times New Roman" w:cs="Times New Roman"/>
          <w:sz w:val="24"/>
          <w:szCs w:val="24"/>
        </w:rPr>
        <w:t xml:space="preserve">] </w:t>
      </w:r>
      <w:r w:rsidR="008838E5">
        <w:rPr>
          <w:rFonts w:ascii="Times New Roman" w:hAnsi="Times New Roman" w:cs="Times New Roman"/>
          <w:sz w:val="24"/>
          <w:szCs w:val="24"/>
        </w:rPr>
        <w:t>Order 49</w:t>
      </w:r>
      <w:r>
        <w:rPr>
          <w:rFonts w:ascii="Times New Roman" w:hAnsi="Times New Roman" w:cs="Times New Roman"/>
          <w:sz w:val="24"/>
          <w:szCs w:val="24"/>
        </w:rPr>
        <w:t xml:space="preserve"> addresses in its purview, various matters pertinent to the conduct of trial. Matters coincidental to those found between Part VI and Part VII of the High Court Rules. </w:t>
      </w:r>
      <w:r w:rsidR="00A40E93">
        <w:rPr>
          <w:rFonts w:ascii="Times New Roman" w:hAnsi="Times New Roman" w:cs="Times New Roman"/>
          <w:sz w:val="24"/>
          <w:szCs w:val="24"/>
        </w:rPr>
        <w:t xml:space="preserve">Similarly, r 53 (1) provides for matters to do with the conduct, adjournment and postponement of hearings. The issues covered by those three aspects are wide. If we adopt Mr. </w:t>
      </w:r>
      <w:r w:rsidR="00A40E93" w:rsidRPr="00A40E93">
        <w:rPr>
          <w:rFonts w:ascii="Times New Roman" w:hAnsi="Times New Roman" w:cs="Times New Roman"/>
          <w:i/>
          <w:iCs/>
          <w:sz w:val="24"/>
          <w:szCs w:val="24"/>
        </w:rPr>
        <w:t>Mpofu</w:t>
      </w:r>
      <w:r w:rsidR="00A40E93">
        <w:rPr>
          <w:rFonts w:ascii="Times New Roman" w:hAnsi="Times New Roman" w:cs="Times New Roman"/>
          <w:sz w:val="24"/>
          <w:szCs w:val="24"/>
        </w:rPr>
        <w:t>’s argument then it means that r 53 (1) must be confined to r 442 or r 56 (21) on severance of cases</w:t>
      </w:r>
      <w:r w:rsidR="002E2852">
        <w:rPr>
          <w:rFonts w:ascii="Times New Roman" w:hAnsi="Times New Roman" w:cs="Times New Roman"/>
          <w:sz w:val="24"/>
          <w:szCs w:val="24"/>
        </w:rPr>
        <w:t xml:space="preserve"> only</w:t>
      </w:r>
      <w:r w:rsidR="00A40E93">
        <w:rPr>
          <w:rFonts w:ascii="Times New Roman" w:hAnsi="Times New Roman" w:cs="Times New Roman"/>
          <w:sz w:val="24"/>
          <w:szCs w:val="24"/>
        </w:rPr>
        <w:t xml:space="preserve">. Surely, such </w:t>
      </w:r>
      <w:r>
        <w:rPr>
          <w:rFonts w:ascii="Times New Roman" w:hAnsi="Times New Roman" w:cs="Times New Roman"/>
          <w:sz w:val="24"/>
          <w:szCs w:val="24"/>
        </w:rPr>
        <w:t>could not have been the intention of the framers of the rules to confine r 53 (1)</w:t>
      </w:r>
      <w:r w:rsidR="00A40E93">
        <w:rPr>
          <w:rFonts w:ascii="Times New Roman" w:hAnsi="Times New Roman" w:cs="Times New Roman"/>
          <w:sz w:val="24"/>
          <w:szCs w:val="24"/>
        </w:rPr>
        <w:t>?</w:t>
      </w:r>
      <w:r>
        <w:rPr>
          <w:rFonts w:ascii="Times New Roman" w:hAnsi="Times New Roman" w:cs="Times New Roman"/>
          <w:sz w:val="24"/>
          <w:szCs w:val="24"/>
        </w:rPr>
        <w:t xml:space="preserve"> This observation is as critical as it </w:t>
      </w:r>
      <w:r w:rsidR="001D54C4">
        <w:rPr>
          <w:rFonts w:ascii="Times New Roman" w:hAnsi="Times New Roman" w:cs="Times New Roman"/>
          <w:sz w:val="24"/>
          <w:szCs w:val="24"/>
        </w:rPr>
        <w:t xml:space="preserve">is </w:t>
      </w:r>
      <w:r>
        <w:rPr>
          <w:rFonts w:ascii="Times New Roman" w:hAnsi="Times New Roman" w:cs="Times New Roman"/>
          <w:sz w:val="24"/>
          <w:szCs w:val="24"/>
        </w:rPr>
        <w:t xml:space="preserve">fatal to the first part of Mr. </w:t>
      </w:r>
      <w:r w:rsidRPr="00A40E93">
        <w:rPr>
          <w:rFonts w:ascii="Times New Roman" w:hAnsi="Times New Roman" w:cs="Times New Roman"/>
          <w:i/>
          <w:iCs/>
          <w:sz w:val="24"/>
          <w:szCs w:val="24"/>
        </w:rPr>
        <w:t>Mpofu</w:t>
      </w:r>
      <w:r>
        <w:rPr>
          <w:rFonts w:ascii="Times New Roman" w:hAnsi="Times New Roman" w:cs="Times New Roman"/>
          <w:sz w:val="24"/>
          <w:szCs w:val="24"/>
        </w:rPr>
        <w:t>`s argument.</w:t>
      </w:r>
    </w:p>
    <w:p w14:paraId="36BC2B6F" w14:textId="77777777" w:rsidR="006127A6" w:rsidRDefault="006127A6" w:rsidP="00811BB1">
      <w:pPr>
        <w:autoSpaceDE w:val="0"/>
        <w:autoSpaceDN w:val="0"/>
        <w:adjustRightInd w:val="0"/>
        <w:spacing w:after="0" w:line="360" w:lineRule="auto"/>
        <w:jc w:val="both"/>
        <w:rPr>
          <w:rFonts w:ascii="Times New Roman" w:hAnsi="Times New Roman" w:cs="Times New Roman"/>
          <w:sz w:val="24"/>
          <w:szCs w:val="24"/>
        </w:rPr>
      </w:pPr>
    </w:p>
    <w:p w14:paraId="3FD351B4" w14:textId="77777777" w:rsidR="003C15D8" w:rsidRDefault="006127A6" w:rsidP="00811B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2E2852">
        <w:rPr>
          <w:rFonts w:ascii="Times New Roman" w:hAnsi="Times New Roman" w:cs="Times New Roman"/>
          <w:sz w:val="24"/>
          <w:szCs w:val="24"/>
        </w:rPr>
        <w:t>8</w:t>
      </w:r>
      <w:r>
        <w:rPr>
          <w:rFonts w:ascii="Times New Roman" w:hAnsi="Times New Roman" w:cs="Times New Roman"/>
          <w:sz w:val="24"/>
          <w:szCs w:val="24"/>
        </w:rPr>
        <w:t xml:space="preserve">] But the argument still </w:t>
      </w:r>
      <w:r w:rsidR="00ED7142">
        <w:rPr>
          <w:rFonts w:ascii="Times New Roman" w:hAnsi="Times New Roman" w:cs="Times New Roman"/>
          <w:sz w:val="24"/>
          <w:szCs w:val="24"/>
        </w:rPr>
        <w:t>sustains. If</w:t>
      </w:r>
      <w:r>
        <w:rPr>
          <w:rFonts w:ascii="Times New Roman" w:hAnsi="Times New Roman" w:cs="Times New Roman"/>
          <w:sz w:val="24"/>
          <w:szCs w:val="24"/>
        </w:rPr>
        <w:t xml:space="preserve"> r 53 (1) refers to Order </w:t>
      </w:r>
      <w:r w:rsidR="00ED7142">
        <w:rPr>
          <w:rFonts w:ascii="Times New Roman" w:hAnsi="Times New Roman" w:cs="Times New Roman"/>
          <w:sz w:val="24"/>
          <w:szCs w:val="24"/>
        </w:rPr>
        <w:t>49,</w:t>
      </w:r>
      <w:r>
        <w:rPr>
          <w:rFonts w:ascii="Times New Roman" w:hAnsi="Times New Roman" w:cs="Times New Roman"/>
          <w:sz w:val="24"/>
          <w:szCs w:val="24"/>
        </w:rPr>
        <w:t xml:space="preserve"> and Order 49 scopes in r 442, </w:t>
      </w:r>
      <w:r w:rsidR="00ED7142">
        <w:rPr>
          <w:rFonts w:ascii="Times New Roman" w:hAnsi="Times New Roman" w:cs="Times New Roman"/>
          <w:sz w:val="24"/>
          <w:szCs w:val="24"/>
        </w:rPr>
        <w:t xml:space="preserve">which r 442 is identical to </w:t>
      </w:r>
      <w:r>
        <w:rPr>
          <w:rFonts w:ascii="Times New Roman" w:hAnsi="Times New Roman" w:cs="Times New Roman"/>
          <w:sz w:val="24"/>
          <w:szCs w:val="24"/>
        </w:rPr>
        <w:t>r 56 (21) of the High Court Rules</w:t>
      </w:r>
      <w:r w:rsidR="00ED7142">
        <w:rPr>
          <w:rFonts w:ascii="Times New Roman" w:hAnsi="Times New Roman" w:cs="Times New Roman"/>
          <w:sz w:val="24"/>
          <w:szCs w:val="24"/>
        </w:rPr>
        <w:t xml:space="preserve">, then the matter swings back to the original discourse. The next question </w:t>
      </w:r>
      <w:r w:rsidR="002E2852">
        <w:rPr>
          <w:rFonts w:ascii="Times New Roman" w:hAnsi="Times New Roman" w:cs="Times New Roman"/>
          <w:sz w:val="24"/>
          <w:szCs w:val="24"/>
        </w:rPr>
        <w:t>being</w:t>
      </w:r>
      <w:r w:rsidR="00ED7142">
        <w:rPr>
          <w:rFonts w:ascii="Times New Roman" w:hAnsi="Times New Roman" w:cs="Times New Roman"/>
          <w:sz w:val="24"/>
          <w:szCs w:val="24"/>
        </w:rPr>
        <w:t xml:space="preserve">; - does r 56 (21) </w:t>
      </w:r>
      <w:r w:rsidR="002E2852">
        <w:rPr>
          <w:rFonts w:ascii="Times New Roman" w:hAnsi="Times New Roman" w:cs="Times New Roman"/>
          <w:sz w:val="24"/>
          <w:szCs w:val="24"/>
        </w:rPr>
        <w:t>apply to motion proceedings?</w:t>
      </w:r>
      <w:r w:rsidR="003B1CBD">
        <w:rPr>
          <w:rFonts w:ascii="Times New Roman" w:hAnsi="Times New Roman" w:cs="Times New Roman"/>
          <w:sz w:val="24"/>
          <w:szCs w:val="24"/>
        </w:rPr>
        <w:t xml:space="preserve"> </w:t>
      </w:r>
    </w:p>
    <w:p w14:paraId="6F019B56" w14:textId="77777777" w:rsidR="003C15D8" w:rsidRDefault="003C15D8" w:rsidP="00811BB1">
      <w:pPr>
        <w:autoSpaceDE w:val="0"/>
        <w:autoSpaceDN w:val="0"/>
        <w:adjustRightInd w:val="0"/>
        <w:spacing w:after="0" w:line="360" w:lineRule="auto"/>
        <w:jc w:val="both"/>
        <w:rPr>
          <w:rFonts w:ascii="Times New Roman" w:hAnsi="Times New Roman" w:cs="Times New Roman"/>
          <w:sz w:val="24"/>
          <w:szCs w:val="24"/>
        </w:rPr>
      </w:pPr>
    </w:p>
    <w:p w14:paraId="0C0601A5" w14:textId="4B006ECC" w:rsidR="00E947C8" w:rsidRPr="003B1CBD" w:rsidRDefault="003C15D8" w:rsidP="00811B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[49] But</w:t>
      </w:r>
      <w:r w:rsidR="00E947C8" w:rsidRPr="003B1CBD">
        <w:rPr>
          <w:rFonts w:ascii="Times New Roman" w:hAnsi="Times New Roman" w:cs="Times New Roman"/>
          <w:sz w:val="24"/>
          <w:szCs w:val="24"/>
        </w:rPr>
        <w:t xml:space="preserve"> </w:t>
      </w:r>
      <w:r w:rsidR="002E2852">
        <w:rPr>
          <w:rFonts w:ascii="Times New Roman" w:hAnsi="Times New Roman" w:cs="Times New Roman"/>
          <w:sz w:val="24"/>
          <w:szCs w:val="24"/>
        </w:rPr>
        <w:t xml:space="preserve">such question must be preceded by resolution of </w:t>
      </w:r>
      <w:r w:rsidR="00E947C8" w:rsidRPr="003B1CBD">
        <w:rPr>
          <w:rFonts w:ascii="Times New Roman" w:hAnsi="Times New Roman" w:cs="Times New Roman"/>
          <w:sz w:val="24"/>
          <w:szCs w:val="24"/>
        </w:rPr>
        <w:t xml:space="preserve">Mr. </w:t>
      </w:r>
      <w:r w:rsidR="00E947C8" w:rsidRPr="003B1CBD">
        <w:rPr>
          <w:rFonts w:ascii="Times New Roman" w:hAnsi="Times New Roman" w:cs="Times New Roman"/>
          <w:i/>
          <w:iCs/>
          <w:sz w:val="24"/>
          <w:szCs w:val="24"/>
        </w:rPr>
        <w:t>Madhuku’</w:t>
      </w:r>
      <w:r w:rsidR="00E947C8" w:rsidRPr="003B1CBD">
        <w:rPr>
          <w:rFonts w:ascii="Times New Roman" w:hAnsi="Times New Roman" w:cs="Times New Roman"/>
          <w:sz w:val="24"/>
          <w:szCs w:val="24"/>
        </w:rPr>
        <w:t xml:space="preserve">s </w:t>
      </w:r>
      <w:r w:rsidR="002E2852">
        <w:rPr>
          <w:rFonts w:ascii="Times New Roman" w:hAnsi="Times New Roman" w:cs="Times New Roman"/>
          <w:sz w:val="24"/>
          <w:szCs w:val="24"/>
        </w:rPr>
        <w:t>grand submission t</w:t>
      </w:r>
      <w:r w:rsidR="00E947C8" w:rsidRPr="003B1CBD">
        <w:rPr>
          <w:rFonts w:ascii="Times New Roman" w:hAnsi="Times New Roman" w:cs="Times New Roman"/>
          <w:sz w:val="24"/>
          <w:szCs w:val="24"/>
        </w:rPr>
        <w:t>hat the Commercial Court Rules</w:t>
      </w:r>
      <w:r w:rsidR="002E2852">
        <w:rPr>
          <w:rFonts w:ascii="Times New Roman" w:hAnsi="Times New Roman" w:cs="Times New Roman"/>
          <w:sz w:val="24"/>
          <w:szCs w:val="24"/>
        </w:rPr>
        <w:t xml:space="preserve"> are rendered invalid where they (incompetently) seek to refer </w:t>
      </w:r>
      <w:r w:rsidR="00E947C8" w:rsidRPr="003B1CBD">
        <w:rPr>
          <w:rFonts w:ascii="Times New Roman" w:hAnsi="Times New Roman" w:cs="Times New Roman"/>
          <w:sz w:val="24"/>
          <w:szCs w:val="24"/>
        </w:rPr>
        <w:t>to a set of repealed rules</w:t>
      </w:r>
      <w:r w:rsidR="00ED7142">
        <w:rPr>
          <w:rFonts w:ascii="Times New Roman" w:hAnsi="Times New Roman" w:cs="Times New Roman"/>
          <w:sz w:val="24"/>
          <w:szCs w:val="24"/>
        </w:rPr>
        <w:t xml:space="preserve"> as r 53 (1)</w:t>
      </w:r>
      <w:r w:rsidR="00F63F61">
        <w:rPr>
          <w:rFonts w:ascii="Times New Roman" w:hAnsi="Times New Roman" w:cs="Times New Roman"/>
          <w:sz w:val="24"/>
          <w:szCs w:val="24"/>
        </w:rPr>
        <w:t>.</w:t>
      </w:r>
      <w:r w:rsidR="00ED7142">
        <w:rPr>
          <w:rFonts w:ascii="Times New Roman" w:hAnsi="Times New Roman" w:cs="Times New Roman"/>
          <w:sz w:val="24"/>
          <w:szCs w:val="24"/>
        </w:rPr>
        <w:t xml:space="preserve"> </w:t>
      </w:r>
      <w:r>
        <w:rPr>
          <w:rFonts w:ascii="Times New Roman" w:hAnsi="Times New Roman" w:cs="Times New Roman"/>
          <w:sz w:val="24"/>
          <w:szCs w:val="24"/>
        </w:rPr>
        <w:t xml:space="preserve">I do not believe </w:t>
      </w:r>
      <w:r w:rsidR="00F61C9A">
        <w:rPr>
          <w:rFonts w:ascii="Times New Roman" w:hAnsi="Times New Roman" w:cs="Times New Roman"/>
          <w:sz w:val="24"/>
          <w:szCs w:val="24"/>
        </w:rPr>
        <w:t>so. To</w:t>
      </w:r>
      <w:r w:rsidR="00ED7142">
        <w:rPr>
          <w:rFonts w:ascii="Times New Roman" w:hAnsi="Times New Roman" w:cs="Times New Roman"/>
          <w:sz w:val="24"/>
          <w:szCs w:val="24"/>
        </w:rPr>
        <w:t xml:space="preserve"> my mind, a</w:t>
      </w:r>
      <w:r w:rsidR="00E947C8" w:rsidRPr="003B1CBD">
        <w:rPr>
          <w:rFonts w:ascii="Times New Roman" w:hAnsi="Times New Roman" w:cs="Times New Roman"/>
          <w:sz w:val="24"/>
          <w:szCs w:val="24"/>
        </w:rPr>
        <w:t xml:space="preserve"> simple </w:t>
      </w:r>
      <w:r>
        <w:rPr>
          <w:rFonts w:ascii="Times New Roman" w:hAnsi="Times New Roman" w:cs="Times New Roman"/>
          <w:sz w:val="24"/>
          <w:szCs w:val="24"/>
        </w:rPr>
        <w:t xml:space="preserve">explanation and </w:t>
      </w:r>
      <w:r w:rsidR="00E947C8" w:rsidRPr="003B1CBD">
        <w:rPr>
          <w:rFonts w:ascii="Times New Roman" w:hAnsi="Times New Roman" w:cs="Times New Roman"/>
          <w:sz w:val="24"/>
          <w:szCs w:val="24"/>
        </w:rPr>
        <w:t>solution abounds</w:t>
      </w:r>
      <w:r>
        <w:rPr>
          <w:rFonts w:ascii="Times New Roman" w:hAnsi="Times New Roman" w:cs="Times New Roman"/>
          <w:sz w:val="24"/>
          <w:szCs w:val="24"/>
        </w:rPr>
        <w:t xml:space="preserve">. </w:t>
      </w:r>
      <w:r w:rsidR="00E947C8" w:rsidRPr="003B1CBD">
        <w:rPr>
          <w:rFonts w:ascii="Times New Roman" w:hAnsi="Times New Roman" w:cs="Times New Roman"/>
          <w:sz w:val="24"/>
          <w:szCs w:val="24"/>
        </w:rPr>
        <w:t xml:space="preserve"> </w:t>
      </w:r>
      <w:r>
        <w:rPr>
          <w:rFonts w:ascii="Times New Roman" w:hAnsi="Times New Roman" w:cs="Times New Roman"/>
          <w:sz w:val="24"/>
          <w:szCs w:val="24"/>
        </w:rPr>
        <w:t xml:space="preserve">It </w:t>
      </w:r>
      <w:r w:rsidRPr="003B1CBD">
        <w:rPr>
          <w:rFonts w:ascii="Times New Roman" w:hAnsi="Times New Roman" w:cs="Times New Roman"/>
          <w:sz w:val="24"/>
          <w:szCs w:val="24"/>
        </w:rPr>
        <w:t>derives</w:t>
      </w:r>
      <w:r w:rsidR="00E947C8" w:rsidRPr="003B1CBD">
        <w:rPr>
          <w:rFonts w:ascii="Times New Roman" w:hAnsi="Times New Roman" w:cs="Times New Roman"/>
          <w:sz w:val="24"/>
          <w:szCs w:val="24"/>
        </w:rPr>
        <w:t xml:space="preserve"> from r 4 (2</w:t>
      </w:r>
      <w:r w:rsidRPr="003B1CBD">
        <w:rPr>
          <w:rFonts w:ascii="Times New Roman" w:hAnsi="Times New Roman" w:cs="Times New Roman"/>
          <w:sz w:val="24"/>
          <w:szCs w:val="24"/>
        </w:rPr>
        <w:t xml:space="preserve">) </w:t>
      </w:r>
      <w:r>
        <w:rPr>
          <w:rFonts w:ascii="Times New Roman" w:hAnsi="Times New Roman" w:cs="Times New Roman"/>
          <w:sz w:val="24"/>
          <w:szCs w:val="24"/>
        </w:rPr>
        <w:t xml:space="preserve">of the Commercial Court Rules </w:t>
      </w:r>
      <w:r w:rsidR="00E947C8" w:rsidRPr="003B1CBD">
        <w:rPr>
          <w:rFonts w:ascii="Times New Roman" w:hAnsi="Times New Roman" w:cs="Times New Roman"/>
          <w:sz w:val="24"/>
          <w:szCs w:val="24"/>
        </w:rPr>
        <w:t>which I set out below; -</w:t>
      </w:r>
    </w:p>
    <w:p w14:paraId="0DCD05B7" w14:textId="7C32E8A4" w:rsidR="00E947C8" w:rsidRPr="003B1CBD" w:rsidRDefault="00E947C8" w:rsidP="00E947C8">
      <w:pPr>
        <w:autoSpaceDE w:val="0"/>
        <w:autoSpaceDN w:val="0"/>
        <w:adjustRightInd w:val="0"/>
        <w:spacing w:after="0" w:line="360" w:lineRule="auto"/>
        <w:ind w:left="737"/>
        <w:jc w:val="both"/>
        <w:rPr>
          <w:rFonts w:ascii="Times New Roman" w:hAnsi="Times New Roman" w:cs="Times New Roman"/>
          <w:sz w:val="24"/>
          <w:szCs w:val="24"/>
          <w:u w:val="single"/>
        </w:rPr>
      </w:pPr>
      <w:r w:rsidRPr="003B1CBD">
        <w:rPr>
          <w:rFonts w:ascii="Times New Roman" w:hAnsi="Times New Roman" w:cs="Times New Roman"/>
          <w:sz w:val="24"/>
          <w:szCs w:val="24"/>
        </w:rPr>
        <w:t xml:space="preserve">(2) To the extent that any procedural matter arises during any proceedings before the court, which matter is not specifically regulated or provided for under these rules, then in such event the </w:t>
      </w:r>
      <w:r w:rsidRPr="003B1CBD">
        <w:rPr>
          <w:rFonts w:ascii="Times New Roman" w:hAnsi="Times New Roman" w:cs="Times New Roman"/>
          <w:sz w:val="24"/>
          <w:szCs w:val="24"/>
          <w:u w:val="single"/>
        </w:rPr>
        <w:t>High Court Rules, 2021</w:t>
      </w:r>
      <w:r w:rsidRPr="003B1CBD">
        <w:rPr>
          <w:rFonts w:ascii="Times New Roman" w:hAnsi="Times New Roman" w:cs="Times New Roman"/>
          <w:sz w:val="24"/>
          <w:szCs w:val="24"/>
        </w:rPr>
        <w:t xml:space="preserve"> (</w:t>
      </w:r>
      <w:r w:rsidRPr="003B1CBD">
        <w:rPr>
          <w:rFonts w:ascii="Times New Roman" w:hAnsi="Times New Roman" w:cs="Times New Roman"/>
          <w:sz w:val="24"/>
          <w:szCs w:val="24"/>
          <w:u w:val="single"/>
        </w:rPr>
        <w:t>hereinafter referred to as “the High Court Rules”) shall apply mutatis mutandis).</w:t>
      </w:r>
    </w:p>
    <w:p w14:paraId="2576BF42" w14:textId="77777777" w:rsidR="00E947C8" w:rsidRPr="003B1CBD" w:rsidRDefault="00E947C8" w:rsidP="00E947C8">
      <w:pPr>
        <w:autoSpaceDE w:val="0"/>
        <w:autoSpaceDN w:val="0"/>
        <w:adjustRightInd w:val="0"/>
        <w:spacing w:after="0" w:line="360" w:lineRule="auto"/>
        <w:ind w:left="737"/>
        <w:jc w:val="both"/>
        <w:rPr>
          <w:rFonts w:ascii="Times New Roman" w:hAnsi="Times New Roman" w:cs="Times New Roman"/>
          <w:sz w:val="24"/>
          <w:szCs w:val="24"/>
          <w:u w:val="single"/>
        </w:rPr>
      </w:pPr>
    </w:p>
    <w:p w14:paraId="3DDD0E39" w14:textId="791A933A" w:rsidR="00E947C8" w:rsidRPr="003B1CBD" w:rsidRDefault="003B1CBD" w:rsidP="00E947C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C15D8">
        <w:rPr>
          <w:rFonts w:ascii="Times New Roman" w:hAnsi="Times New Roman" w:cs="Times New Roman"/>
          <w:sz w:val="24"/>
          <w:szCs w:val="24"/>
        </w:rPr>
        <w:t>50</w:t>
      </w:r>
      <w:r>
        <w:rPr>
          <w:rFonts w:ascii="Times New Roman" w:hAnsi="Times New Roman" w:cs="Times New Roman"/>
          <w:sz w:val="24"/>
          <w:szCs w:val="24"/>
        </w:rPr>
        <w:t xml:space="preserve">] </w:t>
      </w:r>
      <w:r w:rsidR="00E947C8" w:rsidRPr="003B1CBD">
        <w:rPr>
          <w:rFonts w:ascii="Times New Roman" w:hAnsi="Times New Roman" w:cs="Times New Roman"/>
          <w:sz w:val="24"/>
          <w:szCs w:val="24"/>
        </w:rPr>
        <w:t>The underlined phrase</w:t>
      </w:r>
      <w:r w:rsidR="00B32416" w:rsidRPr="003B1CBD">
        <w:rPr>
          <w:rFonts w:ascii="Times New Roman" w:hAnsi="Times New Roman" w:cs="Times New Roman"/>
          <w:sz w:val="24"/>
          <w:szCs w:val="24"/>
        </w:rPr>
        <w:t xml:space="preserve"> </w:t>
      </w:r>
      <w:r w:rsidR="00E947C8" w:rsidRPr="003B1CBD">
        <w:rPr>
          <w:rFonts w:ascii="Times New Roman" w:hAnsi="Times New Roman" w:cs="Times New Roman"/>
          <w:sz w:val="24"/>
          <w:szCs w:val="24"/>
        </w:rPr>
        <w:t>resolve</w:t>
      </w:r>
      <w:r w:rsidR="00B32416" w:rsidRPr="003B1CBD">
        <w:rPr>
          <w:rFonts w:ascii="Times New Roman" w:hAnsi="Times New Roman" w:cs="Times New Roman"/>
          <w:sz w:val="24"/>
          <w:szCs w:val="24"/>
        </w:rPr>
        <w:t>s</w:t>
      </w:r>
      <w:r w:rsidR="00E947C8" w:rsidRPr="003B1CBD">
        <w:rPr>
          <w:rFonts w:ascii="Times New Roman" w:hAnsi="Times New Roman" w:cs="Times New Roman"/>
          <w:sz w:val="24"/>
          <w:szCs w:val="24"/>
        </w:rPr>
        <w:t xml:space="preserve"> the matter. </w:t>
      </w:r>
      <w:r w:rsidR="00B32416" w:rsidRPr="003B1CBD">
        <w:rPr>
          <w:rFonts w:ascii="Times New Roman" w:hAnsi="Times New Roman" w:cs="Times New Roman"/>
          <w:sz w:val="24"/>
          <w:szCs w:val="24"/>
        </w:rPr>
        <w:t xml:space="preserve">The  </w:t>
      </w:r>
      <w:r w:rsidR="00E947C8" w:rsidRPr="003B1CBD">
        <w:rPr>
          <w:rFonts w:ascii="Times New Roman" w:hAnsi="Times New Roman" w:cs="Times New Roman"/>
          <w:sz w:val="24"/>
          <w:szCs w:val="24"/>
        </w:rPr>
        <w:t xml:space="preserve"> Commercial Court Rules </w:t>
      </w:r>
      <w:r w:rsidR="00B32416" w:rsidRPr="003B1CBD">
        <w:rPr>
          <w:rFonts w:ascii="Times New Roman" w:hAnsi="Times New Roman" w:cs="Times New Roman"/>
          <w:sz w:val="24"/>
          <w:szCs w:val="24"/>
        </w:rPr>
        <w:t xml:space="preserve">are explicit. They </w:t>
      </w:r>
      <w:r w:rsidR="003C15D8">
        <w:rPr>
          <w:rFonts w:ascii="Times New Roman" w:hAnsi="Times New Roman" w:cs="Times New Roman"/>
          <w:sz w:val="24"/>
          <w:szCs w:val="24"/>
        </w:rPr>
        <w:t>point</w:t>
      </w:r>
      <w:r w:rsidR="00B32416" w:rsidRPr="003B1CBD">
        <w:rPr>
          <w:rFonts w:ascii="Times New Roman" w:hAnsi="Times New Roman" w:cs="Times New Roman"/>
          <w:sz w:val="24"/>
          <w:szCs w:val="24"/>
        </w:rPr>
        <w:t xml:space="preserve">, in all cross-references or lacuna, to the </w:t>
      </w:r>
      <w:r w:rsidR="00B32416" w:rsidRPr="003C15D8">
        <w:rPr>
          <w:rFonts w:ascii="Times New Roman" w:hAnsi="Times New Roman" w:cs="Times New Roman"/>
          <w:i/>
          <w:iCs/>
          <w:sz w:val="24"/>
          <w:szCs w:val="24"/>
        </w:rPr>
        <w:t>High Court Rules 2021</w:t>
      </w:r>
      <w:r w:rsidR="00B32416" w:rsidRPr="003B1CBD">
        <w:rPr>
          <w:rFonts w:ascii="Times New Roman" w:hAnsi="Times New Roman" w:cs="Times New Roman"/>
          <w:sz w:val="24"/>
          <w:szCs w:val="24"/>
        </w:rPr>
        <w:t xml:space="preserve">. This governing definition </w:t>
      </w:r>
      <w:r w:rsidR="003C15D8">
        <w:rPr>
          <w:rFonts w:ascii="Times New Roman" w:hAnsi="Times New Roman" w:cs="Times New Roman"/>
          <w:sz w:val="24"/>
          <w:szCs w:val="24"/>
        </w:rPr>
        <w:t xml:space="preserve">in r 4 (2) </w:t>
      </w:r>
      <w:r w:rsidR="00B32416" w:rsidRPr="003B1CBD">
        <w:rPr>
          <w:rFonts w:ascii="Times New Roman" w:hAnsi="Times New Roman" w:cs="Times New Roman"/>
          <w:sz w:val="24"/>
          <w:szCs w:val="24"/>
        </w:rPr>
        <w:t xml:space="preserve">therefore reduces the archaic references in the 1971 mode to but an anomaly. An anomaly to be resolved via the self-same process outlined above. As such, I am unpersuaded by counsel`s argument that all “1971” style references in the Commercial Court Rules irremeably taint the rules and should be excised. Nonetheless, the point is well-noted that consideration of an urgent revision </w:t>
      </w:r>
      <w:r w:rsidR="00ED7142">
        <w:rPr>
          <w:rFonts w:ascii="Times New Roman" w:hAnsi="Times New Roman" w:cs="Times New Roman"/>
          <w:sz w:val="24"/>
          <w:szCs w:val="24"/>
        </w:rPr>
        <w:t xml:space="preserve">of the rules </w:t>
      </w:r>
      <w:r w:rsidR="00B32416" w:rsidRPr="003B1CBD">
        <w:rPr>
          <w:rFonts w:ascii="Times New Roman" w:hAnsi="Times New Roman" w:cs="Times New Roman"/>
          <w:sz w:val="24"/>
          <w:szCs w:val="24"/>
        </w:rPr>
        <w:t xml:space="preserve">is merited. </w:t>
      </w:r>
    </w:p>
    <w:p w14:paraId="495A1B68" w14:textId="77777777" w:rsidR="00B32416" w:rsidRDefault="00B32416" w:rsidP="00E947C8">
      <w:pPr>
        <w:autoSpaceDE w:val="0"/>
        <w:autoSpaceDN w:val="0"/>
        <w:adjustRightInd w:val="0"/>
        <w:spacing w:after="0" w:line="360" w:lineRule="auto"/>
        <w:jc w:val="both"/>
        <w:rPr>
          <w:rFonts w:ascii="Times New Roman" w:hAnsi="Times New Roman" w:cs="Times New Roman"/>
          <w:sz w:val="24"/>
          <w:szCs w:val="24"/>
        </w:rPr>
      </w:pPr>
    </w:p>
    <w:p w14:paraId="7000072A" w14:textId="68288B3A" w:rsidR="00B32416" w:rsidRPr="00725DAD" w:rsidRDefault="00411F4D" w:rsidP="00E947C8">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DOES THE TERM “HEARING” IN R 53 (1) OF THE COMMERCIAL COURT RULES APPLY TO MOTION PROCEEDINGS?</w:t>
      </w:r>
    </w:p>
    <w:p w14:paraId="3AE86800" w14:textId="77777777" w:rsidR="00792811" w:rsidRDefault="00792811" w:rsidP="00E947C8">
      <w:pPr>
        <w:autoSpaceDE w:val="0"/>
        <w:autoSpaceDN w:val="0"/>
        <w:adjustRightInd w:val="0"/>
        <w:spacing w:after="0" w:line="360" w:lineRule="auto"/>
        <w:jc w:val="both"/>
        <w:rPr>
          <w:rFonts w:ascii="Times New Roman" w:hAnsi="Times New Roman" w:cs="Times New Roman"/>
          <w:sz w:val="24"/>
          <w:szCs w:val="24"/>
        </w:rPr>
      </w:pPr>
    </w:p>
    <w:p w14:paraId="1FAED5F2" w14:textId="4A8B1536" w:rsidR="00792811" w:rsidRDefault="003B1CBD" w:rsidP="00811B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3C15D8">
        <w:rPr>
          <w:rFonts w:ascii="Times New Roman" w:hAnsi="Times New Roman" w:cs="Times New Roman"/>
          <w:sz w:val="24"/>
          <w:szCs w:val="24"/>
        </w:rPr>
        <w:t>51</w:t>
      </w:r>
      <w:r w:rsidR="00792811">
        <w:rPr>
          <w:rFonts w:ascii="Times New Roman" w:hAnsi="Times New Roman" w:cs="Times New Roman"/>
          <w:sz w:val="24"/>
          <w:szCs w:val="24"/>
        </w:rPr>
        <w:t xml:space="preserve">] Ms </w:t>
      </w:r>
      <w:r w:rsidR="00792811" w:rsidRPr="00792811">
        <w:rPr>
          <w:rFonts w:ascii="Times New Roman" w:hAnsi="Times New Roman" w:cs="Times New Roman"/>
          <w:i/>
          <w:iCs/>
          <w:sz w:val="24"/>
          <w:szCs w:val="24"/>
        </w:rPr>
        <w:t>Mahere</w:t>
      </w:r>
      <w:r w:rsidR="00792811">
        <w:rPr>
          <w:rFonts w:ascii="Times New Roman" w:hAnsi="Times New Roman" w:cs="Times New Roman"/>
          <w:sz w:val="24"/>
          <w:szCs w:val="24"/>
        </w:rPr>
        <w:t xml:space="preserve"> drew my attention to the proviso to r 53 (1) and I believe the wording thereof is </w:t>
      </w:r>
      <w:r w:rsidR="003C15D8">
        <w:rPr>
          <w:rFonts w:ascii="Times New Roman" w:hAnsi="Times New Roman" w:cs="Times New Roman"/>
          <w:sz w:val="24"/>
          <w:szCs w:val="24"/>
        </w:rPr>
        <w:t>pivotal</w:t>
      </w:r>
      <w:r w:rsidR="00792811">
        <w:rPr>
          <w:rFonts w:ascii="Times New Roman" w:hAnsi="Times New Roman" w:cs="Times New Roman"/>
          <w:sz w:val="24"/>
          <w:szCs w:val="24"/>
        </w:rPr>
        <w:t xml:space="preserve">. The proviso contemplates that “the” hearing referred to earlier in that rule is one that involves the calling and examination of witnesses. Further, the proviso employs the definite article </w:t>
      </w:r>
      <w:r w:rsidR="00792811" w:rsidRPr="00F63F61">
        <w:rPr>
          <w:rFonts w:ascii="Times New Roman" w:hAnsi="Times New Roman" w:cs="Times New Roman"/>
          <w:b/>
          <w:bCs/>
          <w:i/>
          <w:iCs/>
          <w:sz w:val="24"/>
          <w:szCs w:val="24"/>
          <w:u w:val="single"/>
        </w:rPr>
        <w:t>“the”</w:t>
      </w:r>
      <w:r w:rsidR="00792811">
        <w:rPr>
          <w:rFonts w:ascii="Times New Roman" w:hAnsi="Times New Roman" w:cs="Times New Roman"/>
          <w:sz w:val="24"/>
          <w:szCs w:val="24"/>
        </w:rPr>
        <w:t xml:space="preserve"> rather than </w:t>
      </w:r>
      <w:r w:rsidR="00792811" w:rsidRPr="00F63F61">
        <w:rPr>
          <w:rFonts w:ascii="Times New Roman" w:hAnsi="Times New Roman" w:cs="Times New Roman"/>
          <w:b/>
          <w:bCs/>
          <w:i/>
          <w:iCs/>
          <w:sz w:val="24"/>
          <w:szCs w:val="24"/>
          <w:u w:val="single"/>
        </w:rPr>
        <w:t>“a”</w:t>
      </w:r>
      <w:r w:rsidR="00792811">
        <w:rPr>
          <w:rFonts w:ascii="Times New Roman" w:hAnsi="Times New Roman" w:cs="Times New Roman"/>
          <w:sz w:val="24"/>
          <w:szCs w:val="24"/>
        </w:rPr>
        <w:t xml:space="preserve"> to render a conjunctive reference to hearings in which witnesses are </w:t>
      </w:r>
      <w:r w:rsidR="00ED7142">
        <w:rPr>
          <w:rFonts w:ascii="Times New Roman" w:hAnsi="Times New Roman" w:cs="Times New Roman"/>
          <w:sz w:val="24"/>
          <w:szCs w:val="24"/>
        </w:rPr>
        <w:t xml:space="preserve">called. Without a doubt, such hearings </w:t>
      </w:r>
      <w:r w:rsidR="003C15D8">
        <w:rPr>
          <w:rFonts w:ascii="Times New Roman" w:hAnsi="Times New Roman" w:cs="Times New Roman"/>
          <w:sz w:val="24"/>
          <w:szCs w:val="24"/>
        </w:rPr>
        <w:t xml:space="preserve">can only </w:t>
      </w:r>
      <w:r w:rsidR="00ED7142">
        <w:rPr>
          <w:rFonts w:ascii="Times New Roman" w:hAnsi="Times New Roman" w:cs="Times New Roman"/>
          <w:sz w:val="24"/>
          <w:szCs w:val="24"/>
        </w:rPr>
        <w:t>refer to trial proceedings.</w:t>
      </w:r>
    </w:p>
    <w:p w14:paraId="6F257EB5" w14:textId="77777777" w:rsidR="00ED7142" w:rsidRDefault="00ED7142" w:rsidP="00811BB1">
      <w:pPr>
        <w:autoSpaceDE w:val="0"/>
        <w:autoSpaceDN w:val="0"/>
        <w:adjustRightInd w:val="0"/>
        <w:spacing w:after="0" w:line="360" w:lineRule="auto"/>
        <w:jc w:val="both"/>
        <w:rPr>
          <w:rFonts w:ascii="Times New Roman" w:hAnsi="Times New Roman" w:cs="Times New Roman"/>
          <w:sz w:val="24"/>
          <w:szCs w:val="24"/>
        </w:rPr>
      </w:pPr>
    </w:p>
    <w:p w14:paraId="16623828" w14:textId="34010CB8" w:rsidR="00E947C8" w:rsidRPr="00D24F4F" w:rsidRDefault="00792811" w:rsidP="00811B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C15D8">
        <w:rPr>
          <w:rFonts w:ascii="Times New Roman" w:hAnsi="Times New Roman" w:cs="Times New Roman"/>
          <w:sz w:val="24"/>
          <w:szCs w:val="24"/>
        </w:rPr>
        <w:t>52</w:t>
      </w:r>
      <w:r w:rsidRPr="00136A28">
        <w:rPr>
          <w:rFonts w:ascii="Times New Roman" w:hAnsi="Times New Roman" w:cs="Times New Roman"/>
          <w:sz w:val="24"/>
          <w:szCs w:val="24"/>
        </w:rPr>
        <w:t xml:space="preserve">] </w:t>
      </w:r>
      <w:r w:rsidR="00ED7142" w:rsidRPr="00136A28">
        <w:rPr>
          <w:rFonts w:ascii="Times New Roman" w:hAnsi="Times New Roman" w:cs="Times New Roman"/>
          <w:sz w:val="24"/>
          <w:szCs w:val="24"/>
        </w:rPr>
        <w:t xml:space="preserve">This conclusion supports </w:t>
      </w:r>
      <w:r w:rsidR="003C15D8">
        <w:rPr>
          <w:rFonts w:ascii="Times New Roman" w:hAnsi="Times New Roman" w:cs="Times New Roman"/>
          <w:sz w:val="24"/>
          <w:szCs w:val="24"/>
        </w:rPr>
        <w:t xml:space="preserve">the position by </w:t>
      </w:r>
      <w:r w:rsidR="00ED7142" w:rsidRPr="00136A28">
        <w:rPr>
          <w:rFonts w:ascii="Times New Roman" w:hAnsi="Times New Roman" w:cs="Times New Roman"/>
          <w:sz w:val="24"/>
          <w:szCs w:val="24"/>
        </w:rPr>
        <w:t xml:space="preserve">applicants` </w:t>
      </w:r>
      <w:r w:rsidR="00725DAD" w:rsidRPr="00136A28">
        <w:rPr>
          <w:rFonts w:ascii="Times New Roman" w:hAnsi="Times New Roman" w:cs="Times New Roman"/>
          <w:sz w:val="24"/>
          <w:szCs w:val="24"/>
        </w:rPr>
        <w:t xml:space="preserve">counsel that r 53 is exclusive to action </w:t>
      </w:r>
      <w:r w:rsidR="00ED7142" w:rsidRPr="00136A28">
        <w:rPr>
          <w:rFonts w:ascii="Times New Roman" w:hAnsi="Times New Roman" w:cs="Times New Roman"/>
          <w:sz w:val="24"/>
          <w:szCs w:val="24"/>
        </w:rPr>
        <w:t xml:space="preserve">proceedings. </w:t>
      </w:r>
      <w:r w:rsidR="00D24F4F">
        <w:rPr>
          <w:rFonts w:ascii="Times New Roman" w:hAnsi="Times New Roman" w:cs="Times New Roman"/>
          <w:sz w:val="24"/>
          <w:szCs w:val="24"/>
        </w:rPr>
        <w:t xml:space="preserve">Similarly, </w:t>
      </w:r>
      <w:r w:rsidR="00D24F4F" w:rsidRPr="00136A28">
        <w:rPr>
          <w:rFonts w:ascii="Times New Roman" w:hAnsi="Times New Roman" w:cs="Times New Roman"/>
          <w:sz w:val="24"/>
          <w:szCs w:val="24"/>
        </w:rPr>
        <w:t>Order</w:t>
      </w:r>
      <w:r w:rsidR="00ED7142" w:rsidRPr="00136A28">
        <w:rPr>
          <w:rFonts w:ascii="Times New Roman" w:hAnsi="Times New Roman" w:cs="Times New Roman"/>
          <w:sz w:val="24"/>
          <w:szCs w:val="24"/>
        </w:rPr>
        <w:t xml:space="preserve"> 49 r 442</w:t>
      </w:r>
      <w:r w:rsidR="00136A28" w:rsidRPr="00136A28">
        <w:rPr>
          <w:rFonts w:ascii="Times New Roman" w:hAnsi="Times New Roman" w:cs="Times New Roman"/>
          <w:sz w:val="24"/>
          <w:szCs w:val="24"/>
        </w:rPr>
        <w:t xml:space="preserve"> dealt with tr</w:t>
      </w:r>
      <w:r w:rsidR="00D24F4F">
        <w:rPr>
          <w:rFonts w:ascii="Times New Roman" w:hAnsi="Times New Roman" w:cs="Times New Roman"/>
          <w:sz w:val="24"/>
          <w:szCs w:val="24"/>
        </w:rPr>
        <w:t>ial</w:t>
      </w:r>
      <w:r w:rsidR="00136A28" w:rsidRPr="00136A28">
        <w:rPr>
          <w:rFonts w:ascii="Times New Roman" w:hAnsi="Times New Roman" w:cs="Times New Roman"/>
          <w:sz w:val="24"/>
          <w:szCs w:val="24"/>
        </w:rPr>
        <w:t xml:space="preserve"> procedure. </w:t>
      </w:r>
      <w:r w:rsidR="00D24F4F">
        <w:rPr>
          <w:rFonts w:ascii="Times New Roman" w:hAnsi="Times New Roman" w:cs="Times New Roman"/>
          <w:sz w:val="24"/>
          <w:szCs w:val="24"/>
        </w:rPr>
        <w:t xml:space="preserve">Resultantly, so </w:t>
      </w:r>
      <w:r w:rsidR="00136A28" w:rsidRPr="00136A28">
        <w:rPr>
          <w:rFonts w:ascii="Times New Roman" w:hAnsi="Times New Roman" w:cs="Times New Roman"/>
          <w:sz w:val="24"/>
          <w:szCs w:val="24"/>
        </w:rPr>
        <w:t>too d</w:t>
      </w:r>
      <w:r w:rsidR="00D24F4F">
        <w:rPr>
          <w:rFonts w:ascii="Times New Roman" w:hAnsi="Times New Roman" w:cs="Times New Roman"/>
          <w:sz w:val="24"/>
          <w:szCs w:val="24"/>
        </w:rPr>
        <w:t xml:space="preserve">id </w:t>
      </w:r>
      <w:r w:rsidR="00136A28" w:rsidRPr="00136A28">
        <w:rPr>
          <w:rFonts w:ascii="Times New Roman" w:hAnsi="Times New Roman" w:cs="Times New Roman"/>
          <w:sz w:val="24"/>
          <w:szCs w:val="24"/>
        </w:rPr>
        <w:t xml:space="preserve">its </w:t>
      </w:r>
      <w:r w:rsidR="00ED7142" w:rsidRPr="00136A28">
        <w:rPr>
          <w:rFonts w:ascii="Times New Roman" w:hAnsi="Times New Roman" w:cs="Times New Roman"/>
          <w:sz w:val="24"/>
          <w:szCs w:val="24"/>
        </w:rPr>
        <w:t>“successor”</w:t>
      </w:r>
      <w:r w:rsidR="00136A28" w:rsidRPr="00136A28">
        <w:rPr>
          <w:rFonts w:ascii="Times New Roman" w:hAnsi="Times New Roman" w:cs="Times New Roman"/>
          <w:sz w:val="24"/>
          <w:szCs w:val="24"/>
        </w:rPr>
        <w:t>, r 56(21</w:t>
      </w:r>
      <w:r w:rsidR="00D24F4F" w:rsidRPr="00136A28">
        <w:rPr>
          <w:rFonts w:ascii="Times New Roman" w:hAnsi="Times New Roman" w:cs="Times New Roman"/>
          <w:sz w:val="24"/>
          <w:szCs w:val="24"/>
        </w:rPr>
        <w:t>)</w:t>
      </w:r>
      <w:r w:rsidR="00D24F4F">
        <w:rPr>
          <w:rFonts w:ascii="Times New Roman" w:hAnsi="Times New Roman" w:cs="Times New Roman"/>
          <w:sz w:val="24"/>
          <w:szCs w:val="24"/>
        </w:rPr>
        <w:t xml:space="preserve">. This rule was reposed in </w:t>
      </w:r>
      <w:r w:rsidR="00D24F4F" w:rsidRPr="00136A28">
        <w:rPr>
          <w:rFonts w:ascii="Times New Roman" w:hAnsi="Times New Roman" w:cs="Times New Roman"/>
          <w:sz w:val="24"/>
          <w:szCs w:val="24"/>
        </w:rPr>
        <w:t>Part</w:t>
      </w:r>
      <w:r w:rsidR="00ED7142" w:rsidRPr="00136A28">
        <w:rPr>
          <w:rFonts w:ascii="Times New Roman" w:hAnsi="Times New Roman" w:cs="Times New Roman"/>
          <w:sz w:val="24"/>
          <w:szCs w:val="24"/>
        </w:rPr>
        <w:t xml:space="preserve"> VII </w:t>
      </w:r>
      <w:r w:rsidR="00136A28" w:rsidRPr="00136A28">
        <w:rPr>
          <w:rFonts w:ascii="Times New Roman" w:hAnsi="Times New Roman" w:cs="Times New Roman"/>
          <w:sz w:val="24"/>
          <w:szCs w:val="24"/>
        </w:rPr>
        <w:t xml:space="preserve">of the High Court Rules dealing with </w:t>
      </w:r>
      <w:r w:rsidR="00136A28" w:rsidRPr="00C42E05">
        <w:rPr>
          <w:rFonts w:ascii="Times New Roman" w:hAnsi="Times New Roman" w:cs="Times New Roman"/>
        </w:rPr>
        <w:t>“SETTING DOWN OF CIVIL TRIALS AND CIVIL TRIALS”</w:t>
      </w:r>
      <w:r w:rsidR="00D24F4F">
        <w:rPr>
          <w:rFonts w:ascii="Times New Roman" w:hAnsi="Times New Roman" w:cs="Times New Roman"/>
          <w:sz w:val="24"/>
          <w:szCs w:val="24"/>
        </w:rPr>
        <w:t xml:space="preserve"> </w:t>
      </w:r>
      <w:r w:rsidR="00136A28" w:rsidRPr="00136A28">
        <w:rPr>
          <w:rFonts w:ascii="Times New Roman" w:hAnsi="Times New Roman" w:cs="Times New Roman"/>
          <w:sz w:val="24"/>
          <w:szCs w:val="24"/>
        </w:rPr>
        <w:t xml:space="preserve">meaning the setting down of civil </w:t>
      </w:r>
      <w:r w:rsidR="00136A28" w:rsidRPr="00D24F4F">
        <w:rPr>
          <w:rFonts w:ascii="Times New Roman" w:hAnsi="Times New Roman" w:cs="Times New Roman"/>
          <w:sz w:val="24"/>
          <w:szCs w:val="24"/>
        </w:rPr>
        <w:t>trials as well as handling of the civil trials in concerned.</w:t>
      </w:r>
      <w:r w:rsidR="00D24F4F" w:rsidRPr="00D24F4F">
        <w:rPr>
          <w:rFonts w:ascii="Times New Roman" w:hAnsi="Times New Roman" w:cs="Times New Roman"/>
          <w:sz w:val="24"/>
          <w:szCs w:val="24"/>
        </w:rPr>
        <w:t xml:space="preserve"> And, as noted already, r 56 dealt with </w:t>
      </w:r>
      <w:r w:rsidR="00D24F4F" w:rsidRPr="00D24F4F">
        <w:rPr>
          <w:rFonts w:ascii="Times New Roman" w:hAnsi="Times New Roman" w:cs="Times New Roman"/>
          <w:i/>
          <w:iCs/>
          <w:sz w:val="24"/>
          <w:szCs w:val="24"/>
        </w:rPr>
        <w:t>[ The Set</w:t>
      </w:r>
      <w:r w:rsidR="00D24F4F" w:rsidRPr="00D24F4F">
        <w:rPr>
          <w:rStyle w:val="FootnoteReference"/>
          <w:rFonts w:ascii="Times New Roman" w:hAnsi="Times New Roman" w:cs="Times New Roman"/>
          <w:i/>
          <w:iCs/>
          <w:sz w:val="24"/>
          <w:szCs w:val="24"/>
        </w:rPr>
        <w:footnoteReference w:id="3"/>
      </w:r>
      <w:r w:rsidR="00D24F4F" w:rsidRPr="00D24F4F">
        <w:rPr>
          <w:rFonts w:ascii="Times New Roman" w:hAnsi="Times New Roman" w:cs="Times New Roman"/>
          <w:i/>
          <w:iCs/>
          <w:sz w:val="24"/>
          <w:szCs w:val="24"/>
        </w:rPr>
        <w:t xml:space="preserve"> ] Down and hearing of Civil Trials and other related matters</w:t>
      </w:r>
      <w:r w:rsidR="00D24F4F">
        <w:rPr>
          <w:rFonts w:ascii="Times New Roman" w:hAnsi="Times New Roman" w:cs="Times New Roman"/>
          <w:i/>
          <w:iCs/>
          <w:sz w:val="24"/>
          <w:szCs w:val="24"/>
        </w:rPr>
        <w:t>.</w:t>
      </w:r>
      <w:r w:rsidR="00D24F4F" w:rsidRPr="00D24F4F">
        <w:rPr>
          <w:rFonts w:ascii="Times New Roman" w:hAnsi="Times New Roman" w:cs="Times New Roman"/>
          <w:sz w:val="24"/>
          <w:szCs w:val="24"/>
        </w:rPr>
        <w:t xml:space="preserve"> </w:t>
      </w:r>
    </w:p>
    <w:p w14:paraId="79FDB80B" w14:textId="77777777" w:rsidR="00730549" w:rsidRDefault="00730549" w:rsidP="00811BB1">
      <w:pPr>
        <w:autoSpaceDE w:val="0"/>
        <w:autoSpaceDN w:val="0"/>
        <w:adjustRightInd w:val="0"/>
        <w:spacing w:after="0" w:line="360" w:lineRule="auto"/>
        <w:jc w:val="both"/>
        <w:rPr>
          <w:rFonts w:ascii="Times New Roman" w:hAnsi="Times New Roman" w:cs="Times New Roman"/>
          <w:sz w:val="24"/>
          <w:szCs w:val="24"/>
        </w:rPr>
      </w:pPr>
    </w:p>
    <w:p w14:paraId="57940B8F" w14:textId="79893EEF" w:rsidR="00136A28" w:rsidRDefault="00136A28" w:rsidP="00811B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33EEC">
        <w:rPr>
          <w:rFonts w:ascii="Times New Roman" w:hAnsi="Times New Roman" w:cs="Times New Roman"/>
          <w:sz w:val="24"/>
          <w:szCs w:val="24"/>
        </w:rPr>
        <w:t>5</w:t>
      </w:r>
      <w:r w:rsidR="00BA78B0">
        <w:rPr>
          <w:rFonts w:ascii="Times New Roman" w:hAnsi="Times New Roman" w:cs="Times New Roman"/>
          <w:sz w:val="24"/>
          <w:szCs w:val="24"/>
        </w:rPr>
        <w:t>3</w:t>
      </w:r>
      <w:r>
        <w:rPr>
          <w:rFonts w:ascii="Times New Roman" w:hAnsi="Times New Roman" w:cs="Times New Roman"/>
          <w:sz w:val="24"/>
          <w:szCs w:val="24"/>
        </w:rPr>
        <w:t xml:space="preserve">] </w:t>
      </w:r>
      <w:r w:rsidR="00D24F4F">
        <w:rPr>
          <w:rFonts w:ascii="Times New Roman" w:hAnsi="Times New Roman" w:cs="Times New Roman"/>
          <w:sz w:val="24"/>
          <w:szCs w:val="24"/>
        </w:rPr>
        <w:t>Finally, the critical r 56 (21) of the High Court Rules need not be considered from any other dimension other than its ordinary meaning. It deals with “co-plaintiffs”, an indisputable reference to litigants in action rather than motion proceedings. There</w:t>
      </w:r>
      <w:r>
        <w:rPr>
          <w:rFonts w:ascii="Times New Roman" w:hAnsi="Times New Roman" w:cs="Times New Roman"/>
          <w:sz w:val="24"/>
          <w:szCs w:val="24"/>
        </w:rPr>
        <w:t xml:space="preserve"> can be no doubt that Mr. </w:t>
      </w:r>
      <w:r w:rsidRPr="00D24F4F">
        <w:rPr>
          <w:rFonts w:ascii="Times New Roman" w:hAnsi="Times New Roman" w:cs="Times New Roman"/>
          <w:i/>
          <w:iCs/>
          <w:sz w:val="24"/>
          <w:szCs w:val="24"/>
        </w:rPr>
        <w:t xml:space="preserve">Madhuku </w:t>
      </w:r>
      <w:r>
        <w:rPr>
          <w:rFonts w:ascii="Times New Roman" w:hAnsi="Times New Roman" w:cs="Times New Roman"/>
          <w:sz w:val="24"/>
          <w:szCs w:val="24"/>
        </w:rPr>
        <w:t xml:space="preserve">and Ms </w:t>
      </w:r>
      <w:r w:rsidRPr="00D24F4F">
        <w:rPr>
          <w:rFonts w:ascii="Times New Roman" w:hAnsi="Times New Roman" w:cs="Times New Roman"/>
          <w:i/>
          <w:iCs/>
          <w:sz w:val="24"/>
          <w:szCs w:val="24"/>
        </w:rPr>
        <w:t>Mahere</w:t>
      </w:r>
      <w:r>
        <w:rPr>
          <w:rFonts w:ascii="Times New Roman" w:hAnsi="Times New Roman" w:cs="Times New Roman"/>
          <w:sz w:val="24"/>
          <w:szCs w:val="24"/>
        </w:rPr>
        <w:t xml:space="preserve"> were correct that the r 56 (21) appli</w:t>
      </w:r>
      <w:r w:rsidR="00D24F4F">
        <w:rPr>
          <w:rFonts w:ascii="Times New Roman" w:hAnsi="Times New Roman" w:cs="Times New Roman"/>
          <w:sz w:val="24"/>
          <w:szCs w:val="24"/>
        </w:rPr>
        <w:t xml:space="preserve">ed </w:t>
      </w:r>
      <w:r>
        <w:rPr>
          <w:rFonts w:ascii="Times New Roman" w:hAnsi="Times New Roman" w:cs="Times New Roman"/>
          <w:sz w:val="24"/>
          <w:szCs w:val="24"/>
        </w:rPr>
        <w:t xml:space="preserve">to civil trials. </w:t>
      </w:r>
    </w:p>
    <w:p w14:paraId="35F65298" w14:textId="77777777" w:rsidR="00BA78B0" w:rsidRDefault="00BA78B0" w:rsidP="00BA78B0">
      <w:pPr>
        <w:autoSpaceDE w:val="0"/>
        <w:autoSpaceDN w:val="0"/>
        <w:adjustRightInd w:val="0"/>
        <w:spacing w:after="0" w:line="360" w:lineRule="auto"/>
        <w:jc w:val="both"/>
        <w:rPr>
          <w:rFonts w:ascii="Times New Roman" w:hAnsi="Times New Roman" w:cs="Times New Roman"/>
        </w:rPr>
      </w:pPr>
    </w:p>
    <w:p w14:paraId="51ECAA85" w14:textId="23E31DA5" w:rsidR="00BA78B0" w:rsidRDefault="00BA78B0" w:rsidP="00BA78B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D</w:t>
      </w:r>
      <w:r w:rsidRPr="00E90E8A">
        <w:rPr>
          <w:rFonts w:ascii="Times New Roman" w:hAnsi="Times New Roman" w:cs="Times New Roman"/>
        </w:rPr>
        <w:t>ISPOSITION</w:t>
      </w:r>
    </w:p>
    <w:p w14:paraId="02147C40" w14:textId="77777777" w:rsidR="00D24F4F" w:rsidRDefault="00D24F4F" w:rsidP="00811BB1">
      <w:pPr>
        <w:autoSpaceDE w:val="0"/>
        <w:autoSpaceDN w:val="0"/>
        <w:adjustRightInd w:val="0"/>
        <w:spacing w:after="0" w:line="360" w:lineRule="auto"/>
        <w:jc w:val="both"/>
        <w:rPr>
          <w:rFonts w:ascii="Times New Roman" w:hAnsi="Times New Roman" w:cs="Times New Roman"/>
          <w:sz w:val="24"/>
          <w:szCs w:val="24"/>
        </w:rPr>
      </w:pPr>
    </w:p>
    <w:p w14:paraId="732237B3" w14:textId="5D7B8ED5" w:rsidR="00BA78B0" w:rsidRDefault="00D24F4F" w:rsidP="00811B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BA78B0">
        <w:rPr>
          <w:rFonts w:ascii="Times New Roman" w:hAnsi="Times New Roman" w:cs="Times New Roman"/>
          <w:sz w:val="24"/>
          <w:szCs w:val="24"/>
        </w:rPr>
        <w:t>4</w:t>
      </w:r>
      <w:r>
        <w:rPr>
          <w:rFonts w:ascii="Times New Roman" w:hAnsi="Times New Roman" w:cs="Times New Roman"/>
          <w:sz w:val="24"/>
          <w:szCs w:val="24"/>
        </w:rPr>
        <w:t xml:space="preserve">] This finding destroys the argument </w:t>
      </w:r>
      <w:r w:rsidR="00BA78B0">
        <w:rPr>
          <w:rFonts w:ascii="Times New Roman" w:hAnsi="Times New Roman" w:cs="Times New Roman"/>
          <w:sz w:val="24"/>
          <w:szCs w:val="24"/>
        </w:rPr>
        <w:t xml:space="preserve">or legal basis proffered in moving </w:t>
      </w:r>
      <w:r>
        <w:rPr>
          <w:rFonts w:ascii="Times New Roman" w:hAnsi="Times New Roman" w:cs="Times New Roman"/>
          <w:sz w:val="24"/>
          <w:szCs w:val="24"/>
        </w:rPr>
        <w:t xml:space="preserve">the </w:t>
      </w:r>
      <w:r w:rsidR="00BA78B0">
        <w:rPr>
          <w:rFonts w:ascii="Times New Roman" w:hAnsi="Times New Roman" w:cs="Times New Roman"/>
          <w:sz w:val="24"/>
          <w:szCs w:val="24"/>
        </w:rPr>
        <w:t>objection. But</w:t>
      </w:r>
      <w:r>
        <w:rPr>
          <w:rFonts w:ascii="Times New Roman" w:hAnsi="Times New Roman" w:cs="Times New Roman"/>
          <w:sz w:val="24"/>
          <w:szCs w:val="24"/>
        </w:rPr>
        <w:t xml:space="preserve"> </w:t>
      </w:r>
      <w:r w:rsidR="00BA78B0">
        <w:rPr>
          <w:rFonts w:ascii="Times New Roman" w:hAnsi="Times New Roman" w:cs="Times New Roman"/>
          <w:sz w:val="24"/>
          <w:szCs w:val="24"/>
        </w:rPr>
        <w:t xml:space="preserve">it does not dissolve the </w:t>
      </w:r>
      <w:r>
        <w:rPr>
          <w:rFonts w:ascii="Times New Roman" w:hAnsi="Times New Roman" w:cs="Times New Roman"/>
          <w:sz w:val="24"/>
          <w:szCs w:val="24"/>
        </w:rPr>
        <w:t xml:space="preserve">essence of the objection itself. </w:t>
      </w:r>
      <w:r w:rsidR="004F096B">
        <w:rPr>
          <w:rFonts w:ascii="Times New Roman" w:hAnsi="Times New Roman" w:cs="Times New Roman"/>
          <w:sz w:val="24"/>
          <w:szCs w:val="24"/>
        </w:rPr>
        <w:t>I have before me two co-applicants who founded and defended their causa under one set of papers</w:t>
      </w:r>
      <w:r w:rsidR="00BA78B0">
        <w:rPr>
          <w:rFonts w:ascii="Times New Roman" w:hAnsi="Times New Roman" w:cs="Times New Roman"/>
          <w:sz w:val="24"/>
          <w:szCs w:val="24"/>
        </w:rPr>
        <w:t xml:space="preserve"> filed by one legal practitioner. The unitary nature of the application before the court is beyond argument.</w:t>
      </w:r>
    </w:p>
    <w:p w14:paraId="0F441998" w14:textId="77777777" w:rsidR="00BA78B0" w:rsidRDefault="00BA78B0" w:rsidP="00811BB1">
      <w:pPr>
        <w:autoSpaceDE w:val="0"/>
        <w:autoSpaceDN w:val="0"/>
        <w:adjustRightInd w:val="0"/>
        <w:spacing w:after="0" w:line="360" w:lineRule="auto"/>
        <w:jc w:val="both"/>
        <w:rPr>
          <w:rFonts w:ascii="Times New Roman" w:hAnsi="Times New Roman" w:cs="Times New Roman"/>
          <w:sz w:val="24"/>
          <w:szCs w:val="24"/>
        </w:rPr>
      </w:pPr>
    </w:p>
    <w:p w14:paraId="04806A89" w14:textId="6D52660C" w:rsidR="00D24F4F" w:rsidRDefault="00BA78B0" w:rsidP="00811B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[55] Such is also consistent with the </w:t>
      </w:r>
      <w:r w:rsidR="004F096B">
        <w:rPr>
          <w:rFonts w:ascii="Times New Roman" w:hAnsi="Times New Roman" w:cs="Times New Roman"/>
          <w:sz w:val="24"/>
          <w:szCs w:val="24"/>
        </w:rPr>
        <w:t xml:space="preserve">nature of the claim, and in particular, the relationship between TN Optimist and TN </w:t>
      </w:r>
      <w:r>
        <w:rPr>
          <w:rFonts w:ascii="Times New Roman" w:hAnsi="Times New Roman" w:cs="Times New Roman"/>
          <w:sz w:val="24"/>
          <w:szCs w:val="24"/>
        </w:rPr>
        <w:t xml:space="preserve">Arcturus. These characteristics </w:t>
      </w:r>
      <w:r w:rsidR="00627D84">
        <w:rPr>
          <w:rFonts w:ascii="Times New Roman" w:hAnsi="Times New Roman" w:cs="Times New Roman"/>
          <w:sz w:val="24"/>
          <w:szCs w:val="24"/>
        </w:rPr>
        <w:t xml:space="preserve">disclose </w:t>
      </w:r>
      <w:r w:rsidR="004F096B">
        <w:rPr>
          <w:rFonts w:ascii="Times New Roman" w:hAnsi="Times New Roman" w:cs="Times New Roman"/>
          <w:sz w:val="24"/>
          <w:szCs w:val="24"/>
        </w:rPr>
        <w:t>no</w:t>
      </w:r>
      <w:r w:rsidR="00627D84">
        <w:rPr>
          <w:rFonts w:ascii="Times New Roman" w:hAnsi="Times New Roman" w:cs="Times New Roman"/>
          <w:sz w:val="24"/>
          <w:szCs w:val="24"/>
        </w:rPr>
        <w:t xml:space="preserve"> peculiarity as would warrant t</w:t>
      </w:r>
      <w:r w:rsidR="004F096B">
        <w:rPr>
          <w:rFonts w:ascii="Times New Roman" w:hAnsi="Times New Roman" w:cs="Times New Roman"/>
          <w:sz w:val="24"/>
          <w:szCs w:val="24"/>
        </w:rPr>
        <w:t xml:space="preserve">he pertinacity </w:t>
      </w:r>
      <w:r>
        <w:rPr>
          <w:rFonts w:ascii="Times New Roman" w:hAnsi="Times New Roman" w:cs="Times New Roman"/>
          <w:sz w:val="24"/>
          <w:szCs w:val="24"/>
        </w:rPr>
        <w:t>demonstrated by applicants` counsel</w:t>
      </w:r>
      <w:r w:rsidR="00627D84">
        <w:rPr>
          <w:rFonts w:ascii="Times New Roman" w:hAnsi="Times New Roman" w:cs="Times New Roman"/>
          <w:sz w:val="24"/>
          <w:szCs w:val="24"/>
        </w:rPr>
        <w:t>, (despite protestations of intention to the contrary)</w:t>
      </w:r>
      <w:r>
        <w:rPr>
          <w:rFonts w:ascii="Times New Roman" w:hAnsi="Times New Roman" w:cs="Times New Roman"/>
          <w:sz w:val="24"/>
          <w:szCs w:val="24"/>
        </w:rPr>
        <w:t xml:space="preserve"> </w:t>
      </w:r>
      <w:r w:rsidR="004F096B">
        <w:rPr>
          <w:rFonts w:ascii="Times New Roman" w:hAnsi="Times New Roman" w:cs="Times New Roman"/>
          <w:sz w:val="24"/>
          <w:szCs w:val="24"/>
        </w:rPr>
        <w:t xml:space="preserve">in proceeding separately. Mr. </w:t>
      </w:r>
      <w:r w:rsidR="004F096B" w:rsidRPr="004F096B">
        <w:rPr>
          <w:rFonts w:ascii="Times New Roman" w:hAnsi="Times New Roman" w:cs="Times New Roman"/>
          <w:i/>
          <w:iCs/>
          <w:sz w:val="24"/>
          <w:szCs w:val="24"/>
        </w:rPr>
        <w:t xml:space="preserve">Madhuku </w:t>
      </w:r>
      <w:r w:rsidR="004F096B" w:rsidRPr="004F096B">
        <w:rPr>
          <w:rFonts w:ascii="Times New Roman" w:hAnsi="Times New Roman" w:cs="Times New Roman"/>
          <w:sz w:val="24"/>
          <w:szCs w:val="24"/>
        </w:rPr>
        <w:t>did</w:t>
      </w:r>
      <w:r w:rsidR="004F096B">
        <w:rPr>
          <w:rFonts w:ascii="Times New Roman" w:hAnsi="Times New Roman" w:cs="Times New Roman"/>
          <w:sz w:val="24"/>
          <w:szCs w:val="24"/>
        </w:rPr>
        <w:t xml:space="preserve"> </w:t>
      </w:r>
      <w:r w:rsidR="00627D84">
        <w:rPr>
          <w:rFonts w:ascii="Times New Roman" w:hAnsi="Times New Roman" w:cs="Times New Roman"/>
          <w:sz w:val="24"/>
          <w:szCs w:val="24"/>
        </w:rPr>
        <w:t xml:space="preserve">intimate at some point, </w:t>
      </w:r>
      <w:r w:rsidR="004F096B">
        <w:rPr>
          <w:rFonts w:ascii="Times New Roman" w:hAnsi="Times New Roman" w:cs="Times New Roman"/>
          <w:sz w:val="24"/>
          <w:szCs w:val="24"/>
        </w:rPr>
        <w:t>that there was some motivation for adopting such strategy.</w:t>
      </w:r>
    </w:p>
    <w:p w14:paraId="22AF3EF3" w14:textId="77777777" w:rsidR="004F096B" w:rsidRDefault="004F096B" w:rsidP="00811BB1">
      <w:pPr>
        <w:autoSpaceDE w:val="0"/>
        <w:autoSpaceDN w:val="0"/>
        <w:adjustRightInd w:val="0"/>
        <w:spacing w:after="0" w:line="360" w:lineRule="auto"/>
        <w:jc w:val="both"/>
        <w:rPr>
          <w:rFonts w:ascii="Times New Roman" w:hAnsi="Times New Roman" w:cs="Times New Roman"/>
          <w:sz w:val="24"/>
          <w:szCs w:val="24"/>
        </w:rPr>
      </w:pPr>
    </w:p>
    <w:p w14:paraId="7E1530E4" w14:textId="7945363E" w:rsidR="00730549" w:rsidRPr="003B1CBD" w:rsidRDefault="004F096B" w:rsidP="00811B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F61C9A">
        <w:rPr>
          <w:rFonts w:ascii="Times New Roman" w:hAnsi="Times New Roman" w:cs="Times New Roman"/>
          <w:sz w:val="24"/>
          <w:szCs w:val="24"/>
        </w:rPr>
        <w:t>6</w:t>
      </w:r>
      <w:r>
        <w:rPr>
          <w:rFonts w:ascii="Times New Roman" w:hAnsi="Times New Roman" w:cs="Times New Roman"/>
          <w:sz w:val="24"/>
          <w:szCs w:val="24"/>
        </w:rPr>
        <w:t xml:space="preserve">] </w:t>
      </w:r>
      <w:r w:rsidR="00627D84">
        <w:rPr>
          <w:rFonts w:ascii="Times New Roman" w:hAnsi="Times New Roman" w:cs="Times New Roman"/>
          <w:sz w:val="24"/>
          <w:szCs w:val="24"/>
        </w:rPr>
        <w:t xml:space="preserve">But beyond the aforesaid hint from counsel, no details or at least, </w:t>
      </w:r>
      <w:r>
        <w:rPr>
          <w:rFonts w:ascii="Times New Roman" w:hAnsi="Times New Roman" w:cs="Times New Roman"/>
          <w:sz w:val="24"/>
          <w:szCs w:val="24"/>
        </w:rPr>
        <w:t xml:space="preserve">nature of such motivation </w:t>
      </w:r>
      <w:r w:rsidR="00627D84">
        <w:rPr>
          <w:rFonts w:ascii="Times New Roman" w:hAnsi="Times New Roman" w:cs="Times New Roman"/>
          <w:sz w:val="24"/>
          <w:szCs w:val="24"/>
        </w:rPr>
        <w:t>were shared with the court.</w:t>
      </w:r>
      <w:r>
        <w:rPr>
          <w:rFonts w:ascii="Times New Roman" w:hAnsi="Times New Roman" w:cs="Times New Roman"/>
          <w:sz w:val="24"/>
          <w:szCs w:val="24"/>
        </w:rPr>
        <w:t xml:space="preserve"> </w:t>
      </w:r>
      <w:r w:rsidR="00BA78B0">
        <w:rPr>
          <w:rFonts w:ascii="Times New Roman" w:hAnsi="Times New Roman" w:cs="Times New Roman"/>
          <w:sz w:val="24"/>
          <w:szCs w:val="24"/>
        </w:rPr>
        <w:t xml:space="preserve">The main risk arising from </w:t>
      </w:r>
      <w:r w:rsidR="00627D84">
        <w:rPr>
          <w:rFonts w:ascii="Times New Roman" w:hAnsi="Times New Roman" w:cs="Times New Roman"/>
          <w:sz w:val="24"/>
          <w:szCs w:val="24"/>
        </w:rPr>
        <w:t>a severance of the case, on the facts before me,</w:t>
      </w:r>
      <w:r w:rsidR="00BA78B0">
        <w:rPr>
          <w:rFonts w:ascii="Times New Roman" w:hAnsi="Times New Roman" w:cs="Times New Roman"/>
          <w:sz w:val="24"/>
          <w:szCs w:val="24"/>
        </w:rPr>
        <w:t xml:space="preserve"> are the potential procedural conflicts that </w:t>
      </w:r>
      <w:r w:rsidR="00627D84">
        <w:rPr>
          <w:rFonts w:ascii="Times New Roman" w:hAnsi="Times New Roman" w:cs="Times New Roman"/>
          <w:sz w:val="24"/>
          <w:szCs w:val="24"/>
        </w:rPr>
        <w:t xml:space="preserve">may </w:t>
      </w:r>
      <w:r w:rsidR="00BA78B0">
        <w:rPr>
          <w:rFonts w:ascii="Times New Roman" w:hAnsi="Times New Roman" w:cs="Times New Roman"/>
          <w:sz w:val="24"/>
          <w:szCs w:val="24"/>
        </w:rPr>
        <w:t>flare up during the hearing</w:t>
      </w:r>
      <w:r w:rsidR="00627D84">
        <w:rPr>
          <w:rFonts w:ascii="Times New Roman" w:hAnsi="Times New Roman" w:cs="Times New Roman"/>
          <w:sz w:val="24"/>
          <w:szCs w:val="24"/>
        </w:rPr>
        <w:t xml:space="preserve"> owing to </w:t>
      </w:r>
      <w:r w:rsidR="00BA78B0">
        <w:rPr>
          <w:rFonts w:ascii="Times New Roman" w:hAnsi="Times New Roman" w:cs="Times New Roman"/>
          <w:sz w:val="24"/>
          <w:szCs w:val="24"/>
        </w:rPr>
        <w:t>uncertainty on the part of the court and second respondent</w:t>
      </w:r>
      <w:r w:rsidR="00627D84">
        <w:rPr>
          <w:rFonts w:ascii="Times New Roman" w:hAnsi="Times New Roman" w:cs="Times New Roman"/>
          <w:sz w:val="24"/>
          <w:szCs w:val="24"/>
        </w:rPr>
        <w:t>, of how the</w:t>
      </w:r>
      <w:r w:rsidR="00BA78B0">
        <w:rPr>
          <w:rFonts w:ascii="Times New Roman" w:hAnsi="Times New Roman" w:cs="Times New Roman"/>
          <w:sz w:val="24"/>
          <w:szCs w:val="24"/>
        </w:rPr>
        <w:t xml:space="preserve"> applicants intended to structure their arguments.</w:t>
      </w:r>
      <w:r>
        <w:rPr>
          <w:rFonts w:ascii="Times New Roman" w:hAnsi="Times New Roman" w:cs="Times New Roman"/>
          <w:sz w:val="24"/>
          <w:szCs w:val="24"/>
        </w:rPr>
        <w:t xml:space="preserve"> </w:t>
      </w:r>
      <w:r w:rsidR="00627D84">
        <w:rPr>
          <w:rFonts w:ascii="Times New Roman" w:hAnsi="Times New Roman" w:cs="Times New Roman"/>
          <w:sz w:val="24"/>
          <w:szCs w:val="24"/>
        </w:rPr>
        <w:t xml:space="preserve">On that basis, I will uphold the objection but </w:t>
      </w:r>
      <w:r w:rsidR="003B1CBD" w:rsidRPr="003B1CBD">
        <w:rPr>
          <w:rFonts w:ascii="Times New Roman" w:hAnsi="Times New Roman" w:cs="Times New Roman"/>
          <w:sz w:val="24"/>
          <w:szCs w:val="24"/>
        </w:rPr>
        <w:t>allow each party to carry its own costs.</w:t>
      </w:r>
    </w:p>
    <w:p w14:paraId="54AF390E" w14:textId="77777777" w:rsidR="003B1CBD" w:rsidRDefault="003B1CBD" w:rsidP="00811BB1">
      <w:pPr>
        <w:autoSpaceDE w:val="0"/>
        <w:autoSpaceDN w:val="0"/>
        <w:adjustRightInd w:val="0"/>
        <w:spacing w:after="0" w:line="360" w:lineRule="auto"/>
        <w:jc w:val="both"/>
        <w:rPr>
          <w:rFonts w:ascii="Times New Roman" w:hAnsi="Times New Roman" w:cs="Times New Roman"/>
          <w:sz w:val="24"/>
          <w:szCs w:val="24"/>
        </w:rPr>
      </w:pPr>
    </w:p>
    <w:p w14:paraId="63C652C7" w14:textId="5A1AE425" w:rsidR="003B1CBD" w:rsidRPr="003B1CBD" w:rsidRDefault="003B1CBD" w:rsidP="00811BB1">
      <w:pPr>
        <w:autoSpaceDE w:val="0"/>
        <w:autoSpaceDN w:val="0"/>
        <w:adjustRightInd w:val="0"/>
        <w:spacing w:after="0" w:line="360" w:lineRule="auto"/>
        <w:jc w:val="both"/>
        <w:rPr>
          <w:rFonts w:ascii="Times New Roman" w:hAnsi="Times New Roman" w:cs="Times New Roman"/>
          <w:sz w:val="24"/>
          <w:szCs w:val="24"/>
        </w:rPr>
      </w:pPr>
      <w:r w:rsidRPr="003B1CBD">
        <w:rPr>
          <w:rFonts w:ascii="Times New Roman" w:hAnsi="Times New Roman" w:cs="Times New Roman"/>
          <w:sz w:val="24"/>
          <w:szCs w:val="24"/>
        </w:rPr>
        <w:t>It is therefore ordered that; -</w:t>
      </w:r>
    </w:p>
    <w:p w14:paraId="0A9770BD" w14:textId="77777777" w:rsidR="003B1CBD" w:rsidRDefault="003B1CBD" w:rsidP="00811BB1">
      <w:pPr>
        <w:autoSpaceDE w:val="0"/>
        <w:autoSpaceDN w:val="0"/>
        <w:adjustRightInd w:val="0"/>
        <w:spacing w:after="0" w:line="360" w:lineRule="auto"/>
        <w:jc w:val="both"/>
        <w:rPr>
          <w:rFonts w:ascii="Times New Roman" w:hAnsi="Times New Roman" w:cs="Times New Roman"/>
          <w:sz w:val="24"/>
          <w:szCs w:val="24"/>
        </w:rPr>
      </w:pPr>
    </w:p>
    <w:p w14:paraId="197DE019" w14:textId="77777777" w:rsidR="00627D84" w:rsidRDefault="003B1CBD" w:rsidP="00E90E8A">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E90E8A">
        <w:rPr>
          <w:rFonts w:ascii="Times New Roman" w:hAnsi="Times New Roman" w:cs="Times New Roman"/>
          <w:sz w:val="24"/>
          <w:szCs w:val="24"/>
        </w:rPr>
        <w:t xml:space="preserve">The objection by second respondent </w:t>
      </w:r>
      <w:r w:rsidR="00B33EEC">
        <w:rPr>
          <w:rFonts w:ascii="Times New Roman" w:hAnsi="Times New Roman" w:cs="Times New Roman"/>
          <w:sz w:val="24"/>
          <w:szCs w:val="24"/>
        </w:rPr>
        <w:t xml:space="preserve">be and hereby </w:t>
      </w:r>
      <w:r w:rsidR="00627D84">
        <w:rPr>
          <w:rFonts w:ascii="Times New Roman" w:hAnsi="Times New Roman" w:cs="Times New Roman"/>
          <w:sz w:val="24"/>
          <w:szCs w:val="24"/>
        </w:rPr>
        <w:t>upheld.</w:t>
      </w:r>
    </w:p>
    <w:p w14:paraId="18EF792D" w14:textId="406D8F2B" w:rsidR="00F61C9A" w:rsidRDefault="00627D84" w:rsidP="00E90E8A">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and second applicant be bound </w:t>
      </w:r>
      <w:r w:rsidR="00F61C9A">
        <w:rPr>
          <w:rFonts w:ascii="Times New Roman" w:hAnsi="Times New Roman" w:cs="Times New Roman"/>
          <w:sz w:val="24"/>
          <w:szCs w:val="24"/>
        </w:rPr>
        <w:t>to prosecute the present matter as co-litigants represented by one team of counsel, whatever the number, and as such, first and second applicants shall not sever their case.</w:t>
      </w:r>
    </w:p>
    <w:p w14:paraId="59C1D7A9" w14:textId="1F6344CF" w:rsidR="003B1CBD" w:rsidRPr="00E90E8A" w:rsidRDefault="00F61C9A" w:rsidP="00E90E8A">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be no order as to costs.</w:t>
      </w:r>
      <w:r w:rsidR="00627D84">
        <w:rPr>
          <w:rFonts w:ascii="Times New Roman" w:hAnsi="Times New Roman" w:cs="Times New Roman"/>
          <w:sz w:val="24"/>
          <w:szCs w:val="24"/>
        </w:rPr>
        <w:t xml:space="preserve">  </w:t>
      </w:r>
    </w:p>
    <w:p w14:paraId="23327914" w14:textId="77777777" w:rsidR="003B1CBD" w:rsidRPr="003B1CBD" w:rsidRDefault="003B1CBD" w:rsidP="00811BB1">
      <w:pPr>
        <w:autoSpaceDE w:val="0"/>
        <w:autoSpaceDN w:val="0"/>
        <w:adjustRightInd w:val="0"/>
        <w:spacing w:after="0" w:line="360" w:lineRule="auto"/>
        <w:jc w:val="both"/>
        <w:rPr>
          <w:rFonts w:ascii="Times New Roman" w:hAnsi="Times New Roman" w:cs="Times New Roman"/>
          <w:sz w:val="24"/>
          <w:szCs w:val="24"/>
        </w:rPr>
      </w:pPr>
    </w:p>
    <w:p w14:paraId="1BE91CD1" w14:textId="77777777" w:rsidR="003B1CBD" w:rsidRPr="003B1CBD" w:rsidRDefault="003B1CBD" w:rsidP="00811BB1">
      <w:pPr>
        <w:autoSpaceDE w:val="0"/>
        <w:autoSpaceDN w:val="0"/>
        <w:adjustRightInd w:val="0"/>
        <w:spacing w:after="0" w:line="360" w:lineRule="auto"/>
        <w:jc w:val="both"/>
        <w:rPr>
          <w:rFonts w:ascii="Times New Roman" w:hAnsi="Times New Roman" w:cs="Times New Roman"/>
          <w:sz w:val="24"/>
          <w:szCs w:val="24"/>
        </w:rPr>
      </w:pPr>
    </w:p>
    <w:p w14:paraId="6E9E7F24" w14:textId="391DD203" w:rsidR="003B1CBD" w:rsidRPr="00E90E8A" w:rsidRDefault="003B1CBD" w:rsidP="00E90E8A">
      <w:pPr>
        <w:pStyle w:val="NoSpacing"/>
        <w:rPr>
          <w:rFonts w:ascii="Times New Roman" w:hAnsi="Times New Roman" w:cs="Times New Roman"/>
          <w:sz w:val="24"/>
          <w:szCs w:val="24"/>
        </w:rPr>
      </w:pPr>
      <w:r w:rsidRPr="00E90E8A">
        <w:rPr>
          <w:rFonts w:ascii="Times New Roman" w:hAnsi="Times New Roman" w:cs="Times New Roman"/>
          <w:i/>
          <w:iCs/>
          <w:sz w:val="24"/>
          <w:szCs w:val="24"/>
        </w:rPr>
        <w:t>Moyo and Jera</w:t>
      </w:r>
      <w:r w:rsidRPr="00E90E8A">
        <w:rPr>
          <w:rFonts w:ascii="Times New Roman" w:hAnsi="Times New Roman" w:cs="Times New Roman"/>
          <w:sz w:val="24"/>
          <w:szCs w:val="24"/>
        </w:rPr>
        <w:t xml:space="preserve"> -first and second applicants` legal practitioners.</w:t>
      </w:r>
    </w:p>
    <w:p w14:paraId="6F2EE341" w14:textId="349429B8" w:rsidR="003B1CBD" w:rsidRPr="00E90E8A" w:rsidRDefault="003B1CBD" w:rsidP="00E90E8A">
      <w:pPr>
        <w:pStyle w:val="NoSpacing"/>
        <w:rPr>
          <w:rFonts w:ascii="Times New Roman" w:hAnsi="Times New Roman" w:cs="Times New Roman"/>
          <w:sz w:val="24"/>
          <w:szCs w:val="24"/>
        </w:rPr>
      </w:pPr>
      <w:r w:rsidRPr="00E90E8A">
        <w:rPr>
          <w:rFonts w:ascii="Times New Roman" w:hAnsi="Times New Roman" w:cs="Times New Roman"/>
          <w:i/>
          <w:iCs/>
          <w:sz w:val="24"/>
          <w:szCs w:val="24"/>
        </w:rPr>
        <w:t>Scanlen and Holderness</w:t>
      </w:r>
      <w:r w:rsidRPr="00E90E8A">
        <w:rPr>
          <w:rFonts w:ascii="Times New Roman" w:hAnsi="Times New Roman" w:cs="Times New Roman"/>
          <w:sz w:val="24"/>
          <w:szCs w:val="24"/>
        </w:rPr>
        <w:t>-second respondent`s legal practitioners</w:t>
      </w:r>
    </w:p>
    <w:p w14:paraId="4AF06437" w14:textId="77777777" w:rsidR="003B1CBD" w:rsidRPr="003B1CBD" w:rsidRDefault="003B1CBD" w:rsidP="00811BB1">
      <w:pPr>
        <w:autoSpaceDE w:val="0"/>
        <w:autoSpaceDN w:val="0"/>
        <w:adjustRightInd w:val="0"/>
        <w:spacing w:after="0" w:line="360" w:lineRule="auto"/>
        <w:jc w:val="both"/>
        <w:rPr>
          <w:rFonts w:ascii="Times New Roman" w:hAnsi="Times New Roman" w:cs="Times New Roman"/>
          <w:sz w:val="24"/>
          <w:szCs w:val="24"/>
        </w:rPr>
      </w:pPr>
    </w:p>
    <w:p w14:paraId="019B3467" w14:textId="6DF62931" w:rsidR="003B1CBD" w:rsidRPr="00E90E8A" w:rsidRDefault="00E90E8A" w:rsidP="00811BB1">
      <w:pPr>
        <w:autoSpaceDE w:val="0"/>
        <w:autoSpaceDN w:val="0"/>
        <w:adjustRightInd w:val="0"/>
        <w:spacing w:after="0" w:line="360" w:lineRule="auto"/>
        <w:jc w:val="both"/>
        <w:rPr>
          <w:rFonts w:ascii="Times New Roman" w:hAnsi="Times New Roman" w:cs="Times New Roman"/>
          <w:b/>
          <w:bCs/>
          <w:sz w:val="18"/>
          <w:szCs w:val="18"/>
        </w:rPr>
      </w:pPr>
      <w:r w:rsidRPr="00E90E8A">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E90E8A">
        <w:rPr>
          <w:rFonts w:ascii="Times New Roman" w:hAnsi="Times New Roman" w:cs="Times New Roman"/>
          <w:b/>
          <w:bCs/>
          <w:sz w:val="18"/>
          <w:szCs w:val="18"/>
        </w:rPr>
        <w:t>[CHILIMBE J_____16/6/25]</w:t>
      </w:r>
    </w:p>
    <w:p w14:paraId="15E6828C" w14:textId="77777777" w:rsidR="009E3521" w:rsidRDefault="009E3521" w:rsidP="00811BB1">
      <w:pPr>
        <w:autoSpaceDE w:val="0"/>
        <w:autoSpaceDN w:val="0"/>
        <w:adjustRightInd w:val="0"/>
        <w:spacing w:after="0" w:line="360" w:lineRule="auto"/>
        <w:jc w:val="both"/>
        <w:rPr>
          <w:b/>
          <w:bCs/>
          <w:i/>
          <w:iCs/>
          <w:sz w:val="21"/>
          <w:szCs w:val="21"/>
        </w:rPr>
      </w:pPr>
    </w:p>
    <w:p w14:paraId="5359A5D6" w14:textId="77777777" w:rsidR="009E3521" w:rsidRDefault="009E3521" w:rsidP="00811BB1">
      <w:pPr>
        <w:autoSpaceDE w:val="0"/>
        <w:autoSpaceDN w:val="0"/>
        <w:adjustRightInd w:val="0"/>
        <w:spacing w:after="0" w:line="360" w:lineRule="auto"/>
        <w:jc w:val="both"/>
        <w:rPr>
          <w:sz w:val="24"/>
          <w:szCs w:val="24"/>
        </w:rPr>
      </w:pPr>
    </w:p>
    <w:p w14:paraId="5E6FB7BB" w14:textId="77777777" w:rsidR="007B5570" w:rsidRPr="00811BB1" w:rsidRDefault="007B5570" w:rsidP="00811BB1">
      <w:pPr>
        <w:autoSpaceDE w:val="0"/>
        <w:autoSpaceDN w:val="0"/>
        <w:adjustRightInd w:val="0"/>
        <w:spacing w:after="0" w:line="360" w:lineRule="auto"/>
        <w:jc w:val="both"/>
        <w:rPr>
          <w:sz w:val="24"/>
          <w:szCs w:val="24"/>
        </w:rPr>
      </w:pPr>
    </w:p>
    <w:p w14:paraId="18A70411" w14:textId="4B85686F" w:rsidR="005416C6" w:rsidRPr="005416C6" w:rsidRDefault="00C74326" w:rsidP="005416C6">
      <w:pPr>
        <w:autoSpaceDE w:val="0"/>
        <w:autoSpaceDN w:val="0"/>
        <w:adjustRightInd w:val="0"/>
        <w:spacing w:after="0" w:line="240" w:lineRule="auto"/>
        <w:rPr>
          <w:rFonts w:ascii="Times New Roman" w:hAnsi="Times New Roman" w:cs="Times New Roman"/>
          <w:color w:val="000000"/>
          <w:kern w:val="0"/>
          <w:sz w:val="24"/>
          <w:szCs w:val="24"/>
        </w:rPr>
      </w:pPr>
      <w:r w:rsidRPr="00C74326">
        <w:rPr>
          <w:rFonts w:ascii="Calibri" w:eastAsia="Calibri" w:hAnsi="Calibri" w:cs="Times New Roman"/>
          <w:noProof/>
          <w:kern w:val="0"/>
          <w:lang w:val="en-US"/>
          <w14:ligatures w14:val="none"/>
        </w:rPr>
        <w:drawing>
          <wp:inline distT="0" distB="0" distL="0" distR="0" wp14:anchorId="580454A5" wp14:editId="5F94AB1E">
            <wp:extent cx="1524000" cy="1174750"/>
            <wp:effectExtent l="0" t="0" r="0" b="6350"/>
            <wp:docPr id="854999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174750"/>
                    </a:xfrm>
                    <a:prstGeom prst="rect">
                      <a:avLst/>
                    </a:prstGeom>
                    <a:noFill/>
                    <a:ln>
                      <a:noFill/>
                    </a:ln>
                  </pic:spPr>
                </pic:pic>
              </a:graphicData>
            </a:graphic>
          </wp:inline>
        </w:drawing>
      </w:r>
    </w:p>
    <w:p w14:paraId="1829C8EE" w14:textId="65A7FB3E" w:rsidR="00E4196F" w:rsidRPr="00AE758A" w:rsidRDefault="00E4196F" w:rsidP="00AE758A">
      <w:pPr>
        <w:spacing w:line="360" w:lineRule="auto"/>
        <w:jc w:val="both"/>
        <w:rPr>
          <w:rFonts w:ascii="Times New Roman" w:hAnsi="Times New Roman" w:cs="Times New Roman"/>
          <w:sz w:val="24"/>
          <w:szCs w:val="24"/>
        </w:rPr>
      </w:pPr>
    </w:p>
    <w:p w14:paraId="356ADE50" w14:textId="77777777" w:rsidR="00E4196F" w:rsidRPr="00AE758A" w:rsidRDefault="00E4196F" w:rsidP="00AE758A">
      <w:pPr>
        <w:spacing w:line="360" w:lineRule="auto"/>
        <w:jc w:val="both"/>
        <w:rPr>
          <w:rFonts w:ascii="Times New Roman" w:hAnsi="Times New Roman" w:cs="Times New Roman"/>
          <w:sz w:val="24"/>
          <w:szCs w:val="24"/>
        </w:rPr>
      </w:pPr>
    </w:p>
    <w:p w14:paraId="1C65947B" w14:textId="77777777" w:rsidR="00E4196F" w:rsidRPr="00AE758A" w:rsidRDefault="00E4196F" w:rsidP="00AE758A">
      <w:pPr>
        <w:spacing w:line="360" w:lineRule="auto"/>
        <w:jc w:val="both"/>
        <w:rPr>
          <w:rFonts w:ascii="Times New Roman" w:hAnsi="Times New Roman" w:cs="Times New Roman"/>
          <w:sz w:val="24"/>
          <w:szCs w:val="24"/>
        </w:rPr>
      </w:pPr>
    </w:p>
    <w:p w14:paraId="214A4BA6" w14:textId="5613315C" w:rsidR="007229B2" w:rsidRPr="00AE758A" w:rsidRDefault="007229B2" w:rsidP="00AE758A">
      <w:pPr>
        <w:spacing w:line="360" w:lineRule="auto"/>
        <w:jc w:val="both"/>
        <w:rPr>
          <w:rFonts w:ascii="Times New Roman" w:hAnsi="Times New Roman" w:cs="Times New Roman"/>
          <w:sz w:val="24"/>
          <w:szCs w:val="24"/>
        </w:rPr>
      </w:pPr>
    </w:p>
    <w:sectPr w:rsidR="007229B2" w:rsidRPr="00AE758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1EB64" w14:textId="77777777" w:rsidR="00150318" w:rsidRDefault="00150318" w:rsidP="003B7C62">
      <w:pPr>
        <w:spacing w:after="0" w:line="240" w:lineRule="auto"/>
      </w:pPr>
      <w:r>
        <w:separator/>
      </w:r>
    </w:p>
  </w:endnote>
  <w:endnote w:type="continuationSeparator" w:id="0">
    <w:p w14:paraId="0080CCC7" w14:textId="77777777" w:rsidR="00150318" w:rsidRDefault="00150318" w:rsidP="003B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53BFE" w14:textId="77777777" w:rsidR="00150318" w:rsidRDefault="00150318" w:rsidP="003B7C62">
      <w:pPr>
        <w:spacing w:after="0" w:line="240" w:lineRule="auto"/>
      </w:pPr>
      <w:r>
        <w:separator/>
      </w:r>
    </w:p>
  </w:footnote>
  <w:footnote w:type="continuationSeparator" w:id="0">
    <w:p w14:paraId="1A9A0D6B" w14:textId="77777777" w:rsidR="00150318" w:rsidRDefault="00150318" w:rsidP="003B7C62">
      <w:pPr>
        <w:spacing w:after="0" w:line="240" w:lineRule="auto"/>
      </w:pPr>
      <w:r>
        <w:continuationSeparator/>
      </w:r>
    </w:p>
  </w:footnote>
  <w:footnote w:id="1">
    <w:p w14:paraId="697ADB8E" w14:textId="4D53A60B" w:rsidR="00F61C9A" w:rsidRPr="00F61C9A" w:rsidRDefault="00F61C9A">
      <w:pPr>
        <w:pStyle w:val="FootnoteText"/>
        <w:rPr>
          <w:rFonts w:cstheme="minorHAnsi"/>
        </w:rPr>
      </w:pPr>
      <w:r>
        <w:rPr>
          <w:rStyle w:val="FootnoteReference"/>
        </w:rPr>
        <w:footnoteRef/>
      </w:r>
      <w:r>
        <w:t xml:space="preserve"> The</w:t>
      </w:r>
      <w:r w:rsidRPr="00F61C9A">
        <w:rPr>
          <w:rFonts w:cstheme="minorHAnsi"/>
        </w:rPr>
        <w:t xml:space="preserve"> High Court Rules SI 202/21 (“the High Court Rules”)</w:t>
      </w:r>
    </w:p>
  </w:footnote>
  <w:footnote w:id="2">
    <w:p w14:paraId="461F3F35" w14:textId="674F407B" w:rsidR="00F61C9A" w:rsidRDefault="00F61C9A">
      <w:pPr>
        <w:pStyle w:val="FootnoteText"/>
      </w:pPr>
      <w:r w:rsidRPr="00F61C9A">
        <w:rPr>
          <w:rStyle w:val="FootnoteReference"/>
          <w:rFonts w:cstheme="minorHAnsi"/>
        </w:rPr>
        <w:footnoteRef/>
      </w:r>
      <w:r w:rsidRPr="00F61C9A">
        <w:rPr>
          <w:rFonts w:cstheme="minorHAnsi"/>
        </w:rPr>
        <w:t xml:space="preserve"> </w:t>
      </w:r>
      <w:r>
        <w:rPr>
          <w:rFonts w:cstheme="minorHAnsi"/>
        </w:rPr>
        <w:t xml:space="preserve">The </w:t>
      </w:r>
      <w:r w:rsidRPr="00F61C9A">
        <w:rPr>
          <w:rFonts w:cstheme="minorHAnsi"/>
        </w:rPr>
        <w:t>High Court (Commercial Division) Rules SI 123/20 (“the Commercial Court Rules”)</w:t>
      </w:r>
    </w:p>
  </w:footnote>
  <w:footnote w:id="3">
    <w:p w14:paraId="47A0E240" w14:textId="0FB52306" w:rsidR="00D24F4F" w:rsidRDefault="00D24F4F">
      <w:pPr>
        <w:pStyle w:val="FootnoteText"/>
      </w:pPr>
      <w:r>
        <w:rPr>
          <w:rStyle w:val="FootnoteReference"/>
        </w:rPr>
        <w:footnoteRef/>
      </w:r>
      <w:r>
        <w:t xml:space="preserve"> Another typo in the sub-heading.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b/>
        <w:bCs/>
        <w:sz w:val="20"/>
        <w:szCs w:val="20"/>
      </w:rPr>
      <w:id w:val="260104718"/>
      <w:docPartObj>
        <w:docPartGallery w:val="Page Numbers (Top of Page)"/>
        <w:docPartUnique/>
      </w:docPartObj>
    </w:sdtPr>
    <w:sdtEndPr>
      <w:rPr>
        <w:noProof/>
      </w:rPr>
    </w:sdtEndPr>
    <w:sdtContent>
      <w:p w14:paraId="16735DB9" w14:textId="047A46BE" w:rsidR="003B7C62" w:rsidRPr="00AE758A" w:rsidRDefault="003B7C62" w:rsidP="000C47B7">
        <w:pPr>
          <w:pStyle w:val="Header"/>
          <w:jc w:val="right"/>
          <w:rPr>
            <w:rFonts w:cstheme="minorHAnsi"/>
            <w:b/>
            <w:bCs/>
            <w:noProof/>
            <w:sz w:val="20"/>
            <w:szCs w:val="20"/>
          </w:rPr>
        </w:pPr>
        <w:r w:rsidRPr="00AE758A">
          <w:rPr>
            <w:rFonts w:cstheme="minorHAnsi"/>
            <w:b/>
            <w:bCs/>
            <w:sz w:val="20"/>
            <w:szCs w:val="20"/>
          </w:rPr>
          <w:fldChar w:fldCharType="begin"/>
        </w:r>
        <w:r w:rsidRPr="00AE758A">
          <w:rPr>
            <w:rFonts w:cstheme="minorHAnsi"/>
            <w:b/>
            <w:bCs/>
            <w:sz w:val="20"/>
            <w:szCs w:val="20"/>
          </w:rPr>
          <w:instrText xml:space="preserve"> PAGE   \* MERGEFORMAT </w:instrText>
        </w:r>
        <w:r w:rsidRPr="00AE758A">
          <w:rPr>
            <w:rFonts w:cstheme="minorHAnsi"/>
            <w:b/>
            <w:bCs/>
            <w:sz w:val="20"/>
            <w:szCs w:val="20"/>
          </w:rPr>
          <w:fldChar w:fldCharType="separate"/>
        </w:r>
        <w:r w:rsidR="000C47B7">
          <w:rPr>
            <w:rFonts w:cstheme="minorHAnsi"/>
            <w:b/>
            <w:bCs/>
            <w:noProof/>
            <w:sz w:val="20"/>
            <w:szCs w:val="20"/>
          </w:rPr>
          <w:t>1</w:t>
        </w:r>
        <w:r w:rsidRPr="00AE758A">
          <w:rPr>
            <w:rFonts w:cstheme="minorHAnsi"/>
            <w:b/>
            <w:bCs/>
            <w:noProof/>
            <w:sz w:val="20"/>
            <w:szCs w:val="20"/>
          </w:rPr>
          <w:fldChar w:fldCharType="end"/>
        </w:r>
      </w:p>
      <w:p w14:paraId="329AA6D5" w14:textId="6885A824" w:rsidR="003B7C62" w:rsidRPr="000C47B7" w:rsidRDefault="00746D08" w:rsidP="000C47B7">
        <w:pPr>
          <w:pStyle w:val="Header"/>
          <w:jc w:val="right"/>
          <w:rPr>
            <w:rFonts w:cstheme="minorHAnsi"/>
            <w:b/>
            <w:bCs/>
            <w:noProof/>
            <w:color w:val="000000" w:themeColor="text1"/>
            <w:sz w:val="20"/>
            <w:szCs w:val="20"/>
          </w:rPr>
        </w:pPr>
        <w:r w:rsidRPr="000C47B7">
          <w:rPr>
            <w:rFonts w:cstheme="minorHAnsi"/>
            <w:b/>
            <w:bCs/>
            <w:color w:val="000000" w:themeColor="text1"/>
            <w:sz w:val="20"/>
            <w:szCs w:val="20"/>
            <w:shd w:val="clear" w:color="auto" w:fill="FFFFFF"/>
          </w:rPr>
          <w:t>HH 344-25</w:t>
        </w:r>
      </w:p>
      <w:p w14:paraId="7A81D94E" w14:textId="3689E4E0" w:rsidR="003B7C62" w:rsidRPr="00AE758A" w:rsidRDefault="003B7C62" w:rsidP="000C47B7">
        <w:pPr>
          <w:pStyle w:val="Header"/>
          <w:jc w:val="right"/>
          <w:rPr>
            <w:rFonts w:cstheme="minorHAnsi"/>
            <w:b/>
            <w:bCs/>
            <w:sz w:val="20"/>
            <w:szCs w:val="20"/>
          </w:rPr>
        </w:pPr>
        <w:r w:rsidRPr="00AE758A">
          <w:rPr>
            <w:rFonts w:cstheme="minorHAnsi"/>
            <w:b/>
            <w:bCs/>
            <w:noProof/>
            <w:sz w:val="20"/>
            <w:szCs w:val="20"/>
          </w:rPr>
          <w:t>HCHC 726/24</w:t>
        </w:r>
      </w:p>
    </w:sdtContent>
  </w:sdt>
  <w:p w14:paraId="7898F28A" w14:textId="77777777" w:rsidR="003B7C62" w:rsidRDefault="003B7C62" w:rsidP="000C47B7">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D7531"/>
    <w:multiLevelType w:val="hybridMultilevel"/>
    <w:tmpl w:val="5B486522"/>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6AB5C3E"/>
    <w:multiLevelType w:val="hybridMultilevel"/>
    <w:tmpl w:val="FE7C8F5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5A01875"/>
    <w:multiLevelType w:val="hybridMultilevel"/>
    <w:tmpl w:val="4492E188"/>
    <w:lvl w:ilvl="0" w:tplc="8F923A98">
      <w:start w:val="1"/>
      <w:numFmt w:val="lowerRoman"/>
      <w:lvlText w:val="(%1)"/>
      <w:lvlJc w:val="left"/>
      <w:pPr>
        <w:ind w:left="1080" w:hanging="720"/>
      </w:pPr>
      <w:rPr>
        <w:rFonts w:asciiTheme="minorHAnsi" w:hAnsiTheme="minorHAnsi" w:cstheme="minorHAnsi"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62"/>
    <w:rsid w:val="0008053E"/>
    <w:rsid w:val="000902A7"/>
    <w:rsid w:val="000A71AE"/>
    <w:rsid w:val="000A7C29"/>
    <w:rsid w:val="000C47B7"/>
    <w:rsid w:val="000D6330"/>
    <w:rsid w:val="000E54CC"/>
    <w:rsid w:val="0011312A"/>
    <w:rsid w:val="00121AC3"/>
    <w:rsid w:val="00136A28"/>
    <w:rsid w:val="00150318"/>
    <w:rsid w:val="00154008"/>
    <w:rsid w:val="00192B24"/>
    <w:rsid w:val="001D54C4"/>
    <w:rsid w:val="001F7700"/>
    <w:rsid w:val="002928DB"/>
    <w:rsid w:val="00296572"/>
    <w:rsid w:val="002B2F09"/>
    <w:rsid w:val="002E2852"/>
    <w:rsid w:val="00327FFB"/>
    <w:rsid w:val="0036178E"/>
    <w:rsid w:val="003B1CBD"/>
    <w:rsid w:val="003B2A9B"/>
    <w:rsid w:val="003B7C62"/>
    <w:rsid w:val="003C15D8"/>
    <w:rsid w:val="00411F4D"/>
    <w:rsid w:val="00414C7A"/>
    <w:rsid w:val="00472085"/>
    <w:rsid w:val="004757C5"/>
    <w:rsid w:val="004E2137"/>
    <w:rsid w:val="004F096B"/>
    <w:rsid w:val="004F5D6C"/>
    <w:rsid w:val="0051647B"/>
    <w:rsid w:val="00517D7F"/>
    <w:rsid w:val="005219FD"/>
    <w:rsid w:val="005273AC"/>
    <w:rsid w:val="00536B7F"/>
    <w:rsid w:val="005416C6"/>
    <w:rsid w:val="00556CF6"/>
    <w:rsid w:val="005B53C5"/>
    <w:rsid w:val="005E1059"/>
    <w:rsid w:val="006127A6"/>
    <w:rsid w:val="00627D84"/>
    <w:rsid w:val="0066284C"/>
    <w:rsid w:val="00712AAF"/>
    <w:rsid w:val="0071430B"/>
    <w:rsid w:val="007229B2"/>
    <w:rsid w:val="00725DAD"/>
    <w:rsid w:val="00730549"/>
    <w:rsid w:val="0074082D"/>
    <w:rsid w:val="00743640"/>
    <w:rsid w:val="00746D08"/>
    <w:rsid w:val="00753B35"/>
    <w:rsid w:val="00755F3B"/>
    <w:rsid w:val="0078335F"/>
    <w:rsid w:val="00783574"/>
    <w:rsid w:val="00790FEF"/>
    <w:rsid w:val="00792811"/>
    <w:rsid w:val="007B5570"/>
    <w:rsid w:val="007D2DCE"/>
    <w:rsid w:val="007E1117"/>
    <w:rsid w:val="007F2FDD"/>
    <w:rsid w:val="00804A7E"/>
    <w:rsid w:val="00811BB1"/>
    <w:rsid w:val="008340C7"/>
    <w:rsid w:val="008715A5"/>
    <w:rsid w:val="008838E5"/>
    <w:rsid w:val="00884C36"/>
    <w:rsid w:val="008A4DB1"/>
    <w:rsid w:val="008A7F9D"/>
    <w:rsid w:val="008B7063"/>
    <w:rsid w:val="008C6E8D"/>
    <w:rsid w:val="00905508"/>
    <w:rsid w:val="00905E6D"/>
    <w:rsid w:val="009472D4"/>
    <w:rsid w:val="009476BF"/>
    <w:rsid w:val="0095169C"/>
    <w:rsid w:val="00972246"/>
    <w:rsid w:val="0097453F"/>
    <w:rsid w:val="009861F0"/>
    <w:rsid w:val="009C18D7"/>
    <w:rsid w:val="009E3521"/>
    <w:rsid w:val="009E4BCC"/>
    <w:rsid w:val="00A23A5C"/>
    <w:rsid w:val="00A40190"/>
    <w:rsid w:val="00A40E93"/>
    <w:rsid w:val="00A47D02"/>
    <w:rsid w:val="00A80AFF"/>
    <w:rsid w:val="00A857A3"/>
    <w:rsid w:val="00AA36B1"/>
    <w:rsid w:val="00AD5143"/>
    <w:rsid w:val="00AE758A"/>
    <w:rsid w:val="00B13A90"/>
    <w:rsid w:val="00B32416"/>
    <w:rsid w:val="00B33EEC"/>
    <w:rsid w:val="00B9782A"/>
    <w:rsid w:val="00BA78B0"/>
    <w:rsid w:val="00BC43E8"/>
    <w:rsid w:val="00BD4E4A"/>
    <w:rsid w:val="00BF7733"/>
    <w:rsid w:val="00C36CC5"/>
    <w:rsid w:val="00C417AC"/>
    <w:rsid w:val="00C42E05"/>
    <w:rsid w:val="00C74326"/>
    <w:rsid w:val="00C960B2"/>
    <w:rsid w:val="00D021C5"/>
    <w:rsid w:val="00D05A51"/>
    <w:rsid w:val="00D24F4F"/>
    <w:rsid w:val="00D3755D"/>
    <w:rsid w:val="00D54291"/>
    <w:rsid w:val="00D73A10"/>
    <w:rsid w:val="00DF344E"/>
    <w:rsid w:val="00DF56B8"/>
    <w:rsid w:val="00E4196F"/>
    <w:rsid w:val="00E479DC"/>
    <w:rsid w:val="00E82EDD"/>
    <w:rsid w:val="00E90E8A"/>
    <w:rsid w:val="00E947C8"/>
    <w:rsid w:val="00ED6828"/>
    <w:rsid w:val="00ED7142"/>
    <w:rsid w:val="00F05D0B"/>
    <w:rsid w:val="00F54BC7"/>
    <w:rsid w:val="00F61C9A"/>
    <w:rsid w:val="00F63F61"/>
    <w:rsid w:val="00F85146"/>
    <w:rsid w:val="00FB707E"/>
    <w:rsid w:val="00FD5035"/>
    <w:rsid w:val="00FF3320"/>
    <w:rsid w:val="00FF5EC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B356"/>
  <w15:chartTrackingRefBased/>
  <w15:docId w15:val="{F587C638-2A25-4868-9BF4-6B04E344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7C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7C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7C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7C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7C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7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C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7C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7C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C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C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C62"/>
    <w:rPr>
      <w:rFonts w:eastAsiaTheme="majorEastAsia" w:cstheme="majorBidi"/>
      <w:color w:val="272727" w:themeColor="text1" w:themeTint="D8"/>
    </w:rPr>
  </w:style>
  <w:style w:type="paragraph" w:styleId="Title">
    <w:name w:val="Title"/>
    <w:basedOn w:val="Normal"/>
    <w:next w:val="Normal"/>
    <w:link w:val="TitleChar"/>
    <w:uiPriority w:val="10"/>
    <w:qFormat/>
    <w:rsid w:val="003B7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C62"/>
    <w:pPr>
      <w:spacing w:before="160"/>
      <w:jc w:val="center"/>
    </w:pPr>
    <w:rPr>
      <w:i/>
      <w:iCs/>
      <w:color w:val="404040" w:themeColor="text1" w:themeTint="BF"/>
    </w:rPr>
  </w:style>
  <w:style w:type="character" w:customStyle="1" w:styleId="QuoteChar">
    <w:name w:val="Quote Char"/>
    <w:basedOn w:val="DefaultParagraphFont"/>
    <w:link w:val="Quote"/>
    <w:uiPriority w:val="29"/>
    <w:rsid w:val="003B7C62"/>
    <w:rPr>
      <w:i/>
      <w:iCs/>
      <w:color w:val="404040" w:themeColor="text1" w:themeTint="BF"/>
    </w:rPr>
  </w:style>
  <w:style w:type="paragraph" w:styleId="ListParagraph">
    <w:name w:val="List Paragraph"/>
    <w:basedOn w:val="Normal"/>
    <w:uiPriority w:val="34"/>
    <w:qFormat/>
    <w:rsid w:val="003B7C62"/>
    <w:pPr>
      <w:ind w:left="720"/>
      <w:contextualSpacing/>
    </w:pPr>
  </w:style>
  <w:style w:type="character" w:styleId="IntenseEmphasis">
    <w:name w:val="Intense Emphasis"/>
    <w:basedOn w:val="DefaultParagraphFont"/>
    <w:uiPriority w:val="21"/>
    <w:qFormat/>
    <w:rsid w:val="003B7C62"/>
    <w:rPr>
      <w:i/>
      <w:iCs/>
      <w:color w:val="2F5496" w:themeColor="accent1" w:themeShade="BF"/>
    </w:rPr>
  </w:style>
  <w:style w:type="paragraph" w:styleId="IntenseQuote">
    <w:name w:val="Intense Quote"/>
    <w:basedOn w:val="Normal"/>
    <w:next w:val="Normal"/>
    <w:link w:val="IntenseQuoteChar"/>
    <w:uiPriority w:val="30"/>
    <w:qFormat/>
    <w:rsid w:val="003B7C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7C62"/>
    <w:rPr>
      <w:i/>
      <w:iCs/>
      <w:color w:val="2F5496" w:themeColor="accent1" w:themeShade="BF"/>
    </w:rPr>
  </w:style>
  <w:style w:type="character" w:styleId="IntenseReference">
    <w:name w:val="Intense Reference"/>
    <w:basedOn w:val="DefaultParagraphFont"/>
    <w:uiPriority w:val="32"/>
    <w:qFormat/>
    <w:rsid w:val="003B7C62"/>
    <w:rPr>
      <w:b/>
      <w:bCs/>
      <w:smallCaps/>
      <w:color w:val="2F5496" w:themeColor="accent1" w:themeShade="BF"/>
      <w:spacing w:val="5"/>
    </w:rPr>
  </w:style>
  <w:style w:type="paragraph" w:styleId="Header">
    <w:name w:val="header"/>
    <w:basedOn w:val="Normal"/>
    <w:link w:val="HeaderChar"/>
    <w:uiPriority w:val="99"/>
    <w:unhideWhenUsed/>
    <w:rsid w:val="003B7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C62"/>
  </w:style>
  <w:style w:type="paragraph" w:styleId="Footer">
    <w:name w:val="footer"/>
    <w:basedOn w:val="Normal"/>
    <w:link w:val="FooterChar"/>
    <w:uiPriority w:val="99"/>
    <w:unhideWhenUsed/>
    <w:rsid w:val="003B7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C62"/>
  </w:style>
  <w:style w:type="paragraph" w:customStyle="1" w:styleId="Default">
    <w:name w:val="Default"/>
    <w:rsid w:val="003B7C62"/>
    <w:pPr>
      <w:autoSpaceDE w:val="0"/>
      <w:autoSpaceDN w:val="0"/>
      <w:adjustRightInd w:val="0"/>
      <w:spacing w:after="0" w:line="240" w:lineRule="auto"/>
    </w:pPr>
    <w:rPr>
      <w:rFonts w:ascii="Calibri" w:hAnsi="Calibri" w:cs="Calibri"/>
      <w:color w:val="000000"/>
      <w:kern w:val="0"/>
      <w:sz w:val="24"/>
      <w:szCs w:val="24"/>
    </w:rPr>
  </w:style>
  <w:style w:type="paragraph" w:styleId="NoSpacing">
    <w:name w:val="No Spacing"/>
    <w:uiPriority w:val="1"/>
    <w:qFormat/>
    <w:rsid w:val="003B7C62"/>
    <w:pPr>
      <w:spacing w:after="0" w:line="240" w:lineRule="auto"/>
    </w:pPr>
  </w:style>
  <w:style w:type="paragraph" w:styleId="FootnoteText">
    <w:name w:val="footnote text"/>
    <w:basedOn w:val="Normal"/>
    <w:link w:val="FootnoteTextChar"/>
    <w:uiPriority w:val="99"/>
    <w:semiHidden/>
    <w:unhideWhenUsed/>
    <w:rsid w:val="00D24F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F4F"/>
    <w:rPr>
      <w:sz w:val="20"/>
      <w:szCs w:val="20"/>
    </w:rPr>
  </w:style>
  <w:style w:type="character" w:styleId="FootnoteReference">
    <w:name w:val="footnote reference"/>
    <w:basedOn w:val="DefaultParagraphFont"/>
    <w:uiPriority w:val="99"/>
    <w:semiHidden/>
    <w:unhideWhenUsed/>
    <w:rsid w:val="00D24F4F"/>
    <w:rPr>
      <w:vertAlign w:val="superscript"/>
    </w:rPr>
  </w:style>
  <w:style w:type="character" w:styleId="CommentReference">
    <w:name w:val="annotation reference"/>
    <w:basedOn w:val="DefaultParagraphFont"/>
    <w:uiPriority w:val="99"/>
    <w:semiHidden/>
    <w:unhideWhenUsed/>
    <w:rsid w:val="00A47D02"/>
    <w:rPr>
      <w:sz w:val="16"/>
      <w:szCs w:val="16"/>
    </w:rPr>
  </w:style>
  <w:style w:type="paragraph" w:styleId="CommentText">
    <w:name w:val="annotation text"/>
    <w:basedOn w:val="Normal"/>
    <w:link w:val="CommentTextChar"/>
    <w:uiPriority w:val="99"/>
    <w:semiHidden/>
    <w:unhideWhenUsed/>
    <w:rsid w:val="00A47D02"/>
    <w:pPr>
      <w:spacing w:line="240" w:lineRule="auto"/>
    </w:pPr>
    <w:rPr>
      <w:sz w:val="20"/>
      <w:szCs w:val="20"/>
    </w:rPr>
  </w:style>
  <w:style w:type="character" w:customStyle="1" w:styleId="CommentTextChar">
    <w:name w:val="Comment Text Char"/>
    <w:basedOn w:val="DefaultParagraphFont"/>
    <w:link w:val="CommentText"/>
    <w:uiPriority w:val="99"/>
    <w:semiHidden/>
    <w:rsid w:val="00A47D02"/>
    <w:rPr>
      <w:sz w:val="20"/>
      <w:szCs w:val="20"/>
    </w:rPr>
  </w:style>
  <w:style w:type="paragraph" w:styleId="CommentSubject">
    <w:name w:val="annotation subject"/>
    <w:basedOn w:val="CommentText"/>
    <w:next w:val="CommentText"/>
    <w:link w:val="CommentSubjectChar"/>
    <w:uiPriority w:val="99"/>
    <w:semiHidden/>
    <w:unhideWhenUsed/>
    <w:rsid w:val="00A47D02"/>
    <w:rPr>
      <w:b/>
      <w:bCs/>
    </w:rPr>
  </w:style>
  <w:style w:type="character" w:customStyle="1" w:styleId="CommentSubjectChar">
    <w:name w:val="Comment Subject Char"/>
    <w:basedOn w:val="CommentTextChar"/>
    <w:link w:val="CommentSubject"/>
    <w:uiPriority w:val="99"/>
    <w:semiHidden/>
    <w:rsid w:val="00A47D02"/>
    <w:rPr>
      <w:b/>
      <w:bCs/>
      <w:sz w:val="20"/>
      <w:szCs w:val="20"/>
    </w:rPr>
  </w:style>
  <w:style w:type="paragraph" w:styleId="BalloonText">
    <w:name w:val="Balloon Text"/>
    <w:basedOn w:val="Normal"/>
    <w:link w:val="BalloonTextChar"/>
    <w:uiPriority w:val="99"/>
    <w:semiHidden/>
    <w:unhideWhenUsed/>
    <w:rsid w:val="00A47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4473</Words>
  <Characters>25501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2025-06-16T14:11:00Z</cp:lastPrinted>
  <dcterms:created xsi:type="dcterms:W3CDTF">2025-06-20T10:40:00Z</dcterms:created>
  <dcterms:modified xsi:type="dcterms:W3CDTF">2025-06-20T10:40:00Z</dcterms:modified>
</cp:coreProperties>
</file>