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6E" w:rsidRDefault="00CB311B" w:rsidP="00CB311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THE LABOUR COURT OF ZIMBABWE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A0399"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>JUDGMENT NO LC/H/</w:t>
      </w:r>
      <w:r w:rsidR="005525DF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/16</w:t>
      </w:r>
    </w:p>
    <w:p w:rsidR="00CB311B" w:rsidRDefault="00CB311B" w:rsidP="00CB311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HELD AT HARARE 14</w:t>
      </w:r>
      <w:r w:rsidRPr="00CB311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CASE NO LC/H/649/15</w:t>
      </w:r>
    </w:p>
    <w:p w:rsidR="00CB311B" w:rsidRDefault="00CB311B" w:rsidP="00CB311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&amp;</w:t>
      </w:r>
      <w:r w:rsidR="005525DF">
        <w:rPr>
          <w:b/>
          <w:sz w:val="24"/>
          <w:szCs w:val="24"/>
        </w:rPr>
        <w:t xml:space="preserve"> 22</w:t>
      </w:r>
      <w:r w:rsidR="005525DF" w:rsidRPr="005525DF">
        <w:rPr>
          <w:b/>
          <w:sz w:val="24"/>
          <w:szCs w:val="24"/>
          <w:vertAlign w:val="superscript"/>
        </w:rPr>
        <w:t>nd</w:t>
      </w:r>
      <w:r w:rsidR="005525DF">
        <w:rPr>
          <w:b/>
          <w:sz w:val="24"/>
          <w:szCs w:val="24"/>
        </w:rPr>
        <w:t xml:space="preserve"> JANUARY, 2016</w:t>
      </w:r>
    </w:p>
    <w:p w:rsidR="00CB311B" w:rsidRDefault="00CB311B" w:rsidP="00CB311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 MAKAHAM</w:t>
      </w:r>
      <w:r w:rsidR="00937285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DZE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C59C0">
        <w:rPr>
          <w:b/>
          <w:sz w:val="24"/>
          <w:szCs w:val="24"/>
        </w:rPr>
        <w:tab/>
      </w:r>
      <w:r w:rsidR="000C59C0">
        <w:rPr>
          <w:b/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Pr="00CB311B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Appellant</w:t>
      </w:r>
    </w:p>
    <w:p w:rsidR="00CB311B" w:rsidRDefault="00CB311B" w:rsidP="00CB311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 VENGAI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C59C0">
        <w:rPr>
          <w:b/>
          <w:sz w:val="24"/>
          <w:szCs w:val="24"/>
        </w:rPr>
        <w:tab/>
      </w:r>
      <w:r w:rsidR="000C59C0">
        <w:rPr>
          <w:b/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Pr="00CB311B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Appellant</w:t>
      </w:r>
    </w:p>
    <w:p w:rsidR="00CB311B" w:rsidRDefault="00CB311B" w:rsidP="00CB311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PLASTIC STAR TRADING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C59C0">
        <w:rPr>
          <w:b/>
          <w:sz w:val="24"/>
          <w:szCs w:val="24"/>
        </w:rPr>
        <w:tab/>
      </w:r>
      <w:r w:rsidR="000C59C0">
        <w:rPr>
          <w:b/>
          <w:sz w:val="24"/>
          <w:szCs w:val="24"/>
        </w:rPr>
        <w:tab/>
      </w:r>
      <w:r>
        <w:rPr>
          <w:b/>
          <w:sz w:val="24"/>
          <w:szCs w:val="24"/>
        </w:rPr>
        <w:t>Respondent</w:t>
      </w:r>
      <w:r>
        <w:rPr>
          <w:b/>
          <w:sz w:val="24"/>
          <w:szCs w:val="24"/>
        </w:rPr>
        <w:tab/>
      </w:r>
    </w:p>
    <w:p w:rsidR="00CB311B" w:rsidRDefault="00CB311B" w:rsidP="00CB31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Before The Honourable G Musariri, Judge</w:t>
      </w:r>
    </w:p>
    <w:p w:rsidR="00CB311B" w:rsidRDefault="00CB311B" w:rsidP="00CB311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Appellants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Mr C </w:t>
      </w:r>
      <w:proofErr w:type="spellStart"/>
      <w:r>
        <w:rPr>
          <w:b/>
          <w:sz w:val="24"/>
          <w:szCs w:val="24"/>
        </w:rPr>
        <w:t>Muchichwa</w:t>
      </w:r>
      <w:proofErr w:type="spellEnd"/>
      <w:r>
        <w:rPr>
          <w:b/>
          <w:sz w:val="24"/>
          <w:szCs w:val="24"/>
        </w:rPr>
        <w:t>, Unionist</w:t>
      </w:r>
    </w:p>
    <w:p w:rsidR="00CB311B" w:rsidRDefault="000E4777" w:rsidP="00CB311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Respondent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Mr S</w:t>
      </w:r>
      <w:r w:rsidR="00CB311B">
        <w:rPr>
          <w:b/>
          <w:sz w:val="24"/>
          <w:szCs w:val="24"/>
        </w:rPr>
        <w:t xml:space="preserve"> </w:t>
      </w:r>
      <w:proofErr w:type="spellStart"/>
      <w:r w:rsidR="00CB311B">
        <w:rPr>
          <w:b/>
          <w:sz w:val="24"/>
          <w:szCs w:val="24"/>
        </w:rPr>
        <w:t>Marozva</w:t>
      </w:r>
      <w:proofErr w:type="spellEnd"/>
      <w:r w:rsidR="00CB311B">
        <w:rPr>
          <w:b/>
          <w:sz w:val="24"/>
          <w:szCs w:val="24"/>
        </w:rPr>
        <w:t>, Officer</w:t>
      </w:r>
    </w:p>
    <w:p w:rsidR="00CB311B" w:rsidRDefault="00CB311B" w:rsidP="00CB311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MUSARIRI, J:</w:t>
      </w:r>
    </w:p>
    <w:p w:rsidR="00CB311B" w:rsidRDefault="00CB311B" w:rsidP="00CB311B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On 19 June 20</w:t>
      </w:r>
      <w:r w:rsidR="000C59C0">
        <w:rPr>
          <w:sz w:val="24"/>
          <w:szCs w:val="24"/>
        </w:rPr>
        <w:t>1</w:t>
      </w:r>
      <w:r>
        <w:rPr>
          <w:sz w:val="24"/>
          <w:szCs w:val="24"/>
        </w:rPr>
        <w:t>5 at Harare</w:t>
      </w:r>
      <w:r w:rsidR="000C59C0">
        <w:rPr>
          <w:sz w:val="24"/>
          <w:szCs w:val="24"/>
        </w:rPr>
        <w:t>,</w:t>
      </w:r>
      <w:r>
        <w:rPr>
          <w:sz w:val="24"/>
          <w:szCs w:val="24"/>
        </w:rPr>
        <w:t xml:space="preserve"> Arbitrator M </w:t>
      </w:r>
      <w:proofErr w:type="spellStart"/>
      <w:r>
        <w:rPr>
          <w:sz w:val="24"/>
          <w:szCs w:val="24"/>
        </w:rPr>
        <w:t>Dangarembizi</w:t>
      </w:r>
      <w:proofErr w:type="spellEnd"/>
      <w:r>
        <w:rPr>
          <w:sz w:val="24"/>
          <w:szCs w:val="24"/>
        </w:rPr>
        <w:t xml:space="preserve"> made an arbitration award.  He dismissed appellants’ claims of underpayment by their employer, the respondent.   Appellants then appealed to this court against the </w:t>
      </w:r>
      <w:r w:rsidRPr="00CB311B">
        <w:t>award</w:t>
      </w:r>
      <w:r>
        <w:rPr>
          <w:sz w:val="24"/>
          <w:szCs w:val="24"/>
        </w:rPr>
        <w:t>.  Respondent opposed the appeal.</w:t>
      </w:r>
    </w:p>
    <w:p w:rsidR="00CB311B" w:rsidRDefault="00CB311B" w:rsidP="00CB311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The grounds of appeal were four-fold as follows,</w:t>
      </w:r>
    </w:p>
    <w:p w:rsidR="00CB311B" w:rsidRDefault="00CB311B" w:rsidP="000C59C0">
      <w:pPr>
        <w:spacing w:after="0" w:line="240" w:lineRule="auto"/>
        <w:ind w:left="1440" w:hanging="720"/>
        <w:jc w:val="both"/>
        <w:rPr>
          <w:sz w:val="24"/>
          <w:szCs w:val="24"/>
        </w:rPr>
      </w:pPr>
      <w:r>
        <w:t>“1.</w:t>
      </w:r>
      <w:r>
        <w:tab/>
        <w:t xml:space="preserve">The Honourable Arbitrator erred and misdirected himself at law when he failed to </w:t>
      </w:r>
      <w:proofErr w:type="gramStart"/>
      <w:r w:rsidR="000E4777">
        <w:t xml:space="preserve">appreciate  </w:t>
      </w:r>
      <w:r>
        <w:t>that</w:t>
      </w:r>
      <w:proofErr w:type="gramEnd"/>
      <w:r>
        <w:t xml:space="preserve"> the evidence brought before him by the respondent was not sufficient</w:t>
      </w:r>
      <w:r w:rsidR="000C59C0">
        <w:rPr>
          <w:sz w:val="24"/>
          <w:szCs w:val="24"/>
        </w:rPr>
        <w:t xml:space="preserve"> </w:t>
      </w:r>
      <w:r>
        <w:rPr>
          <w:sz w:val="24"/>
          <w:szCs w:val="24"/>
        </w:rPr>
        <w:t>enough to conclude that appellants’ claims were devoid of merit.</w:t>
      </w:r>
    </w:p>
    <w:p w:rsidR="005525DF" w:rsidRDefault="005525DF" w:rsidP="000C59C0">
      <w:pPr>
        <w:spacing w:after="0" w:line="240" w:lineRule="auto"/>
        <w:ind w:left="1440" w:hanging="720"/>
        <w:jc w:val="both"/>
        <w:rPr>
          <w:sz w:val="24"/>
          <w:szCs w:val="24"/>
        </w:rPr>
      </w:pPr>
    </w:p>
    <w:p w:rsidR="00CB311B" w:rsidRDefault="00CB311B" w:rsidP="000C59C0">
      <w:pPr>
        <w:spacing w:after="0" w:line="240" w:lineRule="auto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Honourable Arbitrator erred and misdirected himself at law when he held that it was not his prerogative to determine whether the appellants were Grade B1 or A3 employees.</w:t>
      </w:r>
    </w:p>
    <w:p w:rsidR="005525DF" w:rsidRDefault="005525DF" w:rsidP="000C59C0">
      <w:pPr>
        <w:spacing w:after="0" w:line="240" w:lineRule="auto"/>
        <w:ind w:left="1440" w:hanging="720"/>
        <w:jc w:val="both"/>
        <w:rPr>
          <w:sz w:val="24"/>
          <w:szCs w:val="24"/>
        </w:rPr>
      </w:pPr>
    </w:p>
    <w:p w:rsidR="00CB311B" w:rsidRDefault="00CB311B" w:rsidP="000C59C0">
      <w:pPr>
        <w:spacing w:after="0" w:line="240" w:lineRule="auto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Honourable Arbitrator erred and misdirected</w:t>
      </w:r>
      <w:r w:rsidR="000E4777">
        <w:rPr>
          <w:sz w:val="24"/>
          <w:szCs w:val="24"/>
        </w:rPr>
        <w:t xml:space="preserve"> himself at law when he made a finding that the claimants were not underpaid or owed overtime on the basis of a withdrawal by the majority of the claimants of their case when there was proof before him that the claimants were being underpaid and owed overtime.</w:t>
      </w:r>
    </w:p>
    <w:p w:rsidR="005525DF" w:rsidRDefault="005525DF" w:rsidP="000C59C0">
      <w:pPr>
        <w:spacing w:after="0" w:line="240" w:lineRule="auto"/>
        <w:ind w:left="1440" w:hanging="720"/>
        <w:jc w:val="both"/>
        <w:rPr>
          <w:sz w:val="24"/>
          <w:szCs w:val="24"/>
        </w:rPr>
      </w:pPr>
    </w:p>
    <w:p w:rsidR="000E4777" w:rsidRDefault="00743862" w:rsidP="000C59C0">
      <w:pPr>
        <w:spacing w:after="0" w:line="240" w:lineRule="auto"/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T</w:t>
      </w:r>
      <w:r w:rsidR="000E4777">
        <w:rPr>
          <w:sz w:val="24"/>
          <w:szCs w:val="24"/>
        </w:rPr>
        <w:t xml:space="preserve">he Honourable arbitrator erred and misdirected himself at law when he </w:t>
      </w:r>
      <w:r w:rsidR="000C59C0">
        <w:rPr>
          <w:sz w:val="24"/>
          <w:szCs w:val="24"/>
        </w:rPr>
        <w:t>failed to indicate</w:t>
      </w:r>
      <w:r w:rsidR="000E4777">
        <w:rPr>
          <w:sz w:val="24"/>
          <w:szCs w:val="24"/>
        </w:rPr>
        <w:t xml:space="preserve"> the appropriate remedy to the claimants after dismissing their claims </w:t>
      </w:r>
      <w:proofErr w:type="gramStart"/>
      <w:r w:rsidR="000E4777">
        <w:rPr>
          <w:sz w:val="24"/>
          <w:szCs w:val="24"/>
        </w:rPr>
        <w:t>a  point</w:t>
      </w:r>
      <w:proofErr w:type="gramEnd"/>
      <w:r w:rsidR="000E4777">
        <w:rPr>
          <w:sz w:val="24"/>
          <w:szCs w:val="24"/>
        </w:rPr>
        <w:t xml:space="preserve"> which constituted one of their terms of reference.”</w:t>
      </w:r>
    </w:p>
    <w:p w:rsidR="005525DF" w:rsidRDefault="000E4777" w:rsidP="001F74F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E4777" w:rsidRDefault="000E4777" w:rsidP="005525DF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 the hearing in this court appellants abandoned the 4</w:t>
      </w:r>
      <w:r w:rsidRPr="000E477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ground of appeal</w:t>
      </w:r>
      <w:r w:rsidR="000E6C9E">
        <w:rPr>
          <w:sz w:val="24"/>
          <w:szCs w:val="24"/>
        </w:rPr>
        <w:t xml:space="preserve">.  </w:t>
      </w:r>
      <w:r w:rsidR="001F74F6">
        <w:rPr>
          <w:sz w:val="24"/>
          <w:szCs w:val="24"/>
        </w:rPr>
        <w:t>In addition they conceded that they got US$25.00 for each Saturday they worked which covered their claims for overtime.  That left only the 1</w:t>
      </w:r>
      <w:r w:rsidR="001F74F6" w:rsidRPr="001F74F6">
        <w:rPr>
          <w:sz w:val="24"/>
          <w:szCs w:val="24"/>
          <w:vertAlign w:val="superscript"/>
        </w:rPr>
        <w:t>st</w:t>
      </w:r>
      <w:r w:rsidR="001F74F6">
        <w:rPr>
          <w:sz w:val="24"/>
          <w:szCs w:val="24"/>
        </w:rPr>
        <w:t xml:space="preserve"> and 2</w:t>
      </w:r>
      <w:r w:rsidR="001F74F6" w:rsidRPr="001F74F6">
        <w:rPr>
          <w:sz w:val="24"/>
          <w:szCs w:val="24"/>
          <w:vertAlign w:val="superscript"/>
        </w:rPr>
        <w:t>nd</w:t>
      </w:r>
      <w:r w:rsidR="001F74F6">
        <w:rPr>
          <w:sz w:val="24"/>
          <w:szCs w:val="24"/>
        </w:rPr>
        <w:t xml:space="preserve"> grounds of appeal.  The two are intertwined and accordingly I will treat them as one.  </w:t>
      </w:r>
    </w:p>
    <w:p w:rsidR="001F74F6" w:rsidRDefault="000C59C0" w:rsidP="000138C3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The basic</w:t>
      </w:r>
      <w:r w:rsidR="001F74F6">
        <w:rPr>
          <w:sz w:val="24"/>
          <w:szCs w:val="24"/>
        </w:rPr>
        <w:t xml:space="preserve"> issue was whether appellants were wrongly graded by respondent as A3 employees instead of B1.  Appellants based their case on the provisions of the </w:t>
      </w:r>
      <w:r w:rsidR="001F74F6">
        <w:rPr>
          <w:sz w:val="24"/>
          <w:szCs w:val="24"/>
          <w:u w:val="single"/>
        </w:rPr>
        <w:t>Collective Bargaining Agreement: Plastic Industry</w:t>
      </w:r>
      <w:r w:rsidR="001F74F6">
        <w:rPr>
          <w:sz w:val="24"/>
          <w:szCs w:val="24"/>
        </w:rPr>
        <w:t xml:space="preserve"> S.I. 107/14 (hereafter called “the CBA”).  The CBA classes </w:t>
      </w:r>
      <w:r w:rsidR="001F74F6">
        <w:rPr>
          <w:sz w:val="24"/>
          <w:szCs w:val="24"/>
          <w:u w:val="single"/>
        </w:rPr>
        <w:t xml:space="preserve">Machine Operator </w:t>
      </w:r>
      <w:r w:rsidR="001F74F6">
        <w:rPr>
          <w:sz w:val="24"/>
          <w:szCs w:val="24"/>
        </w:rPr>
        <w:t xml:space="preserve">under Grade A3 whilst </w:t>
      </w:r>
      <w:r w:rsidR="001F74F6" w:rsidRPr="001F74F6">
        <w:rPr>
          <w:sz w:val="24"/>
          <w:szCs w:val="24"/>
          <w:u w:val="single"/>
        </w:rPr>
        <w:t>Machine Setter</w:t>
      </w:r>
      <w:r w:rsidR="001F74F6">
        <w:rPr>
          <w:sz w:val="24"/>
          <w:szCs w:val="24"/>
          <w:u w:val="single"/>
        </w:rPr>
        <w:t xml:space="preserve"> </w:t>
      </w:r>
      <w:r w:rsidR="001F74F6">
        <w:rPr>
          <w:sz w:val="24"/>
          <w:szCs w:val="24"/>
        </w:rPr>
        <w:t>is classed under Grade B1.  A Machine Setter is defined thus,</w:t>
      </w:r>
    </w:p>
    <w:p w:rsidR="001F74F6" w:rsidRDefault="003915EA" w:rsidP="003915EA">
      <w:pPr>
        <w:spacing w:after="0" w:line="240" w:lineRule="auto"/>
        <w:ind w:left="1440"/>
        <w:jc w:val="both"/>
      </w:pPr>
      <w:r>
        <w:rPr>
          <w:sz w:val="24"/>
          <w:szCs w:val="24"/>
        </w:rPr>
        <w:t>“</w:t>
      </w:r>
      <w:proofErr w:type="gramStart"/>
      <w:r w:rsidRPr="003915EA">
        <w:t>means</w:t>
      </w:r>
      <w:proofErr w:type="gramEnd"/>
      <w:r w:rsidRPr="003915EA">
        <w:t xml:space="preserve"> an employee</w:t>
      </w:r>
      <w:r>
        <w:t xml:space="preserve"> engaged </w:t>
      </w:r>
      <w:r w:rsidRPr="000138C3">
        <w:t xml:space="preserve">in </w:t>
      </w:r>
      <w:r w:rsidRPr="000138C3">
        <w:rPr>
          <w:u w:val="single"/>
        </w:rPr>
        <w:t>setting up</w:t>
      </w:r>
      <w:r>
        <w:t xml:space="preserve"> any machine used for manufacturing products.”</w:t>
      </w:r>
    </w:p>
    <w:p w:rsidR="005525DF" w:rsidRDefault="005525DF" w:rsidP="003915EA">
      <w:pPr>
        <w:spacing w:after="0" w:line="240" w:lineRule="auto"/>
        <w:ind w:left="1440"/>
        <w:jc w:val="both"/>
      </w:pPr>
    </w:p>
    <w:p w:rsidR="003915EA" w:rsidRDefault="003915EA" w:rsidP="003915EA">
      <w:pPr>
        <w:spacing w:after="0" w:line="240" w:lineRule="auto"/>
        <w:jc w:val="both"/>
      </w:pPr>
      <w:r>
        <w:t>Machine Operator is defined as,</w:t>
      </w:r>
    </w:p>
    <w:p w:rsidR="005525DF" w:rsidRDefault="005525DF" w:rsidP="003915EA">
      <w:pPr>
        <w:spacing w:after="0" w:line="240" w:lineRule="auto"/>
        <w:jc w:val="both"/>
      </w:pPr>
    </w:p>
    <w:p w:rsidR="003915EA" w:rsidRDefault="003915EA" w:rsidP="003915EA">
      <w:pPr>
        <w:spacing w:after="0" w:line="240" w:lineRule="auto"/>
        <w:ind w:left="1440"/>
        <w:jc w:val="both"/>
      </w:pPr>
      <w:r>
        <w:t>“</w:t>
      </w:r>
      <w:proofErr w:type="gramStart"/>
      <w:r>
        <w:t>an</w:t>
      </w:r>
      <w:proofErr w:type="gramEnd"/>
      <w:r>
        <w:t xml:space="preserve"> employee engaged in the operation of any machine used in manufacturing of plastic, foam rubber and fibreglass products by switching it on an off and recording input/output and doing </w:t>
      </w:r>
      <w:r w:rsidRPr="000C59C0">
        <w:rPr>
          <w:u w:val="single"/>
        </w:rPr>
        <w:t>minor adjustments</w:t>
      </w:r>
      <w:r>
        <w:t xml:space="preserve"> and also trimming of the products.”</w:t>
      </w:r>
    </w:p>
    <w:p w:rsidR="003915EA" w:rsidRDefault="003915EA" w:rsidP="003915EA">
      <w:pPr>
        <w:spacing w:after="0" w:line="240" w:lineRule="auto"/>
        <w:jc w:val="both"/>
      </w:pPr>
      <w:r>
        <w:tab/>
      </w:r>
    </w:p>
    <w:p w:rsidR="003915EA" w:rsidRDefault="003915EA" w:rsidP="003915EA">
      <w:pPr>
        <w:spacing w:after="0" w:line="360" w:lineRule="auto"/>
        <w:jc w:val="both"/>
        <w:rPr>
          <w:sz w:val="24"/>
          <w:szCs w:val="24"/>
        </w:rPr>
      </w:pPr>
      <w:r>
        <w:tab/>
      </w:r>
      <w:r w:rsidRPr="003915EA">
        <w:rPr>
          <w:sz w:val="24"/>
          <w:szCs w:val="24"/>
        </w:rPr>
        <w:t>In their written and oral submissions appellants di</w:t>
      </w:r>
      <w:r>
        <w:rPr>
          <w:sz w:val="24"/>
          <w:szCs w:val="24"/>
        </w:rPr>
        <w:t>d not detail how they qualify as setters.  They seemed to rely solely on the definition in the CBA.  Their argument was apparently that because they adjust the machines, th</w:t>
      </w:r>
      <w:r w:rsidR="000C59C0">
        <w:rPr>
          <w:sz w:val="24"/>
          <w:szCs w:val="24"/>
        </w:rPr>
        <w:t>ey therefore qualify as setters.  T</w:t>
      </w:r>
      <w:r>
        <w:rPr>
          <w:sz w:val="24"/>
          <w:szCs w:val="24"/>
        </w:rPr>
        <w:t xml:space="preserve">his ignores the definition of an Operator’s duties which includes </w:t>
      </w:r>
      <w:r w:rsidRPr="000C59C0">
        <w:rPr>
          <w:sz w:val="24"/>
          <w:szCs w:val="24"/>
          <w:u w:val="single"/>
        </w:rPr>
        <w:t>minor adjustments</w:t>
      </w:r>
      <w:r>
        <w:rPr>
          <w:sz w:val="24"/>
          <w:szCs w:val="24"/>
        </w:rPr>
        <w:t xml:space="preserve"> of the machines.  Respondent submitted they did not have</w:t>
      </w:r>
      <w:r w:rsidR="000C59C0">
        <w:rPr>
          <w:sz w:val="24"/>
          <w:szCs w:val="24"/>
        </w:rPr>
        <w:t>,</w:t>
      </w:r>
      <w:r>
        <w:rPr>
          <w:sz w:val="24"/>
          <w:szCs w:val="24"/>
        </w:rPr>
        <w:t xml:space="preserve"> in their structure</w:t>
      </w:r>
      <w:r w:rsidR="000C59C0">
        <w:rPr>
          <w:sz w:val="24"/>
          <w:szCs w:val="24"/>
        </w:rPr>
        <w:t>,</w:t>
      </w:r>
      <w:r>
        <w:rPr>
          <w:sz w:val="24"/>
          <w:szCs w:val="24"/>
        </w:rPr>
        <w:t xml:space="preserve"> a position in level B1.  They further explained </w:t>
      </w:r>
      <w:r w:rsidR="000C59C0">
        <w:rPr>
          <w:sz w:val="24"/>
          <w:szCs w:val="24"/>
        </w:rPr>
        <w:t>that such is a skilled position</w:t>
      </w:r>
      <w:r>
        <w:rPr>
          <w:sz w:val="24"/>
          <w:szCs w:val="24"/>
        </w:rPr>
        <w:t xml:space="preserve"> involving the setting up of the machines according to technical specifications beyond the ken of ordinary operators.  Suc</w:t>
      </w:r>
      <w:r w:rsidR="000C59C0">
        <w:rPr>
          <w:sz w:val="24"/>
          <w:szCs w:val="24"/>
        </w:rPr>
        <w:t>h employees were required in lar</w:t>
      </w:r>
      <w:r>
        <w:rPr>
          <w:sz w:val="24"/>
          <w:szCs w:val="24"/>
        </w:rPr>
        <w:t>ger operations with bigger machines unlike theirs.  I am satisfied with respondent’s explanation.  It ties in with the CBA’s differentiation of the duties</w:t>
      </w:r>
      <w:r w:rsidR="000C59C0">
        <w:rPr>
          <w:sz w:val="24"/>
          <w:szCs w:val="24"/>
        </w:rPr>
        <w:t xml:space="preserve"> of an Operator and those of a S</w:t>
      </w:r>
      <w:r>
        <w:rPr>
          <w:sz w:val="24"/>
          <w:szCs w:val="24"/>
        </w:rPr>
        <w:t>etter.  On that basis I find no cause for upsetting the arbitration</w:t>
      </w:r>
      <w:r w:rsidR="008E2F7D">
        <w:rPr>
          <w:sz w:val="24"/>
          <w:szCs w:val="24"/>
        </w:rPr>
        <w:t xml:space="preserve"> award.</w:t>
      </w:r>
    </w:p>
    <w:p w:rsidR="000138C3" w:rsidRDefault="000138C3" w:rsidP="003915EA">
      <w:pPr>
        <w:spacing w:after="0" w:line="360" w:lineRule="auto"/>
        <w:jc w:val="both"/>
        <w:rPr>
          <w:sz w:val="24"/>
          <w:szCs w:val="24"/>
        </w:rPr>
      </w:pPr>
    </w:p>
    <w:p w:rsidR="005525DF" w:rsidRDefault="005525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2F7D" w:rsidRPr="000C59C0" w:rsidRDefault="008E2F7D" w:rsidP="003915EA">
      <w:p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0C59C0">
        <w:rPr>
          <w:b/>
          <w:sz w:val="24"/>
          <w:szCs w:val="24"/>
        </w:rPr>
        <w:t>Accordingly it is ordered that,</w:t>
      </w:r>
    </w:p>
    <w:p w:rsidR="008E2F7D" w:rsidRPr="000C59C0" w:rsidRDefault="008E2F7D" w:rsidP="008E2F7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0C59C0">
        <w:rPr>
          <w:b/>
          <w:sz w:val="24"/>
          <w:szCs w:val="24"/>
        </w:rPr>
        <w:t>The appeal be and is hereby dismissed; and</w:t>
      </w:r>
    </w:p>
    <w:p w:rsidR="000138C3" w:rsidRDefault="008E2F7D" w:rsidP="008E2F7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0C59C0">
        <w:rPr>
          <w:b/>
          <w:sz w:val="24"/>
          <w:szCs w:val="24"/>
        </w:rPr>
        <w:t xml:space="preserve">The arbitration award issued by Arbitrator M </w:t>
      </w:r>
      <w:proofErr w:type="spellStart"/>
      <w:r w:rsidRPr="000C59C0">
        <w:rPr>
          <w:b/>
          <w:sz w:val="24"/>
          <w:szCs w:val="24"/>
        </w:rPr>
        <w:t>Dangarembizi</w:t>
      </w:r>
      <w:proofErr w:type="spellEnd"/>
      <w:r w:rsidRPr="000C59C0">
        <w:rPr>
          <w:b/>
          <w:sz w:val="24"/>
          <w:szCs w:val="24"/>
        </w:rPr>
        <w:t xml:space="preserve"> </w:t>
      </w:r>
    </w:p>
    <w:p w:rsidR="008E2F7D" w:rsidRPr="000C59C0" w:rsidRDefault="008E2F7D" w:rsidP="000138C3">
      <w:pPr>
        <w:pStyle w:val="ListParagraph"/>
        <w:spacing w:after="0" w:line="360" w:lineRule="auto"/>
        <w:jc w:val="both"/>
        <w:rPr>
          <w:b/>
          <w:sz w:val="24"/>
          <w:szCs w:val="24"/>
        </w:rPr>
      </w:pPr>
      <w:proofErr w:type="gramStart"/>
      <w:r w:rsidRPr="000C59C0">
        <w:rPr>
          <w:b/>
          <w:sz w:val="24"/>
          <w:szCs w:val="24"/>
        </w:rPr>
        <w:t>dated</w:t>
      </w:r>
      <w:proofErr w:type="gramEnd"/>
      <w:r w:rsidRPr="000C59C0">
        <w:rPr>
          <w:b/>
          <w:sz w:val="24"/>
          <w:szCs w:val="24"/>
        </w:rPr>
        <w:t xml:space="preserve"> 19 June 2015 is upheld.</w:t>
      </w:r>
    </w:p>
    <w:p w:rsidR="008E2F7D" w:rsidRDefault="008E2F7D" w:rsidP="008E2F7D">
      <w:pPr>
        <w:spacing w:after="0" w:line="360" w:lineRule="auto"/>
        <w:jc w:val="both"/>
        <w:rPr>
          <w:sz w:val="24"/>
          <w:szCs w:val="24"/>
        </w:rPr>
      </w:pPr>
    </w:p>
    <w:p w:rsidR="008E2F7D" w:rsidRDefault="008E2F7D" w:rsidP="008E2F7D">
      <w:pPr>
        <w:spacing w:after="0" w:line="360" w:lineRule="auto"/>
        <w:jc w:val="both"/>
        <w:rPr>
          <w:sz w:val="24"/>
          <w:szCs w:val="24"/>
        </w:rPr>
      </w:pPr>
    </w:p>
    <w:p w:rsidR="008E2F7D" w:rsidRDefault="008E2F7D" w:rsidP="008E2F7D">
      <w:pPr>
        <w:spacing w:after="0" w:line="360" w:lineRule="auto"/>
        <w:jc w:val="both"/>
        <w:rPr>
          <w:sz w:val="24"/>
          <w:szCs w:val="24"/>
        </w:rPr>
      </w:pPr>
    </w:p>
    <w:p w:rsidR="008E2F7D" w:rsidRDefault="008E2F7D" w:rsidP="008E2F7D">
      <w:pPr>
        <w:spacing w:after="0" w:line="360" w:lineRule="auto"/>
        <w:ind w:left="57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 MUSARIRI</w:t>
      </w:r>
    </w:p>
    <w:p w:rsidR="008E2F7D" w:rsidRPr="008E2F7D" w:rsidRDefault="008E2F7D" w:rsidP="008E2F7D">
      <w:pPr>
        <w:spacing w:after="0" w:line="360" w:lineRule="auto"/>
        <w:ind w:left="57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 U D G E</w:t>
      </w:r>
    </w:p>
    <w:sectPr w:rsidR="008E2F7D" w:rsidRPr="008E2F7D" w:rsidSect="001F74F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74" w:rsidRDefault="006B7C74" w:rsidP="001F74F6">
      <w:pPr>
        <w:spacing w:after="0" w:line="240" w:lineRule="auto"/>
      </w:pPr>
      <w:r>
        <w:separator/>
      </w:r>
    </w:p>
  </w:endnote>
  <w:endnote w:type="continuationSeparator" w:id="0">
    <w:p w:rsidR="006B7C74" w:rsidRDefault="006B7C74" w:rsidP="001F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2047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9CF" w:rsidRDefault="00D029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3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29CF" w:rsidRDefault="00D02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74" w:rsidRDefault="006B7C74" w:rsidP="001F74F6">
      <w:pPr>
        <w:spacing w:after="0" w:line="240" w:lineRule="auto"/>
      </w:pPr>
      <w:r>
        <w:separator/>
      </w:r>
    </w:p>
  </w:footnote>
  <w:footnote w:type="continuationSeparator" w:id="0">
    <w:p w:rsidR="006B7C74" w:rsidRDefault="006B7C74" w:rsidP="001F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4F6" w:rsidRDefault="001F74F6" w:rsidP="005525DF">
    <w:pPr>
      <w:spacing w:line="360" w:lineRule="auto"/>
      <w:ind w:left="5760"/>
      <w:jc w:val="both"/>
      <w:rPr>
        <w:b/>
        <w:sz w:val="24"/>
        <w:szCs w:val="24"/>
      </w:rPr>
    </w:pPr>
    <w:r>
      <w:rPr>
        <w:b/>
        <w:sz w:val="24"/>
        <w:szCs w:val="24"/>
      </w:rPr>
      <w:t>JUDGMENT NO LC/H/</w:t>
    </w:r>
    <w:r w:rsidR="005525DF">
      <w:rPr>
        <w:b/>
        <w:sz w:val="24"/>
        <w:szCs w:val="24"/>
      </w:rPr>
      <w:t>24</w:t>
    </w:r>
    <w:r>
      <w:rPr>
        <w:b/>
        <w:sz w:val="24"/>
        <w:szCs w:val="24"/>
      </w:rPr>
      <w:t>/16</w:t>
    </w:r>
  </w:p>
  <w:p w:rsidR="001F74F6" w:rsidRDefault="001F74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78E"/>
    <w:multiLevelType w:val="hybridMultilevel"/>
    <w:tmpl w:val="56B2742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1B"/>
    <w:rsid w:val="000138C3"/>
    <w:rsid w:val="000C59C0"/>
    <w:rsid w:val="000E4777"/>
    <w:rsid w:val="000E6C9E"/>
    <w:rsid w:val="001F74F6"/>
    <w:rsid w:val="00226F6E"/>
    <w:rsid w:val="002A0399"/>
    <w:rsid w:val="002E1F6C"/>
    <w:rsid w:val="003915EA"/>
    <w:rsid w:val="005525DF"/>
    <w:rsid w:val="006B7C74"/>
    <w:rsid w:val="00743862"/>
    <w:rsid w:val="008E2F7D"/>
    <w:rsid w:val="008E3AC7"/>
    <w:rsid w:val="00937285"/>
    <w:rsid w:val="00CB311B"/>
    <w:rsid w:val="00D029CF"/>
    <w:rsid w:val="00D317EF"/>
    <w:rsid w:val="00F2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F6"/>
  </w:style>
  <w:style w:type="paragraph" w:styleId="Footer">
    <w:name w:val="footer"/>
    <w:basedOn w:val="Normal"/>
    <w:link w:val="FooterChar"/>
    <w:uiPriority w:val="99"/>
    <w:unhideWhenUsed/>
    <w:rsid w:val="001F7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F6"/>
  </w:style>
  <w:style w:type="paragraph" w:styleId="ListParagraph">
    <w:name w:val="List Paragraph"/>
    <w:basedOn w:val="Normal"/>
    <w:uiPriority w:val="34"/>
    <w:qFormat/>
    <w:rsid w:val="008E2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F6"/>
  </w:style>
  <w:style w:type="paragraph" w:styleId="Footer">
    <w:name w:val="footer"/>
    <w:basedOn w:val="Normal"/>
    <w:link w:val="FooterChar"/>
    <w:uiPriority w:val="99"/>
    <w:unhideWhenUsed/>
    <w:rsid w:val="001F7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F6"/>
  </w:style>
  <w:style w:type="paragraph" w:styleId="ListParagraph">
    <w:name w:val="List Paragraph"/>
    <w:basedOn w:val="Normal"/>
    <w:uiPriority w:val="34"/>
    <w:qFormat/>
    <w:rsid w:val="008E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3</cp:revision>
  <cp:lastPrinted>2016-01-20T07:10:00Z</cp:lastPrinted>
  <dcterms:created xsi:type="dcterms:W3CDTF">2016-01-20T07:10:00Z</dcterms:created>
  <dcterms:modified xsi:type="dcterms:W3CDTF">2016-01-21T07:34:00Z</dcterms:modified>
</cp:coreProperties>
</file>