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31BAC" w14:textId="78D172A5" w:rsidR="00177E35" w:rsidRPr="001D76B1" w:rsidRDefault="00177E35" w:rsidP="00057614">
      <w:pPr>
        <w:spacing w:after="0"/>
        <w:jc w:val="both"/>
        <w:rPr>
          <w:rFonts w:ascii="Times New Roman" w:hAnsi="Times New Roman" w:cs="Times New Roman"/>
          <w:sz w:val="24"/>
          <w:szCs w:val="24"/>
        </w:rPr>
      </w:pPr>
      <w:bookmarkStart w:id="0" w:name="_GoBack"/>
      <w:bookmarkEnd w:id="0"/>
      <w:r w:rsidRPr="001D76B1">
        <w:rPr>
          <w:rFonts w:ascii="Times New Roman" w:hAnsi="Times New Roman" w:cs="Times New Roman"/>
          <w:sz w:val="24"/>
          <w:szCs w:val="24"/>
        </w:rPr>
        <w:t>SYLVIA MATAMBIRA</w:t>
      </w:r>
    </w:p>
    <w:p w14:paraId="55B96116" w14:textId="1C5E786F" w:rsidR="00177E35" w:rsidRPr="001D76B1" w:rsidRDefault="00D90B2A"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versus</w:t>
      </w:r>
    </w:p>
    <w:p w14:paraId="43CE6D65" w14:textId="6F3EF4EA" w:rsidR="00177E35" w:rsidRPr="001D76B1" w:rsidRDefault="00177E35"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ZIMBABWE BROADCASTING CORPORATION PENSION FUND</w:t>
      </w:r>
    </w:p>
    <w:p w14:paraId="6147A4D0" w14:textId="7CE1E784" w:rsidR="00177E35" w:rsidRPr="001D76B1" w:rsidRDefault="00D90B2A"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and</w:t>
      </w:r>
    </w:p>
    <w:p w14:paraId="148AB9B3" w14:textId="77777777" w:rsidR="00177E35" w:rsidRPr="001D76B1" w:rsidRDefault="00177E35"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 xml:space="preserve">BOARD OF TRUSTEES </w:t>
      </w:r>
    </w:p>
    <w:p w14:paraId="2902BE5A" w14:textId="77777777" w:rsidR="00177E35" w:rsidRPr="001D76B1" w:rsidRDefault="00177E35"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ZIMBABWE BROADCASTING CORPORATION PENSION FUND</w:t>
      </w:r>
    </w:p>
    <w:p w14:paraId="694D509E" w14:textId="00784403" w:rsidR="00177E35" w:rsidRPr="001D76B1" w:rsidRDefault="00D90B2A"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and</w:t>
      </w:r>
    </w:p>
    <w:p w14:paraId="561ABA01" w14:textId="77777777" w:rsidR="00177E35" w:rsidRPr="001D76B1" w:rsidRDefault="00177E35"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 xml:space="preserve">ZIMBABWE BROADCASTING CORPORATION </w:t>
      </w:r>
    </w:p>
    <w:p w14:paraId="5A5E94D3" w14:textId="450402CF" w:rsidR="00177E35" w:rsidRPr="001D76B1" w:rsidRDefault="00D90B2A"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and</w:t>
      </w:r>
      <w:r w:rsidR="00177E35" w:rsidRPr="001D76B1">
        <w:rPr>
          <w:rFonts w:ascii="Times New Roman" w:hAnsi="Times New Roman" w:cs="Times New Roman"/>
          <w:sz w:val="24"/>
          <w:szCs w:val="24"/>
        </w:rPr>
        <w:t xml:space="preserve"> </w:t>
      </w:r>
    </w:p>
    <w:p w14:paraId="79804208" w14:textId="0BF00817" w:rsidR="00177E35" w:rsidRPr="001D76B1" w:rsidRDefault="00177E35" w:rsidP="00057614">
      <w:pPr>
        <w:spacing w:after="0"/>
        <w:jc w:val="both"/>
        <w:rPr>
          <w:rFonts w:ascii="Times New Roman" w:hAnsi="Times New Roman" w:cs="Times New Roman"/>
          <w:sz w:val="24"/>
          <w:szCs w:val="24"/>
        </w:rPr>
      </w:pPr>
      <w:r w:rsidRPr="001D76B1">
        <w:rPr>
          <w:rFonts w:ascii="Times New Roman" w:hAnsi="Times New Roman" w:cs="Times New Roman"/>
          <w:sz w:val="24"/>
          <w:szCs w:val="24"/>
        </w:rPr>
        <w:t>OLD MUTUAL LIFE ASSURANCE COMPANY ZIMBABWE LIMITED</w:t>
      </w:r>
    </w:p>
    <w:p w14:paraId="1273043E" w14:textId="1DFBAC56" w:rsidR="00057614" w:rsidRPr="001D76B1" w:rsidRDefault="00057614" w:rsidP="00057614">
      <w:pPr>
        <w:spacing w:after="0"/>
        <w:jc w:val="both"/>
        <w:rPr>
          <w:rFonts w:ascii="Times New Roman" w:hAnsi="Times New Roman" w:cs="Times New Roman"/>
          <w:sz w:val="24"/>
          <w:szCs w:val="24"/>
        </w:rPr>
      </w:pPr>
    </w:p>
    <w:p w14:paraId="5B0F291F" w14:textId="77777777" w:rsidR="00057614" w:rsidRPr="001D76B1" w:rsidRDefault="00057614" w:rsidP="00057614">
      <w:pPr>
        <w:spacing w:after="0"/>
        <w:jc w:val="both"/>
        <w:rPr>
          <w:rFonts w:ascii="Times New Roman" w:hAnsi="Times New Roman" w:cs="Times New Roman"/>
          <w:sz w:val="24"/>
          <w:szCs w:val="24"/>
        </w:rPr>
      </w:pPr>
    </w:p>
    <w:p w14:paraId="487235E0" w14:textId="77777777" w:rsidR="00177E35" w:rsidRPr="001D76B1" w:rsidRDefault="00177E35" w:rsidP="00D90B2A">
      <w:pPr>
        <w:pStyle w:val="NoSpacing"/>
        <w:jc w:val="both"/>
        <w:rPr>
          <w:rFonts w:ascii="Times New Roman" w:hAnsi="Times New Roman" w:cs="Times New Roman"/>
          <w:sz w:val="24"/>
          <w:szCs w:val="24"/>
        </w:rPr>
      </w:pPr>
      <w:r w:rsidRPr="001D76B1">
        <w:rPr>
          <w:rFonts w:ascii="Times New Roman" w:hAnsi="Times New Roman" w:cs="Times New Roman"/>
          <w:sz w:val="24"/>
          <w:szCs w:val="24"/>
        </w:rPr>
        <w:t>HIGH COURT OF ZIMBABWE</w:t>
      </w:r>
    </w:p>
    <w:p w14:paraId="6089ADB6" w14:textId="77777777" w:rsidR="00177E35" w:rsidRPr="00A34398" w:rsidRDefault="00177E35" w:rsidP="00D90B2A">
      <w:pPr>
        <w:pStyle w:val="NoSpacing"/>
        <w:jc w:val="both"/>
        <w:rPr>
          <w:rFonts w:ascii="Times New Roman" w:hAnsi="Times New Roman" w:cs="Times New Roman"/>
          <w:b/>
          <w:bCs/>
          <w:sz w:val="24"/>
          <w:szCs w:val="24"/>
        </w:rPr>
      </w:pPr>
      <w:r w:rsidRPr="00A34398">
        <w:rPr>
          <w:rFonts w:ascii="Times New Roman" w:hAnsi="Times New Roman" w:cs="Times New Roman"/>
          <w:b/>
          <w:bCs/>
          <w:sz w:val="24"/>
          <w:szCs w:val="24"/>
        </w:rPr>
        <w:t>TAGU J</w:t>
      </w:r>
    </w:p>
    <w:p w14:paraId="1CDA0911" w14:textId="778350D3" w:rsidR="00177E35" w:rsidRPr="001D76B1" w:rsidRDefault="00177E35" w:rsidP="00D90B2A">
      <w:pPr>
        <w:pStyle w:val="NoSpacing"/>
        <w:jc w:val="both"/>
        <w:rPr>
          <w:rFonts w:ascii="Times New Roman" w:hAnsi="Times New Roman" w:cs="Times New Roman"/>
          <w:sz w:val="24"/>
          <w:szCs w:val="24"/>
        </w:rPr>
      </w:pPr>
      <w:r w:rsidRPr="001D76B1">
        <w:rPr>
          <w:rFonts w:ascii="Times New Roman" w:hAnsi="Times New Roman" w:cs="Times New Roman"/>
          <w:sz w:val="24"/>
          <w:szCs w:val="24"/>
        </w:rPr>
        <w:t>HARARE</w:t>
      </w:r>
      <w:r w:rsidR="00057614" w:rsidRPr="001D76B1">
        <w:rPr>
          <w:rFonts w:ascii="Times New Roman" w:hAnsi="Times New Roman" w:cs="Times New Roman"/>
          <w:sz w:val="24"/>
          <w:szCs w:val="24"/>
        </w:rPr>
        <w:t>,</w:t>
      </w:r>
      <w:r w:rsidRPr="001D76B1">
        <w:rPr>
          <w:rFonts w:ascii="Times New Roman" w:hAnsi="Times New Roman" w:cs="Times New Roman"/>
          <w:sz w:val="24"/>
          <w:szCs w:val="24"/>
        </w:rPr>
        <w:t xml:space="preserve"> 28 </w:t>
      </w:r>
      <w:r w:rsidR="00057614" w:rsidRPr="001D76B1">
        <w:rPr>
          <w:rFonts w:ascii="Times New Roman" w:hAnsi="Times New Roman" w:cs="Times New Roman"/>
          <w:sz w:val="24"/>
          <w:szCs w:val="24"/>
        </w:rPr>
        <w:t xml:space="preserve">July and </w:t>
      </w:r>
      <w:r w:rsidRPr="001D76B1">
        <w:rPr>
          <w:rFonts w:ascii="Times New Roman" w:hAnsi="Times New Roman" w:cs="Times New Roman"/>
          <w:sz w:val="24"/>
          <w:szCs w:val="24"/>
        </w:rPr>
        <w:t>21 S</w:t>
      </w:r>
      <w:r w:rsidR="00057614" w:rsidRPr="001D76B1">
        <w:rPr>
          <w:rFonts w:ascii="Times New Roman" w:hAnsi="Times New Roman" w:cs="Times New Roman"/>
          <w:sz w:val="24"/>
          <w:szCs w:val="24"/>
        </w:rPr>
        <w:t>eptember</w:t>
      </w:r>
      <w:r w:rsidRPr="001D76B1">
        <w:rPr>
          <w:rFonts w:ascii="Times New Roman" w:hAnsi="Times New Roman" w:cs="Times New Roman"/>
          <w:sz w:val="24"/>
          <w:szCs w:val="24"/>
        </w:rPr>
        <w:t xml:space="preserve"> 2022</w:t>
      </w:r>
    </w:p>
    <w:p w14:paraId="739AA4DE" w14:textId="7F57A184" w:rsidR="003F677D" w:rsidRPr="001D76B1" w:rsidRDefault="003F677D" w:rsidP="00D90B2A">
      <w:pPr>
        <w:pStyle w:val="NoSpacing"/>
        <w:jc w:val="both"/>
        <w:rPr>
          <w:rFonts w:ascii="Times New Roman" w:hAnsi="Times New Roman" w:cs="Times New Roman"/>
          <w:sz w:val="24"/>
          <w:szCs w:val="24"/>
        </w:rPr>
      </w:pPr>
    </w:p>
    <w:p w14:paraId="5FDC3575" w14:textId="77777777" w:rsidR="00057614" w:rsidRPr="001D76B1" w:rsidRDefault="00057614" w:rsidP="00D90B2A">
      <w:pPr>
        <w:pStyle w:val="NoSpacing"/>
        <w:jc w:val="both"/>
        <w:rPr>
          <w:rFonts w:ascii="Times New Roman" w:hAnsi="Times New Roman" w:cs="Times New Roman"/>
          <w:sz w:val="24"/>
          <w:szCs w:val="24"/>
        </w:rPr>
      </w:pPr>
    </w:p>
    <w:p w14:paraId="0EB3D4BC" w14:textId="39062A3F" w:rsidR="00177E35" w:rsidRPr="001D76B1" w:rsidRDefault="00057614" w:rsidP="00D90B2A">
      <w:pPr>
        <w:jc w:val="both"/>
        <w:rPr>
          <w:rFonts w:ascii="Times New Roman" w:hAnsi="Times New Roman" w:cs="Times New Roman"/>
          <w:b/>
          <w:sz w:val="24"/>
          <w:szCs w:val="24"/>
        </w:rPr>
      </w:pPr>
      <w:r w:rsidRPr="001D76B1">
        <w:rPr>
          <w:rFonts w:ascii="Times New Roman" w:hAnsi="Times New Roman" w:cs="Times New Roman"/>
          <w:b/>
          <w:sz w:val="24"/>
          <w:szCs w:val="24"/>
        </w:rPr>
        <w:t>Opposed Application – Exception</w:t>
      </w:r>
    </w:p>
    <w:p w14:paraId="5101C4A6" w14:textId="77777777" w:rsidR="00057614" w:rsidRPr="001D76B1" w:rsidRDefault="00057614" w:rsidP="00D90B2A">
      <w:pPr>
        <w:jc w:val="both"/>
        <w:rPr>
          <w:rFonts w:ascii="Times New Roman" w:hAnsi="Times New Roman" w:cs="Times New Roman"/>
          <w:b/>
          <w:sz w:val="24"/>
          <w:szCs w:val="24"/>
        </w:rPr>
      </w:pPr>
    </w:p>
    <w:p w14:paraId="23F4DBFB" w14:textId="3F159B74" w:rsidR="00177E35" w:rsidRPr="001D76B1" w:rsidRDefault="00177E35" w:rsidP="00D90B2A">
      <w:pPr>
        <w:pStyle w:val="NoSpacing"/>
        <w:jc w:val="both"/>
        <w:rPr>
          <w:rFonts w:ascii="Times New Roman" w:hAnsi="Times New Roman" w:cs="Times New Roman"/>
          <w:sz w:val="24"/>
          <w:szCs w:val="24"/>
        </w:rPr>
      </w:pPr>
      <w:r w:rsidRPr="001D76B1">
        <w:rPr>
          <w:rFonts w:ascii="Times New Roman" w:hAnsi="Times New Roman" w:cs="Times New Roman"/>
          <w:i/>
          <w:iCs/>
          <w:sz w:val="24"/>
          <w:szCs w:val="24"/>
        </w:rPr>
        <w:t>J Mambara</w:t>
      </w:r>
      <w:r w:rsidRPr="001D76B1">
        <w:rPr>
          <w:rFonts w:ascii="Times New Roman" w:hAnsi="Times New Roman" w:cs="Times New Roman"/>
          <w:sz w:val="24"/>
          <w:szCs w:val="24"/>
        </w:rPr>
        <w:t xml:space="preserve">, for </w:t>
      </w:r>
      <w:r w:rsidR="00057614" w:rsidRPr="001D76B1">
        <w:rPr>
          <w:rFonts w:ascii="Times New Roman" w:hAnsi="Times New Roman" w:cs="Times New Roman"/>
          <w:sz w:val="24"/>
          <w:szCs w:val="24"/>
        </w:rPr>
        <w:t xml:space="preserve">the </w:t>
      </w:r>
      <w:r w:rsidRPr="001D76B1">
        <w:rPr>
          <w:rFonts w:ascii="Times New Roman" w:hAnsi="Times New Roman" w:cs="Times New Roman"/>
          <w:sz w:val="24"/>
          <w:szCs w:val="24"/>
        </w:rPr>
        <w:t>1</w:t>
      </w:r>
      <w:r w:rsidRPr="001D76B1">
        <w:rPr>
          <w:rFonts w:ascii="Times New Roman" w:hAnsi="Times New Roman" w:cs="Times New Roman"/>
          <w:sz w:val="24"/>
          <w:szCs w:val="24"/>
          <w:vertAlign w:val="superscript"/>
        </w:rPr>
        <w:t>st</w:t>
      </w:r>
      <w:r w:rsidRPr="001D76B1">
        <w:rPr>
          <w:rFonts w:ascii="Times New Roman" w:hAnsi="Times New Roman" w:cs="Times New Roman"/>
          <w:sz w:val="24"/>
          <w:szCs w:val="24"/>
        </w:rPr>
        <w:t xml:space="preserve"> and 2</w:t>
      </w:r>
      <w:r w:rsidRPr="001D76B1">
        <w:rPr>
          <w:rFonts w:ascii="Times New Roman" w:hAnsi="Times New Roman" w:cs="Times New Roman"/>
          <w:sz w:val="24"/>
          <w:szCs w:val="24"/>
          <w:vertAlign w:val="superscript"/>
        </w:rPr>
        <w:t>nd</w:t>
      </w:r>
      <w:r w:rsidRPr="001D76B1">
        <w:rPr>
          <w:rFonts w:ascii="Times New Roman" w:hAnsi="Times New Roman" w:cs="Times New Roman"/>
          <w:sz w:val="24"/>
          <w:szCs w:val="24"/>
        </w:rPr>
        <w:t xml:space="preserve"> respondents</w:t>
      </w:r>
    </w:p>
    <w:p w14:paraId="03A8020E" w14:textId="7F4B56A1" w:rsidR="00177E35" w:rsidRPr="001D76B1" w:rsidRDefault="00177E35" w:rsidP="00D90B2A">
      <w:pPr>
        <w:pStyle w:val="NoSpacing"/>
        <w:jc w:val="both"/>
        <w:rPr>
          <w:rFonts w:ascii="Times New Roman" w:hAnsi="Times New Roman" w:cs="Times New Roman"/>
          <w:sz w:val="24"/>
          <w:szCs w:val="24"/>
        </w:rPr>
      </w:pPr>
      <w:r w:rsidRPr="001D76B1">
        <w:rPr>
          <w:rFonts w:ascii="Times New Roman" w:hAnsi="Times New Roman" w:cs="Times New Roman"/>
          <w:i/>
          <w:iCs/>
          <w:sz w:val="24"/>
          <w:szCs w:val="24"/>
        </w:rPr>
        <w:t>P J Chivanga</w:t>
      </w:r>
      <w:r w:rsidRPr="001D76B1">
        <w:rPr>
          <w:rFonts w:ascii="Times New Roman" w:hAnsi="Times New Roman" w:cs="Times New Roman"/>
          <w:sz w:val="24"/>
          <w:szCs w:val="24"/>
        </w:rPr>
        <w:t xml:space="preserve">, for </w:t>
      </w:r>
      <w:r w:rsidR="00057614" w:rsidRPr="001D76B1">
        <w:rPr>
          <w:rFonts w:ascii="Times New Roman" w:hAnsi="Times New Roman" w:cs="Times New Roman"/>
          <w:sz w:val="24"/>
          <w:szCs w:val="24"/>
        </w:rPr>
        <w:t xml:space="preserve">the </w:t>
      </w:r>
      <w:r w:rsidRPr="001D76B1">
        <w:rPr>
          <w:rFonts w:ascii="Times New Roman" w:hAnsi="Times New Roman" w:cs="Times New Roman"/>
          <w:sz w:val="24"/>
          <w:szCs w:val="24"/>
        </w:rPr>
        <w:t>3</w:t>
      </w:r>
      <w:r w:rsidRPr="001D76B1">
        <w:rPr>
          <w:rFonts w:ascii="Times New Roman" w:hAnsi="Times New Roman" w:cs="Times New Roman"/>
          <w:sz w:val="24"/>
          <w:szCs w:val="24"/>
          <w:vertAlign w:val="superscript"/>
        </w:rPr>
        <w:t>rd</w:t>
      </w:r>
      <w:r w:rsidRPr="001D76B1">
        <w:rPr>
          <w:rFonts w:ascii="Times New Roman" w:hAnsi="Times New Roman" w:cs="Times New Roman"/>
          <w:sz w:val="24"/>
          <w:szCs w:val="24"/>
        </w:rPr>
        <w:t xml:space="preserve"> respondent</w:t>
      </w:r>
    </w:p>
    <w:p w14:paraId="5F638CB4" w14:textId="1512406D" w:rsidR="00177E35" w:rsidRPr="001D76B1" w:rsidRDefault="00177E35" w:rsidP="00D90B2A">
      <w:pPr>
        <w:pStyle w:val="NoSpacing"/>
        <w:jc w:val="both"/>
        <w:rPr>
          <w:rFonts w:ascii="Times New Roman" w:hAnsi="Times New Roman" w:cs="Times New Roman"/>
          <w:sz w:val="24"/>
          <w:szCs w:val="24"/>
        </w:rPr>
      </w:pPr>
      <w:r w:rsidRPr="001D76B1">
        <w:rPr>
          <w:rFonts w:ascii="Times New Roman" w:hAnsi="Times New Roman" w:cs="Times New Roman"/>
          <w:i/>
          <w:iCs/>
          <w:sz w:val="24"/>
          <w:szCs w:val="24"/>
        </w:rPr>
        <w:t>R Moyo</w:t>
      </w:r>
      <w:r w:rsidRPr="001D76B1">
        <w:rPr>
          <w:rFonts w:ascii="Times New Roman" w:hAnsi="Times New Roman" w:cs="Times New Roman"/>
          <w:sz w:val="24"/>
          <w:szCs w:val="24"/>
        </w:rPr>
        <w:t xml:space="preserve">, for </w:t>
      </w:r>
      <w:r w:rsidR="00057614" w:rsidRPr="001D76B1">
        <w:rPr>
          <w:rFonts w:ascii="Times New Roman" w:hAnsi="Times New Roman" w:cs="Times New Roman"/>
          <w:sz w:val="24"/>
          <w:szCs w:val="24"/>
        </w:rPr>
        <w:t xml:space="preserve">the </w:t>
      </w:r>
      <w:r w:rsidRPr="001D76B1">
        <w:rPr>
          <w:rFonts w:ascii="Times New Roman" w:hAnsi="Times New Roman" w:cs="Times New Roman"/>
          <w:sz w:val="24"/>
          <w:szCs w:val="24"/>
        </w:rPr>
        <w:t>4</w:t>
      </w:r>
      <w:r w:rsidRPr="001D76B1">
        <w:rPr>
          <w:rFonts w:ascii="Times New Roman" w:hAnsi="Times New Roman" w:cs="Times New Roman"/>
          <w:sz w:val="24"/>
          <w:szCs w:val="24"/>
          <w:vertAlign w:val="superscript"/>
        </w:rPr>
        <w:t>th</w:t>
      </w:r>
      <w:r w:rsidRPr="001D76B1">
        <w:rPr>
          <w:rFonts w:ascii="Times New Roman" w:hAnsi="Times New Roman" w:cs="Times New Roman"/>
          <w:sz w:val="24"/>
          <w:szCs w:val="24"/>
        </w:rPr>
        <w:t xml:space="preserve"> respondent</w:t>
      </w:r>
    </w:p>
    <w:p w14:paraId="0919C962" w14:textId="2BAC3BFC" w:rsidR="003F677D" w:rsidRDefault="003F677D" w:rsidP="00D90B2A">
      <w:pPr>
        <w:pStyle w:val="NoSpacing"/>
        <w:jc w:val="both"/>
        <w:rPr>
          <w:rFonts w:ascii="Times New Roman" w:hAnsi="Times New Roman" w:cs="Times New Roman"/>
          <w:sz w:val="24"/>
          <w:szCs w:val="24"/>
        </w:rPr>
      </w:pPr>
    </w:p>
    <w:p w14:paraId="09860EA3" w14:textId="77777777" w:rsidR="00A34398" w:rsidRPr="001D76B1" w:rsidRDefault="00A34398" w:rsidP="00D90B2A">
      <w:pPr>
        <w:pStyle w:val="NoSpacing"/>
        <w:jc w:val="both"/>
        <w:rPr>
          <w:rFonts w:ascii="Times New Roman" w:hAnsi="Times New Roman" w:cs="Times New Roman"/>
          <w:sz w:val="24"/>
          <w:szCs w:val="24"/>
        </w:rPr>
      </w:pPr>
    </w:p>
    <w:p w14:paraId="3D4F6EF9" w14:textId="525A48A6" w:rsidR="00F75FD0" w:rsidRPr="001D76B1" w:rsidRDefault="00177E35" w:rsidP="00A34398">
      <w:pPr>
        <w:spacing w:after="0" w:line="360" w:lineRule="auto"/>
        <w:jc w:val="both"/>
        <w:rPr>
          <w:rFonts w:ascii="Times New Roman" w:hAnsi="Times New Roman" w:cs="Times New Roman"/>
          <w:sz w:val="24"/>
          <w:szCs w:val="24"/>
        </w:rPr>
      </w:pPr>
      <w:r w:rsidRPr="001D76B1">
        <w:rPr>
          <w:rFonts w:ascii="Times New Roman" w:hAnsi="Times New Roman" w:cs="Times New Roman"/>
          <w:sz w:val="24"/>
          <w:szCs w:val="24"/>
        </w:rPr>
        <w:t xml:space="preserve">             </w:t>
      </w:r>
      <w:r w:rsidRPr="00A34398">
        <w:rPr>
          <w:rFonts w:ascii="Times New Roman" w:hAnsi="Times New Roman" w:cs="Times New Roman"/>
          <w:b/>
          <w:bCs/>
          <w:sz w:val="24"/>
          <w:szCs w:val="24"/>
        </w:rPr>
        <w:t>TAGU J:</w:t>
      </w:r>
      <w:r w:rsidR="00AA3A21" w:rsidRPr="00A34398">
        <w:rPr>
          <w:rFonts w:ascii="Times New Roman" w:hAnsi="Times New Roman" w:cs="Times New Roman"/>
          <w:b/>
          <w:bCs/>
          <w:sz w:val="24"/>
          <w:szCs w:val="24"/>
        </w:rPr>
        <w:t xml:space="preserve"> </w:t>
      </w:r>
      <w:r w:rsidR="00A34398">
        <w:rPr>
          <w:rFonts w:ascii="Times New Roman" w:hAnsi="Times New Roman" w:cs="Times New Roman"/>
          <w:sz w:val="24"/>
          <w:szCs w:val="24"/>
        </w:rPr>
        <w:t xml:space="preserve">   </w:t>
      </w:r>
      <w:r w:rsidR="00F75FD0" w:rsidRPr="001D76B1">
        <w:rPr>
          <w:rFonts w:ascii="Times New Roman" w:hAnsi="Times New Roman" w:cs="Times New Roman"/>
          <w:sz w:val="24"/>
          <w:szCs w:val="24"/>
        </w:rPr>
        <w:t>The plaintiff issued summons against the four defendants claiming payment by the defendant of the sum of US$70 505.05 being the capital sum to be used to purchase pension benefits from a registered pension fund to be nominated by the plaintiff, interest on the aforesaid sum at the prescribed rate calculated from the date of the summons to the date of full payment as well as costs of suit.</w:t>
      </w:r>
    </w:p>
    <w:p w14:paraId="2B610D0B" w14:textId="598DB02B" w:rsidR="000122B3" w:rsidRPr="001D76B1" w:rsidRDefault="00F75FD0"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The facts are that between October 1978 and December 2003, the plaintiff was a participating member of the first defendant. </w:t>
      </w:r>
      <w:r w:rsidR="00057614" w:rsidRPr="001D76B1">
        <w:rPr>
          <w:rFonts w:ascii="Times New Roman" w:hAnsi="Times New Roman" w:cs="Times New Roman"/>
          <w:sz w:val="24"/>
          <w:szCs w:val="24"/>
        </w:rPr>
        <w:t xml:space="preserve"> The p</w:t>
      </w:r>
      <w:r w:rsidRPr="001D76B1">
        <w:rPr>
          <w:rFonts w:ascii="Times New Roman" w:hAnsi="Times New Roman" w:cs="Times New Roman"/>
          <w:sz w:val="24"/>
          <w:szCs w:val="24"/>
        </w:rPr>
        <w:t xml:space="preserve">laintiff was retrenched in December 2003, when the fourth defendant, as the administrators and underwriters of this Fund, advised plaintiff that she would be due for pension benefits. </w:t>
      </w:r>
      <w:r w:rsidR="000122B3" w:rsidRPr="001D76B1">
        <w:rPr>
          <w:rFonts w:ascii="Times New Roman" w:hAnsi="Times New Roman" w:cs="Times New Roman"/>
          <w:sz w:val="24"/>
          <w:szCs w:val="24"/>
        </w:rPr>
        <w:t xml:space="preserve">A cash commutation of ZWL$1 515 498.00 was paid out to </w:t>
      </w:r>
      <w:r w:rsidR="00057614" w:rsidRPr="001D76B1">
        <w:rPr>
          <w:rFonts w:ascii="Times New Roman" w:hAnsi="Times New Roman" w:cs="Times New Roman"/>
          <w:sz w:val="24"/>
          <w:szCs w:val="24"/>
        </w:rPr>
        <w:t xml:space="preserve">the </w:t>
      </w:r>
      <w:r w:rsidR="000122B3" w:rsidRPr="001D76B1">
        <w:rPr>
          <w:rFonts w:ascii="Times New Roman" w:hAnsi="Times New Roman" w:cs="Times New Roman"/>
          <w:sz w:val="24"/>
          <w:szCs w:val="24"/>
        </w:rPr>
        <w:t xml:space="preserve">plaintiff as part of the benefits. </w:t>
      </w:r>
      <w:r w:rsidR="00057614" w:rsidRPr="001D76B1">
        <w:rPr>
          <w:rFonts w:ascii="Times New Roman" w:hAnsi="Times New Roman" w:cs="Times New Roman"/>
          <w:sz w:val="24"/>
          <w:szCs w:val="24"/>
        </w:rPr>
        <w:t>The p</w:t>
      </w:r>
      <w:r w:rsidR="000122B3" w:rsidRPr="001D76B1">
        <w:rPr>
          <w:rFonts w:ascii="Times New Roman" w:hAnsi="Times New Roman" w:cs="Times New Roman"/>
          <w:sz w:val="24"/>
          <w:szCs w:val="24"/>
        </w:rPr>
        <w:t>laintiff was then advised that a balance pension of ZWL$131</w:t>
      </w:r>
      <w:r w:rsidR="00A34398">
        <w:rPr>
          <w:rFonts w:ascii="Times New Roman" w:hAnsi="Times New Roman" w:cs="Times New Roman"/>
          <w:sz w:val="24"/>
          <w:szCs w:val="24"/>
        </w:rPr>
        <w:t> </w:t>
      </w:r>
      <w:r w:rsidR="000122B3" w:rsidRPr="001D76B1">
        <w:rPr>
          <w:rFonts w:ascii="Times New Roman" w:hAnsi="Times New Roman" w:cs="Times New Roman"/>
          <w:sz w:val="24"/>
          <w:szCs w:val="24"/>
        </w:rPr>
        <w:t>712.10 p</w:t>
      </w:r>
      <w:r w:rsidR="00057614" w:rsidRPr="001D76B1">
        <w:rPr>
          <w:rFonts w:ascii="Times New Roman" w:hAnsi="Times New Roman" w:cs="Times New Roman"/>
          <w:sz w:val="24"/>
          <w:szCs w:val="24"/>
        </w:rPr>
        <w:t>er annum</w:t>
      </w:r>
      <w:r w:rsidR="000122B3" w:rsidRPr="001D76B1">
        <w:rPr>
          <w:rFonts w:ascii="Times New Roman" w:hAnsi="Times New Roman" w:cs="Times New Roman"/>
          <w:sz w:val="24"/>
          <w:szCs w:val="24"/>
        </w:rPr>
        <w:t xml:space="preserve"> or ZWL$10 976 p</w:t>
      </w:r>
      <w:r w:rsidR="00057614" w:rsidRPr="001D76B1">
        <w:rPr>
          <w:rFonts w:ascii="Times New Roman" w:hAnsi="Times New Roman" w:cs="Times New Roman"/>
          <w:sz w:val="24"/>
          <w:szCs w:val="24"/>
        </w:rPr>
        <w:t xml:space="preserve">er </w:t>
      </w:r>
      <w:r w:rsidR="000122B3" w:rsidRPr="001D76B1">
        <w:rPr>
          <w:rFonts w:ascii="Times New Roman" w:hAnsi="Times New Roman" w:cs="Times New Roman"/>
          <w:sz w:val="24"/>
          <w:szCs w:val="24"/>
        </w:rPr>
        <w:t>a</w:t>
      </w:r>
      <w:r w:rsidR="00057614" w:rsidRPr="001D76B1">
        <w:rPr>
          <w:rFonts w:ascii="Times New Roman" w:hAnsi="Times New Roman" w:cs="Times New Roman"/>
          <w:sz w:val="24"/>
          <w:szCs w:val="24"/>
        </w:rPr>
        <w:t>nnum</w:t>
      </w:r>
      <w:r w:rsidRPr="001D76B1">
        <w:rPr>
          <w:rFonts w:ascii="Times New Roman" w:hAnsi="Times New Roman" w:cs="Times New Roman"/>
          <w:sz w:val="24"/>
          <w:szCs w:val="24"/>
        </w:rPr>
        <w:t xml:space="preserve"> </w:t>
      </w:r>
      <w:r w:rsidR="000122B3" w:rsidRPr="001D76B1">
        <w:rPr>
          <w:rFonts w:ascii="Times New Roman" w:hAnsi="Times New Roman" w:cs="Times New Roman"/>
          <w:sz w:val="24"/>
          <w:szCs w:val="24"/>
        </w:rPr>
        <w:t xml:space="preserve">would be payable monthly in arrears for a guaranteed period of 5 years, and for life thereafter. The fourth defendant however disbursed some funds to the third defendant, in the sum of ZWL$1 955 328.48, unbeknown to plaintiff. Third </w:t>
      </w:r>
      <w:r w:rsidR="000122B3" w:rsidRPr="001D76B1">
        <w:rPr>
          <w:rFonts w:ascii="Times New Roman" w:hAnsi="Times New Roman" w:cs="Times New Roman"/>
          <w:sz w:val="24"/>
          <w:szCs w:val="24"/>
        </w:rPr>
        <w:lastRenderedPageBreak/>
        <w:t xml:space="preserve">defendant paid funds that were less than those disbursed by fourth defendant to </w:t>
      </w:r>
      <w:r w:rsidR="00057614" w:rsidRPr="001D76B1">
        <w:rPr>
          <w:rFonts w:ascii="Times New Roman" w:hAnsi="Times New Roman" w:cs="Times New Roman"/>
          <w:sz w:val="24"/>
          <w:szCs w:val="24"/>
        </w:rPr>
        <w:t xml:space="preserve">the </w:t>
      </w:r>
      <w:r w:rsidR="000122B3" w:rsidRPr="001D76B1">
        <w:rPr>
          <w:rFonts w:ascii="Times New Roman" w:hAnsi="Times New Roman" w:cs="Times New Roman"/>
          <w:sz w:val="24"/>
          <w:szCs w:val="24"/>
        </w:rPr>
        <w:t xml:space="preserve">plaintiff. </w:t>
      </w:r>
      <w:r w:rsidR="00057614" w:rsidRPr="001D76B1">
        <w:rPr>
          <w:rFonts w:ascii="Times New Roman" w:hAnsi="Times New Roman" w:cs="Times New Roman"/>
          <w:sz w:val="24"/>
          <w:szCs w:val="24"/>
        </w:rPr>
        <w:t>The f</w:t>
      </w:r>
      <w:r w:rsidR="000122B3" w:rsidRPr="001D76B1">
        <w:rPr>
          <w:rFonts w:ascii="Times New Roman" w:hAnsi="Times New Roman" w:cs="Times New Roman"/>
          <w:sz w:val="24"/>
          <w:szCs w:val="24"/>
        </w:rPr>
        <w:t>ourth defendant did not disclose how it arrived at the pension capital values, and the funds disbursed to third defendant. All the defendants ignored all demands to explain and/or honour pension benefits due from first defendant. Hence the issuing of summons against the four defendants.</w:t>
      </w:r>
    </w:p>
    <w:p w14:paraId="453E1685" w14:textId="2BF5327A" w:rsidR="00A4331B" w:rsidRPr="001D76B1" w:rsidRDefault="000122B3"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Having been served with the summons, </w:t>
      </w:r>
      <w:r w:rsidR="00A4331B" w:rsidRPr="001D76B1">
        <w:rPr>
          <w:rFonts w:ascii="Times New Roman" w:hAnsi="Times New Roman" w:cs="Times New Roman"/>
          <w:sz w:val="24"/>
          <w:szCs w:val="24"/>
        </w:rPr>
        <w:t xml:space="preserve">the first, second and third defendants though they entered appearance to </w:t>
      </w:r>
      <w:r w:rsidR="00057614" w:rsidRPr="001D76B1">
        <w:rPr>
          <w:rFonts w:ascii="Times New Roman" w:hAnsi="Times New Roman" w:cs="Times New Roman"/>
          <w:sz w:val="24"/>
          <w:szCs w:val="24"/>
        </w:rPr>
        <w:t xml:space="preserve">the </w:t>
      </w:r>
      <w:r w:rsidR="00A4331B" w:rsidRPr="001D76B1">
        <w:rPr>
          <w:rFonts w:ascii="Times New Roman" w:hAnsi="Times New Roman" w:cs="Times New Roman"/>
          <w:sz w:val="24"/>
          <w:szCs w:val="24"/>
        </w:rPr>
        <w:t xml:space="preserve">defendant, have as of now not given their defences. The fourth defendant entered appearance to fend, and proceeded to file the present application for an exception on the basis that there is no cause of action against the fourth defendant. That no claim is being made against the fourth defendant. It argued that it was merely a messenger of the first defendant, and that the relief being sought is against the first defendant. </w:t>
      </w:r>
    </w:p>
    <w:p w14:paraId="79F2B6A4" w14:textId="7EFB4958" w:rsidR="00A4331B" w:rsidRPr="001D76B1" w:rsidRDefault="00A4331B"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At the hearing of the matter Mr </w:t>
      </w:r>
      <w:r w:rsidRPr="00A34398">
        <w:rPr>
          <w:rFonts w:ascii="Times New Roman" w:hAnsi="Times New Roman" w:cs="Times New Roman"/>
          <w:i/>
          <w:iCs/>
          <w:sz w:val="24"/>
          <w:szCs w:val="24"/>
        </w:rPr>
        <w:t>PJ</w:t>
      </w:r>
      <w:r w:rsidR="00A34398">
        <w:rPr>
          <w:rFonts w:ascii="Times New Roman" w:hAnsi="Times New Roman" w:cs="Times New Roman"/>
          <w:i/>
          <w:iCs/>
          <w:sz w:val="24"/>
          <w:szCs w:val="24"/>
        </w:rPr>
        <w:t xml:space="preserve"> </w:t>
      </w:r>
      <w:r w:rsidRPr="00A34398">
        <w:rPr>
          <w:rFonts w:ascii="Times New Roman" w:hAnsi="Times New Roman" w:cs="Times New Roman"/>
          <w:i/>
          <w:iCs/>
          <w:sz w:val="24"/>
          <w:szCs w:val="24"/>
        </w:rPr>
        <w:t>Chivanga</w:t>
      </w:r>
      <w:r w:rsidRPr="001D76B1">
        <w:rPr>
          <w:rFonts w:ascii="Times New Roman" w:hAnsi="Times New Roman" w:cs="Times New Roman"/>
          <w:sz w:val="24"/>
          <w:szCs w:val="24"/>
        </w:rPr>
        <w:t xml:space="preserve"> applied that the third respondent be excused in these proceedings as it had not raised any exception. By consent of the parties third respondent was excused.</w:t>
      </w:r>
    </w:p>
    <w:p w14:paraId="6F55B8F9" w14:textId="4B52B919" w:rsidR="00455959" w:rsidRPr="001D76B1" w:rsidRDefault="00A4331B"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Before the filing of the exception the counsel for the fourth respondent wrote a letter of complaint </w:t>
      </w:r>
      <w:r w:rsidR="00455959" w:rsidRPr="001D76B1">
        <w:rPr>
          <w:rFonts w:ascii="Times New Roman" w:hAnsi="Times New Roman" w:cs="Times New Roman"/>
          <w:sz w:val="24"/>
          <w:szCs w:val="24"/>
        </w:rPr>
        <w:t xml:space="preserve">in terms of </w:t>
      </w:r>
      <w:r w:rsidR="00057614" w:rsidRPr="001D76B1">
        <w:rPr>
          <w:rFonts w:ascii="Times New Roman" w:hAnsi="Times New Roman" w:cs="Times New Roman"/>
          <w:sz w:val="24"/>
          <w:szCs w:val="24"/>
        </w:rPr>
        <w:t>r</w:t>
      </w:r>
      <w:r w:rsidR="00455959" w:rsidRPr="001D76B1">
        <w:rPr>
          <w:rFonts w:ascii="Times New Roman" w:hAnsi="Times New Roman" w:cs="Times New Roman"/>
          <w:sz w:val="24"/>
          <w:szCs w:val="24"/>
        </w:rPr>
        <w:t xml:space="preserve"> 42(1) (b) as read with </w:t>
      </w:r>
      <w:r w:rsidR="00057614" w:rsidRPr="001D76B1">
        <w:rPr>
          <w:rFonts w:ascii="Times New Roman" w:hAnsi="Times New Roman" w:cs="Times New Roman"/>
          <w:sz w:val="24"/>
          <w:szCs w:val="24"/>
        </w:rPr>
        <w:t>r</w:t>
      </w:r>
      <w:r w:rsidR="00455959" w:rsidRPr="001D76B1">
        <w:rPr>
          <w:rFonts w:ascii="Times New Roman" w:hAnsi="Times New Roman" w:cs="Times New Roman"/>
          <w:sz w:val="24"/>
          <w:szCs w:val="24"/>
        </w:rPr>
        <w:t xml:space="preserve"> 42 (3) of the High Court Rules, 2021 </w:t>
      </w:r>
      <w:r w:rsidRPr="001D76B1">
        <w:rPr>
          <w:rFonts w:ascii="Times New Roman" w:hAnsi="Times New Roman" w:cs="Times New Roman"/>
          <w:sz w:val="24"/>
          <w:szCs w:val="24"/>
        </w:rPr>
        <w:t xml:space="preserve">to the counsel for the plaintiff highlighting that </w:t>
      </w:r>
      <w:r w:rsidR="00455959" w:rsidRPr="001D76B1">
        <w:rPr>
          <w:rFonts w:ascii="Times New Roman" w:hAnsi="Times New Roman" w:cs="Times New Roman"/>
          <w:sz w:val="24"/>
          <w:szCs w:val="24"/>
        </w:rPr>
        <w:t xml:space="preserve">the summons did not identify against which “defendant” it is directed. It indicated that the summons was excipiable as against the </w:t>
      </w:r>
      <w:r w:rsidR="00057614" w:rsidRPr="001D76B1">
        <w:rPr>
          <w:rFonts w:ascii="Times New Roman" w:hAnsi="Times New Roman" w:cs="Times New Roman"/>
          <w:sz w:val="24"/>
          <w:szCs w:val="24"/>
        </w:rPr>
        <w:t>fourth</w:t>
      </w:r>
      <w:r w:rsidR="00455959" w:rsidRPr="001D76B1">
        <w:rPr>
          <w:rFonts w:ascii="Times New Roman" w:hAnsi="Times New Roman" w:cs="Times New Roman"/>
          <w:sz w:val="24"/>
          <w:szCs w:val="24"/>
        </w:rPr>
        <w:t xml:space="preserve"> defendant. </w:t>
      </w:r>
    </w:p>
    <w:p w14:paraId="46A60AFD" w14:textId="58EFB4E3" w:rsidR="00455959" w:rsidRPr="001D76B1" w:rsidRDefault="00455959"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In response to this letter of complaint, by letter dated 20</w:t>
      </w:r>
      <w:r w:rsidRPr="001D76B1">
        <w:rPr>
          <w:rFonts w:ascii="Times New Roman" w:hAnsi="Times New Roman" w:cs="Times New Roman"/>
          <w:sz w:val="24"/>
          <w:szCs w:val="24"/>
          <w:vertAlign w:val="superscript"/>
        </w:rPr>
        <w:t>th</w:t>
      </w:r>
      <w:r w:rsidRPr="001D76B1">
        <w:rPr>
          <w:rFonts w:ascii="Times New Roman" w:hAnsi="Times New Roman" w:cs="Times New Roman"/>
          <w:sz w:val="24"/>
          <w:szCs w:val="24"/>
        </w:rPr>
        <w:t xml:space="preserve"> June 2022, the counsel for the plaintiff made the following remarks</w:t>
      </w:r>
      <w:r w:rsidR="00CE07C9">
        <w:rPr>
          <w:rFonts w:ascii="Times New Roman" w:hAnsi="Times New Roman" w:cs="Times New Roman"/>
          <w:sz w:val="24"/>
          <w:szCs w:val="24"/>
        </w:rPr>
        <w:t>:</w:t>
      </w:r>
    </w:p>
    <w:p w14:paraId="6B00605A" w14:textId="2F02A05F" w:rsidR="00A374E2" w:rsidRDefault="00455959" w:rsidP="00A34398">
      <w:pPr>
        <w:spacing w:after="0" w:line="240" w:lineRule="auto"/>
        <w:ind w:left="540"/>
        <w:jc w:val="both"/>
        <w:rPr>
          <w:rFonts w:ascii="Times New Roman" w:hAnsi="Times New Roman" w:cs="Times New Roman"/>
        </w:rPr>
      </w:pPr>
      <w:r w:rsidRPr="001D76B1">
        <w:rPr>
          <w:rFonts w:ascii="Times New Roman" w:hAnsi="Times New Roman" w:cs="Times New Roman"/>
          <w:sz w:val="24"/>
          <w:szCs w:val="24"/>
        </w:rPr>
        <w:t>“</w:t>
      </w:r>
      <w:r w:rsidRPr="001D76B1">
        <w:rPr>
          <w:rFonts w:ascii="Times New Roman" w:hAnsi="Times New Roman" w:cs="Times New Roman"/>
        </w:rPr>
        <w:t>As may be gleaned from the summons, the 4</w:t>
      </w:r>
      <w:r w:rsidRPr="001D76B1">
        <w:rPr>
          <w:rFonts w:ascii="Times New Roman" w:hAnsi="Times New Roman" w:cs="Times New Roman"/>
          <w:vertAlign w:val="superscript"/>
        </w:rPr>
        <w:t>th</w:t>
      </w:r>
      <w:r w:rsidRPr="001D76B1">
        <w:rPr>
          <w:rFonts w:ascii="Times New Roman" w:hAnsi="Times New Roman" w:cs="Times New Roman"/>
        </w:rPr>
        <w:t xml:space="preserve"> Defendant is the administrator and underwriter of the 1</w:t>
      </w:r>
      <w:r w:rsidRPr="001D76B1">
        <w:rPr>
          <w:rFonts w:ascii="Times New Roman" w:hAnsi="Times New Roman" w:cs="Times New Roman"/>
          <w:vertAlign w:val="superscript"/>
        </w:rPr>
        <w:t>st</w:t>
      </w:r>
      <w:r w:rsidRPr="001D76B1">
        <w:rPr>
          <w:rFonts w:ascii="Times New Roman" w:hAnsi="Times New Roman" w:cs="Times New Roman"/>
        </w:rPr>
        <w:t xml:space="preserve"> Defendant. It advised the plaintiff of her pension. It disbursed some funds to the 3</w:t>
      </w:r>
      <w:r w:rsidRPr="001D76B1">
        <w:rPr>
          <w:rFonts w:ascii="Times New Roman" w:hAnsi="Times New Roman" w:cs="Times New Roman"/>
          <w:vertAlign w:val="superscript"/>
        </w:rPr>
        <w:t>rd</w:t>
      </w:r>
      <w:r w:rsidRPr="001D76B1">
        <w:rPr>
          <w:rFonts w:ascii="Times New Roman" w:hAnsi="Times New Roman" w:cs="Times New Roman"/>
        </w:rPr>
        <w:t xml:space="preserve"> Defendant. </w:t>
      </w:r>
      <w:r w:rsidR="00A374E2" w:rsidRPr="001D76B1">
        <w:rPr>
          <w:rFonts w:ascii="Times New Roman" w:hAnsi="Times New Roman" w:cs="Times New Roman"/>
        </w:rPr>
        <w:t>It has failed to explain why it disbursed only ZWL$1 955 328.48 to the 3</w:t>
      </w:r>
      <w:r w:rsidR="00A374E2" w:rsidRPr="001D76B1">
        <w:rPr>
          <w:rFonts w:ascii="Times New Roman" w:hAnsi="Times New Roman" w:cs="Times New Roman"/>
          <w:vertAlign w:val="superscript"/>
        </w:rPr>
        <w:t>rd</w:t>
      </w:r>
      <w:r w:rsidR="00A374E2" w:rsidRPr="001D76B1">
        <w:rPr>
          <w:rFonts w:ascii="Times New Roman" w:hAnsi="Times New Roman" w:cs="Times New Roman"/>
        </w:rPr>
        <w:t xml:space="preserve"> Defendant.</w:t>
      </w:r>
    </w:p>
    <w:p w14:paraId="12CF19BB" w14:textId="77777777" w:rsidR="00A34398" w:rsidRPr="001D76B1" w:rsidRDefault="00A34398" w:rsidP="00A34398">
      <w:pPr>
        <w:spacing w:after="0" w:line="240" w:lineRule="auto"/>
        <w:ind w:left="540"/>
        <w:jc w:val="both"/>
        <w:rPr>
          <w:rFonts w:ascii="Times New Roman" w:hAnsi="Times New Roman" w:cs="Times New Roman"/>
        </w:rPr>
      </w:pPr>
    </w:p>
    <w:p w14:paraId="087D51BD" w14:textId="6EEA892C" w:rsidR="00A374E2" w:rsidRPr="001D76B1" w:rsidRDefault="00A374E2" w:rsidP="00A34398">
      <w:pPr>
        <w:spacing w:after="0" w:line="240" w:lineRule="auto"/>
        <w:ind w:left="540"/>
        <w:jc w:val="both"/>
        <w:rPr>
          <w:rFonts w:ascii="Times New Roman" w:hAnsi="Times New Roman" w:cs="Times New Roman"/>
        </w:rPr>
      </w:pPr>
      <w:r w:rsidRPr="001D76B1">
        <w:rPr>
          <w:rFonts w:ascii="Times New Roman" w:hAnsi="Times New Roman" w:cs="Times New Roman"/>
        </w:rPr>
        <w:t>While it is accepted that no monetary relief is claimed from it, the participation of the 4</w:t>
      </w:r>
      <w:r w:rsidRPr="001D76B1">
        <w:rPr>
          <w:rFonts w:ascii="Times New Roman" w:hAnsi="Times New Roman" w:cs="Times New Roman"/>
          <w:vertAlign w:val="superscript"/>
        </w:rPr>
        <w:t>th</w:t>
      </w:r>
      <w:r w:rsidRPr="001D76B1">
        <w:rPr>
          <w:rFonts w:ascii="Times New Roman" w:hAnsi="Times New Roman" w:cs="Times New Roman"/>
        </w:rPr>
        <w:t xml:space="preserve"> Defendant in this suit is to enable the matter to be expeditiously and effectively resolved. If the 4</w:t>
      </w:r>
      <w:r w:rsidRPr="001D76B1">
        <w:rPr>
          <w:rFonts w:ascii="Times New Roman" w:hAnsi="Times New Roman" w:cs="Times New Roman"/>
          <w:vertAlign w:val="superscript"/>
        </w:rPr>
        <w:t>th</w:t>
      </w:r>
      <w:r w:rsidRPr="001D76B1">
        <w:rPr>
          <w:rFonts w:ascii="Times New Roman" w:hAnsi="Times New Roman" w:cs="Times New Roman"/>
        </w:rPr>
        <w:t xml:space="preserve"> Defendant is excluded, there shall be a gap that shall be difficult to fill.”</w:t>
      </w:r>
    </w:p>
    <w:p w14:paraId="369D553F" w14:textId="77777777" w:rsidR="00057614" w:rsidRPr="001D76B1" w:rsidRDefault="00057614" w:rsidP="00A34398">
      <w:pPr>
        <w:spacing w:after="0" w:line="240" w:lineRule="auto"/>
        <w:ind w:left="540"/>
        <w:jc w:val="both"/>
        <w:rPr>
          <w:rFonts w:ascii="Times New Roman" w:hAnsi="Times New Roman" w:cs="Times New Roman"/>
          <w:sz w:val="24"/>
          <w:szCs w:val="24"/>
        </w:rPr>
      </w:pPr>
    </w:p>
    <w:p w14:paraId="4AB568A5" w14:textId="515268D8" w:rsidR="006344DF" w:rsidRPr="001D76B1" w:rsidRDefault="006344DF"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In its heads of argument the fourth defendant maintained that no cause of action has been shown against it. Relying on a number of</w:t>
      </w:r>
      <w:r w:rsidR="00455959" w:rsidRPr="001D76B1">
        <w:rPr>
          <w:rFonts w:ascii="Times New Roman" w:hAnsi="Times New Roman" w:cs="Times New Roman"/>
          <w:sz w:val="24"/>
          <w:szCs w:val="24"/>
        </w:rPr>
        <w:t xml:space="preserve"> </w:t>
      </w:r>
      <w:r w:rsidRPr="001D76B1">
        <w:rPr>
          <w:rFonts w:ascii="Times New Roman" w:hAnsi="Times New Roman" w:cs="Times New Roman"/>
          <w:sz w:val="24"/>
          <w:szCs w:val="24"/>
        </w:rPr>
        <w:t xml:space="preserve">cases such as </w:t>
      </w:r>
      <w:r w:rsidRPr="001D76B1">
        <w:rPr>
          <w:rFonts w:ascii="Times New Roman" w:hAnsi="Times New Roman" w:cs="Times New Roman"/>
          <w:i/>
          <w:iCs/>
          <w:sz w:val="24"/>
          <w:szCs w:val="24"/>
        </w:rPr>
        <w:t>Santos and Others</w:t>
      </w:r>
      <w:r w:rsidRPr="001D76B1">
        <w:rPr>
          <w:rFonts w:ascii="Times New Roman" w:hAnsi="Times New Roman" w:cs="Times New Roman"/>
          <w:sz w:val="24"/>
          <w:szCs w:val="24"/>
        </w:rPr>
        <w:t xml:space="preserve"> v </w:t>
      </w:r>
      <w:r w:rsidRPr="001D76B1">
        <w:rPr>
          <w:rFonts w:ascii="Times New Roman" w:hAnsi="Times New Roman" w:cs="Times New Roman"/>
          <w:i/>
          <w:iCs/>
          <w:sz w:val="24"/>
          <w:szCs w:val="24"/>
        </w:rPr>
        <w:t>Standard General Insurance Co. Ltd and Anor</w:t>
      </w:r>
      <w:r w:rsidRPr="001D76B1">
        <w:rPr>
          <w:rFonts w:ascii="Times New Roman" w:hAnsi="Times New Roman" w:cs="Times New Roman"/>
          <w:sz w:val="24"/>
          <w:szCs w:val="24"/>
        </w:rPr>
        <w:t xml:space="preserve"> 1971 (3) SA 434 (O) at p 437 where it was said</w:t>
      </w:r>
      <w:r w:rsidR="00057614" w:rsidRPr="001D76B1">
        <w:rPr>
          <w:rFonts w:ascii="Times New Roman" w:hAnsi="Times New Roman" w:cs="Times New Roman"/>
          <w:sz w:val="24"/>
          <w:szCs w:val="24"/>
        </w:rPr>
        <w:t>:</w:t>
      </w:r>
    </w:p>
    <w:p w14:paraId="2C7C697E" w14:textId="5A703CD9" w:rsidR="004625AF" w:rsidRDefault="006344DF" w:rsidP="00A34398">
      <w:pPr>
        <w:spacing w:after="0" w:line="240" w:lineRule="auto"/>
        <w:ind w:left="540"/>
        <w:jc w:val="both"/>
        <w:rPr>
          <w:rFonts w:ascii="Times New Roman" w:hAnsi="Times New Roman" w:cs="Times New Roman"/>
          <w:sz w:val="24"/>
          <w:szCs w:val="24"/>
        </w:rPr>
      </w:pPr>
      <w:r w:rsidRPr="00A34398">
        <w:rPr>
          <w:rFonts w:ascii="Times New Roman" w:hAnsi="Times New Roman" w:cs="Times New Roman"/>
        </w:rPr>
        <w:t xml:space="preserve">“It is </w:t>
      </w:r>
      <w:r w:rsidR="004625AF" w:rsidRPr="00A34398">
        <w:rPr>
          <w:rFonts w:ascii="Times New Roman" w:hAnsi="Times New Roman" w:cs="Times New Roman"/>
        </w:rPr>
        <w:t xml:space="preserve">trite law that an exception that a particular claim discloses no cause of action, cannot succeed unless it goes to the root thereof, that is to say unless the upholding of the exception would have the </w:t>
      </w:r>
      <w:r w:rsidR="004625AF" w:rsidRPr="00A34398">
        <w:rPr>
          <w:rFonts w:ascii="Times New Roman" w:hAnsi="Times New Roman" w:cs="Times New Roman"/>
        </w:rPr>
        <w:lastRenderedPageBreak/>
        <w:t>effect of destroying it altogether.</w:t>
      </w:r>
      <w:r w:rsidR="00A34398" w:rsidRPr="00A34398">
        <w:rPr>
          <w:rFonts w:ascii="Times New Roman" w:hAnsi="Times New Roman" w:cs="Times New Roman"/>
        </w:rPr>
        <w:t>”</w:t>
      </w:r>
      <w:r w:rsidR="004625AF" w:rsidRPr="00A34398">
        <w:rPr>
          <w:rFonts w:ascii="Times New Roman" w:hAnsi="Times New Roman" w:cs="Times New Roman"/>
        </w:rPr>
        <w:t xml:space="preserve"> See </w:t>
      </w:r>
      <w:r w:rsidR="004625AF" w:rsidRPr="00A34398">
        <w:rPr>
          <w:rFonts w:ascii="Times New Roman" w:hAnsi="Times New Roman" w:cs="Times New Roman"/>
          <w:i/>
          <w:iCs/>
        </w:rPr>
        <w:t>Dharumpal Transport (Pty) Ltd</w:t>
      </w:r>
      <w:r w:rsidR="004625AF" w:rsidRPr="00A34398">
        <w:rPr>
          <w:rFonts w:ascii="Times New Roman" w:hAnsi="Times New Roman" w:cs="Times New Roman"/>
        </w:rPr>
        <w:t xml:space="preserve"> v </w:t>
      </w:r>
      <w:r w:rsidR="004625AF" w:rsidRPr="00A34398">
        <w:rPr>
          <w:rFonts w:ascii="Times New Roman" w:hAnsi="Times New Roman" w:cs="Times New Roman"/>
          <w:i/>
          <w:iCs/>
        </w:rPr>
        <w:t xml:space="preserve">Dharumpal </w:t>
      </w:r>
      <w:r w:rsidR="004625AF" w:rsidRPr="00A34398">
        <w:rPr>
          <w:rFonts w:ascii="Times New Roman" w:hAnsi="Times New Roman" w:cs="Times New Roman"/>
        </w:rPr>
        <w:t>1956 (1) SA 700 at p 706</w:t>
      </w:r>
      <w:r w:rsidR="004625AF" w:rsidRPr="001D76B1">
        <w:rPr>
          <w:rFonts w:ascii="Times New Roman" w:hAnsi="Times New Roman" w:cs="Times New Roman"/>
          <w:sz w:val="24"/>
          <w:szCs w:val="24"/>
        </w:rPr>
        <w:t>.</w:t>
      </w:r>
    </w:p>
    <w:p w14:paraId="1EDB456C" w14:textId="77777777" w:rsidR="00CE07C9" w:rsidRPr="001D76B1" w:rsidRDefault="00CE07C9" w:rsidP="00A34398">
      <w:pPr>
        <w:spacing w:after="0" w:line="240" w:lineRule="auto"/>
        <w:ind w:left="540"/>
        <w:jc w:val="both"/>
        <w:rPr>
          <w:rFonts w:ascii="Times New Roman" w:hAnsi="Times New Roman" w:cs="Times New Roman"/>
          <w:sz w:val="24"/>
          <w:szCs w:val="24"/>
        </w:rPr>
      </w:pPr>
    </w:p>
    <w:p w14:paraId="3BE7E1A9" w14:textId="0B53CC70" w:rsidR="000F5C36" w:rsidRPr="001D76B1" w:rsidRDefault="004625AF"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i/>
          <w:iCs/>
          <w:sz w:val="24"/>
          <w:szCs w:val="24"/>
        </w:rPr>
        <w:t>In casu</w:t>
      </w:r>
      <w:r w:rsidRPr="001D76B1">
        <w:rPr>
          <w:rFonts w:ascii="Times New Roman" w:hAnsi="Times New Roman" w:cs="Times New Roman"/>
          <w:sz w:val="24"/>
          <w:szCs w:val="24"/>
        </w:rPr>
        <w:t xml:space="preserve"> the excipient (4</w:t>
      </w:r>
      <w:r w:rsidRPr="001D76B1">
        <w:rPr>
          <w:rFonts w:ascii="Times New Roman" w:hAnsi="Times New Roman" w:cs="Times New Roman"/>
          <w:sz w:val="24"/>
          <w:szCs w:val="24"/>
          <w:vertAlign w:val="superscript"/>
        </w:rPr>
        <w:t>th</w:t>
      </w:r>
      <w:r w:rsidRPr="001D76B1">
        <w:rPr>
          <w:rFonts w:ascii="Times New Roman" w:hAnsi="Times New Roman" w:cs="Times New Roman"/>
          <w:sz w:val="24"/>
          <w:szCs w:val="24"/>
        </w:rPr>
        <w:t xml:space="preserve"> Defendant) submitted that it has made a case not only for the upholding of the exception and dismissal of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laintiff’s action but that this be done with an order for costs to be borne by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laintiff on a legal practitioner and client scale.</w:t>
      </w:r>
    </w:p>
    <w:p w14:paraId="49C8F6E5" w14:textId="77777777" w:rsidR="00600857" w:rsidRPr="001D76B1" w:rsidRDefault="00B64483"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In maintaining its position that the fourth defendant is a necessary party in these proceedings, the plaintiff submitted that the dynamics of the matter calls for the participation of the fourth defendant in these proceedings in order to shed light and explain how the Plaintiff’s pension was managed and why a life pension was then terminated.</w:t>
      </w:r>
    </w:p>
    <w:p w14:paraId="3DB49B9D" w14:textId="178CBCD0" w:rsidR="00600857" w:rsidRPr="001D76B1" w:rsidRDefault="00600857"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The purpose of a plea in bar is well explained in Rule 42(1) (a) of the High Court Rules, 2021, which is to the effect that</w:t>
      </w:r>
      <w:r w:rsidR="00A34398">
        <w:rPr>
          <w:rFonts w:ascii="Times New Roman" w:hAnsi="Times New Roman" w:cs="Times New Roman"/>
          <w:sz w:val="24"/>
          <w:szCs w:val="24"/>
        </w:rPr>
        <w:t>:</w:t>
      </w:r>
    </w:p>
    <w:p w14:paraId="54C2A981" w14:textId="6934A529" w:rsidR="00600857" w:rsidRDefault="00600857" w:rsidP="00A34398">
      <w:pPr>
        <w:spacing w:after="0" w:line="240" w:lineRule="auto"/>
        <w:ind w:left="540"/>
        <w:jc w:val="both"/>
        <w:rPr>
          <w:rFonts w:ascii="Times New Roman" w:hAnsi="Times New Roman" w:cs="Times New Roman"/>
        </w:rPr>
      </w:pPr>
      <w:r w:rsidRPr="001D76B1">
        <w:rPr>
          <w:rFonts w:ascii="Times New Roman" w:hAnsi="Times New Roman" w:cs="Times New Roman"/>
        </w:rPr>
        <w:t>“…….a party may….take a plea in bar …..where the matter is one of substance which does not involve going into the merits of the case and which, if allowed, will dispose of the case.”</w:t>
      </w:r>
    </w:p>
    <w:p w14:paraId="23B10DEF" w14:textId="77777777" w:rsidR="00CE07C9" w:rsidRPr="001D76B1" w:rsidRDefault="00CE07C9" w:rsidP="00A34398">
      <w:pPr>
        <w:spacing w:after="0" w:line="240" w:lineRule="auto"/>
        <w:ind w:left="540"/>
        <w:jc w:val="both"/>
        <w:rPr>
          <w:rFonts w:ascii="Times New Roman" w:hAnsi="Times New Roman" w:cs="Times New Roman"/>
        </w:rPr>
      </w:pPr>
    </w:p>
    <w:p w14:paraId="4AEDA10A" w14:textId="03FF7C11" w:rsidR="00106ECC" w:rsidRPr="001D76B1" w:rsidRDefault="00600857"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I tend to agree with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The fourth defendant does not dispute that it was the administrator and underwriter of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laintiff’s pension albeit engaged by the first, second and third defendants. The fourth defendant does not dispute that it directly advised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that she was due for cash commutation of ZW$1 515 498.00, that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had a balance of pension of ZW$131 712.10 or ZW$10 976.01 per annum guaranteed for 5 years. Further, that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was going to receive </w:t>
      </w:r>
      <w:r w:rsidR="00106ECC" w:rsidRPr="001D76B1">
        <w:rPr>
          <w:rFonts w:ascii="Times New Roman" w:hAnsi="Times New Roman" w:cs="Times New Roman"/>
          <w:sz w:val="24"/>
          <w:szCs w:val="24"/>
        </w:rPr>
        <w:t xml:space="preserve">pension for the rest of her lifetime. This was not to be as the pension payments were terminated during the </w:t>
      </w:r>
      <w:r w:rsidR="00F41D14" w:rsidRPr="001D76B1">
        <w:rPr>
          <w:rFonts w:ascii="Times New Roman" w:hAnsi="Times New Roman" w:cs="Times New Roman"/>
          <w:sz w:val="24"/>
          <w:szCs w:val="24"/>
        </w:rPr>
        <w:t>p</w:t>
      </w:r>
      <w:r w:rsidR="00106ECC" w:rsidRPr="001D76B1">
        <w:rPr>
          <w:rFonts w:ascii="Times New Roman" w:hAnsi="Times New Roman" w:cs="Times New Roman"/>
          <w:sz w:val="24"/>
          <w:szCs w:val="24"/>
        </w:rPr>
        <w:t>laintiff’s lifetime. Who could be better placed to explain to the court the above dynamics other than the fourth defendant, the expert to whom first, second and third defendants assigned the task of administering and underwriting the plaintiff’s pension?</w:t>
      </w:r>
    </w:p>
    <w:p w14:paraId="1947DB0C" w14:textId="7AB7E59E" w:rsidR="00106ECC" w:rsidRPr="001D76B1" w:rsidRDefault="00106ECC"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What the fourth defendant is trying to do is to refuse to come to court to explain how it administered the pension resulting in no life pension being paid to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There is indeed a cause of action against the fourth defendant jointly with the first, second and third defendants. </w:t>
      </w:r>
    </w:p>
    <w:p w14:paraId="74AB09BD" w14:textId="77777777" w:rsidR="00106ECC" w:rsidRPr="001D76B1" w:rsidRDefault="00106ECC"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In </w:t>
      </w:r>
      <w:r w:rsidRPr="001D76B1">
        <w:rPr>
          <w:rFonts w:ascii="Times New Roman" w:hAnsi="Times New Roman" w:cs="Times New Roman"/>
          <w:i/>
          <w:iCs/>
          <w:sz w:val="24"/>
          <w:szCs w:val="24"/>
        </w:rPr>
        <w:t>City of Harare</w:t>
      </w:r>
      <w:r w:rsidRPr="001D76B1">
        <w:rPr>
          <w:rFonts w:ascii="Times New Roman" w:hAnsi="Times New Roman" w:cs="Times New Roman"/>
          <w:sz w:val="24"/>
          <w:szCs w:val="24"/>
        </w:rPr>
        <w:t xml:space="preserve"> v </w:t>
      </w:r>
      <w:r w:rsidRPr="001D76B1">
        <w:rPr>
          <w:rFonts w:ascii="Times New Roman" w:hAnsi="Times New Roman" w:cs="Times New Roman"/>
          <w:i/>
          <w:iCs/>
          <w:sz w:val="24"/>
          <w:szCs w:val="24"/>
        </w:rPr>
        <w:t>D and P Investments (Pvt) Ltd and Anor</w:t>
      </w:r>
      <w:r w:rsidRPr="001D76B1">
        <w:rPr>
          <w:rFonts w:ascii="Times New Roman" w:hAnsi="Times New Roman" w:cs="Times New Roman"/>
          <w:sz w:val="24"/>
          <w:szCs w:val="24"/>
        </w:rPr>
        <w:t xml:space="preserve"> 1992 (2) ZLR 254 at D-E, the court had this to say on the purpose of an exception:</w:t>
      </w:r>
    </w:p>
    <w:p w14:paraId="60A18235" w14:textId="1E371E39" w:rsidR="0028526F" w:rsidRDefault="00106ECC" w:rsidP="00A34398">
      <w:pPr>
        <w:spacing w:after="0" w:line="240" w:lineRule="auto"/>
        <w:ind w:left="720"/>
        <w:jc w:val="both"/>
        <w:rPr>
          <w:rFonts w:ascii="Times New Roman" w:hAnsi="Times New Roman" w:cs="Times New Roman"/>
        </w:rPr>
      </w:pPr>
      <w:r w:rsidRPr="001D76B1">
        <w:rPr>
          <w:rFonts w:ascii="Times New Roman" w:hAnsi="Times New Roman" w:cs="Times New Roman"/>
          <w:sz w:val="24"/>
          <w:szCs w:val="24"/>
        </w:rPr>
        <w:t>“</w:t>
      </w:r>
      <w:r w:rsidRPr="001D76B1">
        <w:rPr>
          <w:rFonts w:ascii="Times New Roman" w:hAnsi="Times New Roman" w:cs="Times New Roman"/>
        </w:rPr>
        <w:t xml:space="preserve">An exception is an answer to the plaintiff’s claim or to the defence claimed. Its main purpose is to obtain a speedy decision upon a point of law apparent on the face of the pleading attacked </w:t>
      </w:r>
      <w:r w:rsidR="0028526F" w:rsidRPr="001D76B1">
        <w:rPr>
          <w:rFonts w:ascii="Times New Roman" w:hAnsi="Times New Roman" w:cs="Times New Roman"/>
        </w:rPr>
        <w:t>and to settle the dispute in the most economical manner by having a faulty pleading set aside.”</w:t>
      </w:r>
    </w:p>
    <w:p w14:paraId="438F3D6F" w14:textId="77777777" w:rsidR="00CE07C9" w:rsidRPr="001D76B1" w:rsidRDefault="00CE07C9" w:rsidP="00A34398">
      <w:pPr>
        <w:spacing w:after="0" w:line="240" w:lineRule="auto"/>
        <w:ind w:left="720"/>
        <w:jc w:val="both"/>
        <w:rPr>
          <w:rFonts w:ascii="Times New Roman" w:hAnsi="Times New Roman" w:cs="Times New Roman"/>
          <w:sz w:val="24"/>
          <w:szCs w:val="24"/>
        </w:rPr>
      </w:pPr>
    </w:p>
    <w:p w14:paraId="2F0D107C" w14:textId="53CDEE2D" w:rsidR="00CF5FAD" w:rsidRPr="001D76B1" w:rsidRDefault="0028526F"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lastRenderedPageBreak/>
        <w:t xml:space="preserve">In this matter all that the fourth defendant is called to do is to explain. There is indeed a cause of action against it. A cause of action is a combination of facts that are material for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 xml:space="preserve">laintiff to prove in order to succeed in his action. See </w:t>
      </w:r>
      <w:r w:rsidR="00CF5FAD" w:rsidRPr="001D76B1">
        <w:rPr>
          <w:rFonts w:ascii="Times New Roman" w:hAnsi="Times New Roman" w:cs="Times New Roman"/>
          <w:i/>
          <w:iCs/>
          <w:sz w:val="24"/>
          <w:szCs w:val="24"/>
        </w:rPr>
        <w:t>Dube</w:t>
      </w:r>
      <w:r w:rsidR="00CF5FAD" w:rsidRPr="001D76B1">
        <w:rPr>
          <w:rFonts w:ascii="Times New Roman" w:hAnsi="Times New Roman" w:cs="Times New Roman"/>
          <w:sz w:val="24"/>
          <w:szCs w:val="24"/>
        </w:rPr>
        <w:t xml:space="preserve"> v </w:t>
      </w:r>
      <w:r w:rsidR="00CF5FAD" w:rsidRPr="001D76B1">
        <w:rPr>
          <w:rFonts w:ascii="Times New Roman" w:hAnsi="Times New Roman" w:cs="Times New Roman"/>
          <w:i/>
          <w:iCs/>
          <w:sz w:val="24"/>
          <w:szCs w:val="24"/>
        </w:rPr>
        <w:t xml:space="preserve">Banana </w:t>
      </w:r>
      <w:r w:rsidR="00CF5FAD" w:rsidRPr="001D76B1">
        <w:rPr>
          <w:rFonts w:ascii="Times New Roman" w:hAnsi="Times New Roman" w:cs="Times New Roman"/>
          <w:sz w:val="24"/>
          <w:szCs w:val="24"/>
        </w:rPr>
        <w:t xml:space="preserve">1998 (2) ZLR 92(H) at 95 and </w:t>
      </w:r>
      <w:r w:rsidR="00CF5FAD" w:rsidRPr="001D76B1">
        <w:rPr>
          <w:rFonts w:ascii="Times New Roman" w:hAnsi="Times New Roman" w:cs="Times New Roman"/>
          <w:i/>
          <w:iCs/>
          <w:sz w:val="24"/>
          <w:szCs w:val="24"/>
        </w:rPr>
        <w:t>Muhahlera</w:t>
      </w:r>
      <w:r w:rsidR="00CF5FAD" w:rsidRPr="001D76B1">
        <w:rPr>
          <w:rFonts w:ascii="Times New Roman" w:hAnsi="Times New Roman" w:cs="Times New Roman"/>
          <w:sz w:val="24"/>
          <w:szCs w:val="24"/>
        </w:rPr>
        <w:t xml:space="preserve"> v </w:t>
      </w:r>
      <w:r w:rsidR="00CF5FAD" w:rsidRPr="001D76B1">
        <w:rPr>
          <w:rFonts w:ascii="Times New Roman" w:hAnsi="Times New Roman" w:cs="Times New Roman"/>
          <w:i/>
          <w:iCs/>
          <w:sz w:val="24"/>
          <w:szCs w:val="24"/>
        </w:rPr>
        <w:t>Clerk of Parliament and Others</w:t>
      </w:r>
      <w:r w:rsidR="00CF5FAD" w:rsidRPr="001D76B1">
        <w:rPr>
          <w:rFonts w:ascii="Times New Roman" w:hAnsi="Times New Roman" w:cs="Times New Roman"/>
          <w:sz w:val="24"/>
          <w:szCs w:val="24"/>
        </w:rPr>
        <w:t xml:space="preserve"> HH-107/07. In </w:t>
      </w:r>
      <w:r w:rsidR="00CF5FAD" w:rsidRPr="001D76B1">
        <w:rPr>
          <w:rFonts w:ascii="Times New Roman" w:hAnsi="Times New Roman" w:cs="Times New Roman"/>
          <w:i/>
          <w:iCs/>
          <w:sz w:val="24"/>
          <w:szCs w:val="24"/>
        </w:rPr>
        <w:t xml:space="preserve">Muhahlera </w:t>
      </w:r>
      <w:r w:rsidR="00CF5FAD" w:rsidRPr="001D76B1">
        <w:rPr>
          <w:rFonts w:ascii="Times New Roman" w:hAnsi="Times New Roman" w:cs="Times New Roman"/>
          <w:sz w:val="24"/>
          <w:szCs w:val="24"/>
        </w:rPr>
        <w:t xml:space="preserve">matter </w:t>
      </w:r>
      <w:r w:rsidR="00CF5FAD" w:rsidRPr="001D76B1">
        <w:rPr>
          <w:rFonts w:ascii="Times New Roman" w:hAnsi="Times New Roman" w:cs="Times New Roman"/>
          <w:i/>
          <w:iCs/>
          <w:sz w:val="24"/>
          <w:szCs w:val="24"/>
        </w:rPr>
        <w:t>supra</w:t>
      </w:r>
      <w:r w:rsidR="00CF5FAD" w:rsidRPr="001D76B1">
        <w:rPr>
          <w:rFonts w:ascii="Times New Roman" w:hAnsi="Times New Roman" w:cs="Times New Roman"/>
          <w:sz w:val="24"/>
          <w:szCs w:val="24"/>
        </w:rPr>
        <w:t>, the court defined a cause of action as</w:t>
      </w:r>
      <w:r w:rsidR="00CE07C9">
        <w:rPr>
          <w:rFonts w:ascii="Times New Roman" w:hAnsi="Times New Roman" w:cs="Times New Roman"/>
          <w:sz w:val="24"/>
          <w:szCs w:val="24"/>
        </w:rPr>
        <w:t>:</w:t>
      </w:r>
    </w:p>
    <w:p w14:paraId="233E27BC" w14:textId="0FBC0E5A" w:rsidR="00CF5FAD" w:rsidRDefault="00CF5FAD" w:rsidP="00A34398">
      <w:pPr>
        <w:spacing w:after="0" w:line="240" w:lineRule="auto"/>
        <w:ind w:left="600"/>
        <w:jc w:val="both"/>
        <w:rPr>
          <w:rFonts w:ascii="Times New Roman" w:hAnsi="Times New Roman" w:cs="Times New Roman"/>
        </w:rPr>
      </w:pPr>
      <w:r w:rsidRPr="00A34398">
        <w:rPr>
          <w:rFonts w:ascii="Times New Roman" w:hAnsi="Times New Roman" w:cs="Times New Roman"/>
        </w:rPr>
        <w:t>“…..</w:t>
      </w:r>
      <w:r w:rsidR="00F41D14" w:rsidRPr="00A34398">
        <w:rPr>
          <w:rFonts w:ascii="Times New Roman" w:hAnsi="Times New Roman" w:cs="Times New Roman"/>
        </w:rPr>
        <w:t>the entire set of facts which gives rise to an enforceable claim and includes every act which is material to be proved to entitle a plaintiff to succeed in his claim.”</w:t>
      </w:r>
    </w:p>
    <w:p w14:paraId="3C7F535C" w14:textId="77777777" w:rsidR="00CE07C9" w:rsidRPr="00A34398" w:rsidRDefault="00CE07C9" w:rsidP="00A34398">
      <w:pPr>
        <w:spacing w:after="0" w:line="240" w:lineRule="auto"/>
        <w:ind w:left="600"/>
        <w:jc w:val="both"/>
        <w:rPr>
          <w:rFonts w:ascii="Times New Roman" w:hAnsi="Times New Roman" w:cs="Times New Roman"/>
        </w:rPr>
      </w:pPr>
    </w:p>
    <w:p w14:paraId="2287241A" w14:textId="1848CBF0" w:rsidR="006A10AF" w:rsidRPr="001D76B1" w:rsidRDefault="00CF5FAD" w:rsidP="00A34398">
      <w:pPr>
        <w:spacing w:after="0" w:line="360" w:lineRule="auto"/>
        <w:ind w:firstLine="600"/>
        <w:jc w:val="both"/>
        <w:rPr>
          <w:rFonts w:ascii="Times New Roman" w:hAnsi="Times New Roman" w:cs="Times New Roman"/>
          <w:sz w:val="24"/>
          <w:szCs w:val="24"/>
        </w:rPr>
      </w:pPr>
      <w:r w:rsidRPr="001D76B1">
        <w:rPr>
          <w:rFonts w:ascii="Times New Roman" w:hAnsi="Times New Roman" w:cs="Times New Roman"/>
          <w:sz w:val="24"/>
          <w:szCs w:val="24"/>
        </w:rPr>
        <w:t xml:space="preserve">On a proper application of what constitutes a cause of action, the fact that the fourth defendant administered the </w:t>
      </w:r>
      <w:r w:rsidR="00F41D14" w:rsidRPr="001D76B1">
        <w:rPr>
          <w:rFonts w:ascii="Times New Roman" w:hAnsi="Times New Roman" w:cs="Times New Roman"/>
          <w:sz w:val="24"/>
          <w:szCs w:val="24"/>
        </w:rPr>
        <w:t>p</w:t>
      </w:r>
      <w:r w:rsidRPr="001D76B1">
        <w:rPr>
          <w:rFonts w:ascii="Times New Roman" w:hAnsi="Times New Roman" w:cs="Times New Roman"/>
          <w:sz w:val="24"/>
          <w:szCs w:val="24"/>
        </w:rPr>
        <w:t>laintiff’s pension up to maturity and pay out stage is enough to demand the participation of the fourth defendant in this matter. The plaintiff is not demanding any relief but an explanation from the fourth defendant which explanation cannot be tendered by th</w:t>
      </w:r>
      <w:r w:rsidR="006A10AF" w:rsidRPr="001D76B1">
        <w:rPr>
          <w:rFonts w:ascii="Times New Roman" w:hAnsi="Times New Roman" w:cs="Times New Roman"/>
          <w:sz w:val="24"/>
          <w:szCs w:val="24"/>
        </w:rPr>
        <w:t xml:space="preserve">e first, second or third defendant who hired the fourth defendant as an expert to administer the pension fund. Even if there is a misjoinder or non-joinder of a party to these proceedings, the court can still decide the matter as far as the issues affect them. See </w:t>
      </w:r>
      <w:r w:rsidR="00F41D14" w:rsidRPr="001D76B1">
        <w:rPr>
          <w:rFonts w:ascii="Times New Roman" w:hAnsi="Times New Roman" w:cs="Times New Roman"/>
          <w:sz w:val="24"/>
          <w:szCs w:val="24"/>
        </w:rPr>
        <w:t>r</w:t>
      </w:r>
      <w:r w:rsidR="006A10AF" w:rsidRPr="001D76B1">
        <w:rPr>
          <w:rFonts w:ascii="Times New Roman" w:hAnsi="Times New Roman" w:cs="Times New Roman"/>
          <w:sz w:val="24"/>
          <w:szCs w:val="24"/>
        </w:rPr>
        <w:t xml:space="preserve"> 32 (11) of the High Court Rules, 2021 which provides that</w:t>
      </w:r>
      <w:r w:rsidR="00F41D14" w:rsidRPr="001D76B1">
        <w:rPr>
          <w:rFonts w:ascii="Times New Roman" w:hAnsi="Times New Roman" w:cs="Times New Roman"/>
          <w:sz w:val="24"/>
          <w:szCs w:val="24"/>
        </w:rPr>
        <w:t>:</w:t>
      </w:r>
    </w:p>
    <w:p w14:paraId="0D996B2E" w14:textId="04607063" w:rsidR="00F41D14" w:rsidRDefault="006A10AF" w:rsidP="003112F1">
      <w:pPr>
        <w:spacing w:after="0" w:line="240" w:lineRule="auto"/>
        <w:ind w:left="420"/>
        <w:jc w:val="both"/>
        <w:rPr>
          <w:rFonts w:ascii="Times New Roman" w:hAnsi="Times New Roman" w:cs="Times New Roman"/>
        </w:rPr>
      </w:pPr>
      <w:r w:rsidRPr="001D76B1">
        <w:rPr>
          <w:rFonts w:ascii="Times New Roman" w:hAnsi="Times New Roman" w:cs="Times New Roman"/>
        </w:rPr>
        <w:t>“No cause or matter shall be defeated by reason of misjoinder or non-joinder of any party and the court may in any cause or matter determine the issues or questions in dispute so far as they affect the rights and interests of the persons who are parties to the cause or matter.</w:t>
      </w:r>
      <w:r w:rsidR="00057614" w:rsidRPr="001D76B1">
        <w:rPr>
          <w:rFonts w:ascii="Times New Roman" w:hAnsi="Times New Roman" w:cs="Times New Roman"/>
        </w:rPr>
        <w:t>”</w:t>
      </w:r>
    </w:p>
    <w:p w14:paraId="02C42E94" w14:textId="77777777" w:rsidR="003112F1" w:rsidRPr="001D76B1" w:rsidRDefault="003112F1" w:rsidP="003112F1">
      <w:pPr>
        <w:spacing w:after="0" w:line="240" w:lineRule="auto"/>
        <w:ind w:left="420"/>
        <w:jc w:val="both"/>
        <w:rPr>
          <w:rFonts w:ascii="Times New Roman" w:hAnsi="Times New Roman" w:cs="Times New Roman"/>
        </w:rPr>
      </w:pPr>
    </w:p>
    <w:p w14:paraId="2581FF61" w14:textId="77777777" w:rsidR="00DA56D4" w:rsidRPr="001D76B1" w:rsidRDefault="006A10AF" w:rsidP="00A34398">
      <w:pPr>
        <w:spacing w:after="0" w:line="360" w:lineRule="auto"/>
        <w:ind w:firstLine="720"/>
        <w:jc w:val="both"/>
        <w:rPr>
          <w:rFonts w:ascii="Times New Roman" w:hAnsi="Times New Roman" w:cs="Times New Roman"/>
          <w:sz w:val="24"/>
          <w:szCs w:val="24"/>
        </w:rPr>
      </w:pPr>
      <w:r w:rsidRPr="001D76B1">
        <w:rPr>
          <w:rFonts w:ascii="Times New Roman" w:hAnsi="Times New Roman" w:cs="Times New Roman"/>
          <w:sz w:val="24"/>
          <w:szCs w:val="24"/>
        </w:rPr>
        <w:t xml:space="preserve">This is not a proper case where an exception can be taken and be granted. The exception has no merit and I </w:t>
      </w:r>
      <w:r w:rsidR="00DA56D4" w:rsidRPr="001D76B1">
        <w:rPr>
          <w:rFonts w:ascii="Times New Roman" w:hAnsi="Times New Roman" w:cs="Times New Roman"/>
          <w:sz w:val="24"/>
          <w:szCs w:val="24"/>
        </w:rPr>
        <w:t>will dismiss it.</w:t>
      </w:r>
    </w:p>
    <w:p w14:paraId="072F0602" w14:textId="5DF4B476" w:rsidR="00DA56D4" w:rsidRPr="00CE07C9" w:rsidRDefault="00DA56D4" w:rsidP="00CE07C9">
      <w:pPr>
        <w:spacing w:line="360" w:lineRule="auto"/>
        <w:ind w:firstLine="720"/>
        <w:jc w:val="both"/>
        <w:rPr>
          <w:rFonts w:ascii="Times New Roman" w:hAnsi="Times New Roman" w:cs="Times New Roman"/>
          <w:b/>
          <w:bCs/>
          <w:sz w:val="24"/>
          <w:szCs w:val="24"/>
        </w:rPr>
      </w:pPr>
      <w:r w:rsidRPr="00CE07C9">
        <w:rPr>
          <w:rFonts w:ascii="Times New Roman" w:hAnsi="Times New Roman" w:cs="Times New Roman"/>
          <w:b/>
          <w:bCs/>
          <w:sz w:val="24"/>
          <w:szCs w:val="24"/>
        </w:rPr>
        <w:t>IT IS ORDERED THAT</w:t>
      </w:r>
      <w:r w:rsidR="00CE07C9">
        <w:rPr>
          <w:rFonts w:ascii="Times New Roman" w:hAnsi="Times New Roman" w:cs="Times New Roman"/>
          <w:b/>
          <w:bCs/>
          <w:sz w:val="24"/>
          <w:szCs w:val="24"/>
        </w:rPr>
        <w:t>:</w:t>
      </w:r>
    </w:p>
    <w:p w14:paraId="32061F11" w14:textId="0D2D93B3" w:rsidR="00DA56D4" w:rsidRPr="001D76B1" w:rsidRDefault="00DA56D4" w:rsidP="00A34398">
      <w:pPr>
        <w:pStyle w:val="ListParagraph"/>
        <w:numPr>
          <w:ilvl w:val="0"/>
          <w:numId w:val="1"/>
        </w:numPr>
        <w:spacing w:line="360" w:lineRule="auto"/>
        <w:jc w:val="both"/>
        <w:rPr>
          <w:rFonts w:ascii="Times New Roman" w:hAnsi="Times New Roman" w:cs="Times New Roman"/>
          <w:sz w:val="24"/>
          <w:szCs w:val="24"/>
        </w:rPr>
      </w:pPr>
      <w:r w:rsidRPr="001D76B1">
        <w:rPr>
          <w:rFonts w:ascii="Times New Roman" w:hAnsi="Times New Roman" w:cs="Times New Roman"/>
          <w:sz w:val="24"/>
          <w:szCs w:val="24"/>
        </w:rPr>
        <w:t xml:space="preserve">The exception by the </w:t>
      </w:r>
      <w:r w:rsidR="00D90B2A" w:rsidRPr="001D76B1">
        <w:rPr>
          <w:rFonts w:ascii="Times New Roman" w:hAnsi="Times New Roman" w:cs="Times New Roman"/>
          <w:sz w:val="24"/>
          <w:szCs w:val="24"/>
        </w:rPr>
        <w:t>fourth d</w:t>
      </w:r>
      <w:r w:rsidRPr="001D76B1">
        <w:rPr>
          <w:rFonts w:ascii="Times New Roman" w:hAnsi="Times New Roman" w:cs="Times New Roman"/>
          <w:sz w:val="24"/>
          <w:szCs w:val="24"/>
        </w:rPr>
        <w:t>efendant be and is hereby dismissed.</w:t>
      </w:r>
    </w:p>
    <w:p w14:paraId="2FE2ACB0" w14:textId="77777777" w:rsidR="00DA56D4" w:rsidRPr="001D76B1" w:rsidRDefault="00DA56D4" w:rsidP="00A34398">
      <w:pPr>
        <w:pStyle w:val="ListParagraph"/>
        <w:numPr>
          <w:ilvl w:val="0"/>
          <w:numId w:val="1"/>
        </w:numPr>
        <w:spacing w:line="360" w:lineRule="auto"/>
        <w:jc w:val="both"/>
        <w:rPr>
          <w:rFonts w:ascii="Times New Roman" w:hAnsi="Times New Roman" w:cs="Times New Roman"/>
          <w:sz w:val="24"/>
          <w:szCs w:val="24"/>
        </w:rPr>
      </w:pPr>
      <w:r w:rsidRPr="001D76B1">
        <w:rPr>
          <w:rFonts w:ascii="Times New Roman" w:hAnsi="Times New Roman" w:cs="Times New Roman"/>
          <w:sz w:val="24"/>
          <w:szCs w:val="24"/>
        </w:rPr>
        <w:t>The costs are in the cause.</w:t>
      </w:r>
    </w:p>
    <w:p w14:paraId="2607A9CA" w14:textId="77777777" w:rsidR="00DA56D4" w:rsidRPr="001D76B1" w:rsidRDefault="00DA56D4" w:rsidP="00D90B2A">
      <w:pPr>
        <w:jc w:val="both"/>
        <w:rPr>
          <w:rFonts w:ascii="Times New Roman" w:hAnsi="Times New Roman" w:cs="Times New Roman"/>
          <w:sz w:val="24"/>
          <w:szCs w:val="24"/>
        </w:rPr>
      </w:pPr>
    </w:p>
    <w:p w14:paraId="76E5F439" w14:textId="77777777" w:rsidR="00D90B2A" w:rsidRPr="001D76B1" w:rsidRDefault="00D90B2A" w:rsidP="00D90B2A">
      <w:pPr>
        <w:jc w:val="both"/>
        <w:rPr>
          <w:rFonts w:ascii="Times New Roman" w:hAnsi="Times New Roman" w:cs="Times New Roman"/>
          <w:sz w:val="24"/>
          <w:szCs w:val="24"/>
        </w:rPr>
      </w:pPr>
    </w:p>
    <w:p w14:paraId="798D029C" w14:textId="3B5E79F3" w:rsidR="00DA56D4" w:rsidRPr="001D76B1" w:rsidRDefault="00DA56D4" w:rsidP="00D90B2A">
      <w:pPr>
        <w:pStyle w:val="NoSpacing"/>
        <w:jc w:val="both"/>
        <w:rPr>
          <w:rFonts w:ascii="Times New Roman" w:hAnsi="Times New Roman" w:cs="Times New Roman"/>
          <w:sz w:val="24"/>
          <w:szCs w:val="24"/>
        </w:rPr>
      </w:pPr>
      <w:r w:rsidRPr="001D76B1">
        <w:rPr>
          <w:rFonts w:ascii="Times New Roman" w:hAnsi="Times New Roman" w:cs="Times New Roman"/>
          <w:i/>
          <w:iCs/>
          <w:sz w:val="24"/>
          <w:szCs w:val="24"/>
        </w:rPr>
        <w:t xml:space="preserve">J Mambara &amp; </w:t>
      </w:r>
      <w:r w:rsidR="00D90B2A" w:rsidRPr="001D76B1">
        <w:rPr>
          <w:rFonts w:ascii="Times New Roman" w:hAnsi="Times New Roman" w:cs="Times New Roman"/>
          <w:i/>
          <w:iCs/>
          <w:sz w:val="24"/>
          <w:szCs w:val="24"/>
        </w:rPr>
        <w:t>P</w:t>
      </w:r>
      <w:r w:rsidRPr="001D76B1">
        <w:rPr>
          <w:rFonts w:ascii="Times New Roman" w:hAnsi="Times New Roman" w:cs="Times New Roman"/>
          <w:i/>
          <w:iCs/>
          <w:sz w:val="24"/>
          <w:szCs w:val="24"/>
        </w:rPr>
        <w:t>artners</w:t>
      </w:r>
      <w:r w:rsidRPr="001D76B1">
        <w:rPr>
          <w:rFonts w:ascii="Times New Roman" w:hAnsi="Times New Roman" w:cs="Times New Roman"/>
          <w:sz w:val="24"/>
          <w:szCs w:val="24"/>
        </w:rPr>
        <w:t>, plaintiff’s legal practitioners</w:t>
      </w:r>
    </w:p>
    <w:p w14:paraId="31AA200C" w14:textId="55F2475C" w:rsidR="00177E35" w:rsidRPr="00D90B2A" w:rsidRDefault="00DA56D4" w:rsidP="00D90B2A">
      <w:pPr>
        <w:pStyle w:val="NoSpacing"/>
        <w:jc w:val="both"/>
        <w:rPr>
          <w:rFonts w:ascii="Sylfaen" w:hAnsi="Sylfaen"/>
          <w:sz w:val="24"/>
          <w:szCs w:val="24"/>
        </w:rPr>
      </w:pPr>
      <w:r w:rsidRPr="001D76B1">
        <w:rPr>
          <w:rFonts w:ascii="Times New Roman" w:hAnsi="Times New Roman" w:cs="Times New Roman"/>
          <w:i/>
          <w:iCs/>
          <w:sz w:val="24"/>
          <w:szCs w:val="24"/>
        </w:rPr>
        <w:t xml:space="preserve">Gill, Godlonton </w:t>
      </w:r>
      <w:r w:rsidR="00F41D14" w:rsidRPr="001D76B1">
        <w:rPr>
          <w:rFonts w:ascii="Times New Roman" w:hAnsi="Times New Roman" w:cs="Times New Roman"/>
          <w:i/>
          <w:iCs/>
          <w:sz w:val="24"/>
          <w:szCs w:val="24"/>
        </w:rPr>
        <w:t>&amp;</w:t>
      </w:r>
      <w:r w:rsidRPr="001D76B1">
        <w:rPr>
          <w:rFonts w:ascii="Times New Roman" w:hAnsi="Times New Roman" w:cs="Times New Roman"/>
          <w:i/>
          <w:iCs/>
          <w:sz w:val="24"/>
          <w:szCs w:val="24"/>
        </w:rPr>
        <w:t xml:space="preserve"> Gerrans</w:t>
      </w:r>
      <w:r w:rsidRPr="001D76B1">
        <w:rPr>
          <w:rFonts w:ascii="Times New Roman" w:hAnsi="Times New Roman" w:cs="Times New Roman"/>
          <w:sz w:val="24"/>
          <w:szCs w:val="24"/>
        </w:rPr>
        <w:t xml:space="preserve">, </w:t>
      </w:r>
      <w:r w:rsidR="00D90B2A" w:rsidRPr="001D76B1">
        <w:rPr>
          <w:rFonts w:ascii="Times New Roman" w:hAnsi="Times New Roman" w:cs="Times New Roman"/>
          <w:sz w:val="24"/>
          <w:szCs w:val="24"/>
        </w:rPr>
        <w:t xml:space="preserve">fourth </w:t>
      </w:r>
      <w:r w:rsidRPr="001D76B1">
        <w:rPr>
          <w:rFonts w:ascii="Times New Roman" w:hAnsi="Times New Roman" w:cs="Times New Roman"/>
          <w:sz w:val="24"/>
          <w:szCs w:val="24"/>
        </w:rPr>
        <w:t>defendant’s legal practitioners</w:t>
      </w:r>
      <w:r w:rsidR="006A10AF" w:rsidRPr="00D90B2A">
        <w:rPr>
          <w:rFonts w:ascii="Sylfaen" w:hAnsi="Sylfaen"/>
          <w:sz w:val="24"/>
          <w:szCs w:val="24"/>
        </w:rPr>
        <w:t xml:space="preserve"> </w:t>
      </w:r>
      <w:r w:rsidR="00CF5FAD" w:rsidRPr="00D90B2A">
        <w:rPr>
          <w:rFonts w:ascii="Sylfaen" w:hAnsi="Sylfaen"/>
          <w:sz w:val="24"/>
          <w:szCs w:val="24"/>
        </w:rPr>
        <w:t xml:space="preserve">  </w:t>
      </w:r>
      <w:r w:rsidR="0028526F" w:rsidRPr="00D90B2A">
        <w:rPr>
          <w:rFonts w:ascii="Sylfaen" w:hAnsi="Sylfaen"/>
          <w:sz w:val="24"/>
          <w:szCs w:val="24"/>
        </w:rPr>
        <w:t xml:space="preserve"> </w:t>
      </w:r>
      <w:r w:rsidR="00600857" w:rsidRPr="00D90B2A">
        <w:rPr>
          <w:rFonts w:ascii="Sylfaen" w:hAnsi="Sylfaen"/>
          <w:sz w:val="24"/>
          <w:szCs w:val="24"/>
        </w:rPr>
        <w:t xml:space="preserve">  </w:t>
      </w:r>
      <w:r w:rsidR="00B64483" w:rsidRPr="00D90B2A">
        <w:rPr>
          <w:rFonts w:ascii="Sylfaen" w:hAnsi="Sylfaen"/>
          <w:sz w:val="24"/>
          <w:szCs w:val="24"/>
        </w:rPr>
        <w:t xml:space="preserve"> </w:t>
      </w:r>
      <w:r w:rsidR="00455959" w:rsidRPr="00D90B2A">
        <w:rPr>
          <w:rFonts w:ascii="Sylfaen" w:hAnsi="Sylfaen"/>
          <w:sz w:val="24"/>
          <w:szCs w:val="24"/>
        </w:rPr>
        <w:t xml:space="preserve"> </w:t>
      </w:r>
      <w:r w:rsidR="00A4331B" w:rsidRPr="00D90B2A">
        <w:rPr>
          <w:rFonts w:ascii="Sylfaen" w:hAnsi="Sylfaen"/>
          <w:sz w:val="24"/>
          <w:szCs w:val="24"/>
        </w:rPr>
        <w:t xml:space="preserve"> </w:t>
      </w:r>
      <w:r w:rsidR="000122B3" w:rsidRPr="00D90B2A">
        <w:rPr>
          <w:rFonts w:ascii="Sylfaen" w:hAnsi="Sylfaen"/>
          <w:sz w:val="24"/>
          <w:szCs w:val="24"/>
        </w:rPr>
        <w:t xml:space="preserve">  </w:t>
      </w:r>
      <w:r w:rsidR="00AA3A21" w:rsidRPr="00D90B2A">
        <w:rPr>
          <w:rFonts w:ascii="Sylfaen" w:hAnsi="Sylfaen"/>
          <w:sz w:val="24"/>
          <w:szCs w:val="24"/>
        </w:rPr>
        <w:t xml:space="preserve"> </w:t>
      </w:r>
    </w:p>
    <w:p w14:paraId="71561427" w14:textId="77777777" w:rsidR="00A34398" w:rsidRPr="00D90B2A" w:rsidRDefault="00A34398">
      <w:pPr>
        <w:pStyle w:val="NoSpacing"/>
        <w:jc w:val="both"/>
        <w:rPr>
          <w:rFonts w:ascii="Sylfaen" w:hAnsi="Sylfaen"/>
          <w:sz w:val="24"/>
          <w:szCs w:val="24"/>
        </w:rPr>
      </w:pPr>
    </w:p>
    <w:sectPr w:rsidR="00A34398" w:rsidRPr="00D90B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FC167" w14:textId="77777777" w:rsidR="006F4C53" w:rsidRDefault="006F4C53" w:rsidP="001D76B1">
      <w:pPr>
        <w:spacing w:after="0" w:line="240" w:lineRule="auto"/>
      </w:pPr>
      <w:r>
        <w:separator/>
      </w:r>
    </w:p>
  </w:endnote>
  <w:endnote w:type="continuationSeparator" w:id="0">
    <w:p w14:paraId="3B09D74E" w14:textId="77777777" w:rsidR="006F4C53" w:rsidRDefault="006F4C53" w:rsidP="001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DBC2" w14:textId="77777777" w:rsidR="006F4C53" w:rsidRDefault="006F4C53" w:rsidP="001D76B1">
      <w:pPr>
        <w:spacing w:after="0" w:line="240" w:lineRule="auto"/>
      </w:pPr>
      <w:r>
        <w:separator/>
      </w:r>
    </w:p>
  </w:footnote>
  <w:footnote w:type="continuationSeparator" w:id="0">
    <w:p w14:paraId="754180DD" w14:textId="77777777" w:rsidR="006F4C53" w:rsidRDefault="006F4C53" w:rsidP="001D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933817"/>
      <w:docPartObj>
        <w:docPartGallery w:val="Page Numbers (Top of Page)"/>
        <w:docPartUnique/>
      </w:docPartObj>
    </w:sdtPr>
    <w:sdtEndPr>
      <w:rPr>
        <w:noProof/>
      </w:rPr>
    </w:sdtEndPr>
    <w:sdtContent>
      <w:p w14:paraId="1D1B969E" w14:textId="70138818" w:rsidR="001D76B1" w:rsidRDefault="001D76B1">
        <w:pPr>
          <w:pStyle w:val="Header"/>
          <w:jc w:val="right"/>
          <w:rPr>
            <w:noProof/>
          </w:rPr>
        </w:pPr>
        <w:r>
          <w:fldChar w:fldCharType="begin"/>
        </w:r>
        <w:r>
          <w:instrText xml:space="preserve"> PAGE   \* MERGEFORMAT </w:instrText>
        </w:r>
        <w:r>
          <w:fldChar w:fldCharType="separate"/>
        </w:r>
        <w:r w:rsidR="00773A0E">
          <w:rPr>
            <w:noProof/>
          </w:rPr>
          <w:t>1</w:t>
        </w:r>
        <w:r>
          <w:rPr>
            <w:noProof/>
          </w:rPr>
          <w:fldChar w:fldCharType="end"/>
        </w:r>
      </w:p>
      <w:p w14:paraId="0D0A4E21" w14:textId="771E84BE" w:rsidR="001D76B1" w:rsidRDefault="001D76B1">
        <w:pPr>
          <w:pStyle w:val="Header"/>
          <w:jc w:val="right"/>
          <w:rPr>
            <w:noProof/>
          </w:rPr>
        </w:pPr>
        <w:r>
          <w:rPr>
            <w:noProof/>
          </w:rPr>
          <w:t xml:space="preserve">HH </w:t>
        </w:r>
        <w:r w:rsidR="00C32D39">
          <w:rPr>
            <w:noProof/>
          </w:rPr>
          <w:t>642</w:t>
        </w:r>
        <w:r>
          <w:rPr>
            <w:noProof/>
          </w:rPr>
          <w:t>-22</w:t>
        </w:r>
      </w:p>
      <w:p w14:paraId="0F398AB1" w14:textId="4707E7CB" w:rsidR="001D76B1" w:rsidRDefault="001D76B1">
        <w:pPr>
          <w:pStyle w:val="Header"/>
          <w:jc w:val="right"/>
        </w:pPr>
        <w:r>
          <w:rPr>
            <w:noProof/>
          </w:rPr>
          <w:t>HC 668/22</w:t>
        </w:r>
      </w:p>
    </w:sdtContent>
  </w:sdt>
  <w:p w14:paraId="57F62EA0" w14:textId="77777777" w:rsidR="001D76B1" w:rsidRDefault="001D76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B35C3"/>
    <w:multiLevelType w:val="hybridMultilevel"/>
    <w:tmpl w:val="D196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35"/>
    <w:rsid w:val="000122B3"/>
    <w:rsid w:val="0001389C"/>
    <w:rsid w:val="00057614"/>
    <w:rsid w:val="000F5C36"/>
    <w:rsid w:val="00106ECC"/>
    <w:rsid w:val="00177E35"/>
    <w:rsid w:val="001D76B1"/>
    <w:rsid w:val="0028526F"/>
    <w:rsid w:val="003112F1"/>
    <w:rsid w:val="003F677D"/>
    <w:rsid w:val="00455959"/>
    <w:rsid w:val="004625AF"/>
    <w:rsid w:val="00600857"/>
    <w:rsid w:val="006344DF"/>
    <w:rsid w:val="006A10AF"/>
    <w:rsid w:val="006F4C53"/>
    <w:rsid w:val="00773A0E"/>
    <w:rsid w:val="009466AB"/>
    <w:rsid w:val="009B66D9"/>
    <w:rsid w:val="00A34398"/>
    <w:rsid w:val="00A374E2"/>
    <w:rsid w:val="00A4331B"/>
    <w:rsid w:val="00A87E8D"/>
    <w:rsid w:val="00AA3A21"/>
    <w:rsid w:val="00B64483"/>
    <w:rsid w:val="00C32D39"/>
    <w:rsid w:val="00C77AB8"/>
    <w:rsid w:val="00CB169B"/>
    <w:rsid w:val="00CE07C9"/>
    <w:rsid w:val="00CF5FAD"/>
    <w:rsid w:val="00D90B2A"/>
    <w:rsid w:val="00DA56D4"/>
    <w:rsid w:val="00F41D14"/>
    <w:rsid w:val="00F7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59135"/>
  <w15:chartTrackingRefBased/>
  <w15:docId w15:val="{E8BBAC26-633D-4092-AEC8-AF30A9D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E35"/>
    <w:pPr>
      <w:spacing w:after="0" w:line="240" w:lineRule="auto"/>
    </w:pPr>
  </w:style>
  <w:style w:type="paragraph" w:styleId="ListParagraph">
    <w:name w:val="List Paragraph"/>
    <w:basedOn w:val="Normal"/>
    <w:uiPriority w:val="34"/>
    <w:qFormat/>
    <w:rsid w:val="00DA56D4"/>
    <w:pPr>
      <w:ind w:left="720"/>
      <w:contextualSpacing/>
    </w:pPr>
  </w:style>
  <w:style w:type="paragraph" w:styleId="Header">
    <w:name w:val="header"/>
    <w:basedOn w:val="Normal"/>
    <w:link w:val="HeaderChar"/>
    <w:uiPriority w:val="99"/>
    <w:unhideWhenUsed/>
    <w:rsid w:val="001D7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6B1"/>
  </w:style>
  <w:style w:type="paragraph" w:styleId="Footer">
    <w:name w:val="footer"/>
    <w:basedOn w:val="Normal"/>
    <w:link w:val="FooterChar"/>
    <w:uiPriority w:val="99"/>
    <w:unhideWhenUsed/>
    <w:rsid w:val="001D7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2022-09-23T07:59:00Z</dcterms:created>
  <dcterms:modified xsi:type="dcterms:W3CDTF">2022-09-23T07:59:00Z</dcterms:modified>
</cp:coreProperties>
</file>