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A7" w:rsidRP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6B1A">
        <w:rPr>
          <w:rFonts w:ascii="Times New Roman" w:hAnsi="Times New Roman" w:cs="Times New Roman"/>
          <w:sz w:val="24"/>
          <w:szCs w:val="24"/>
        </w:rPr>
        <w:t>SYLVESTER EMEKA</w:t>
      </w:r>
    </w:p>
    <w:p w:rsidR="00D96B1A" w:rsidRP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D96B1A">
        <w:rPr>
          <w:rFonts w:ascii="Times New Roman" w:hAnsi="Times New Roman" w:cs="Times New Roman"/>
          <w:sz w:val="24"/>
          <w:szCs w:val="24"/>
        </w:rPr>
        <w:t>ersus</w:t>
      </w:r>
      <w:proofErr w:type="gramEnd"/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1A">
        <w:rPr>
          <w:rFonts w:ascii="Times New Roman" w:hAnsi="Times New Roman" w:cs="Times New Roman"/>
          <w:sz w:val="24"/>
          <w:szCs w:val="24"/>
        </w:rPr>
        <w:t>SABUN PAUL</w:t>
      </w: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P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1A">
        <w:rPr>
          <w:rFonts w:ascii="Times New Roman" w:hAnsi="Times New Roman" w:cs="Times New Roman"/>
          <w:sz w:val="24"/>
          <w:szCs w:val="24"/>
        </w:rPr>
        <w:t>HIGH COURT OF ZIMBABWE</w:t>
      </w:r>
    </w:p>
    <w:p w:rsidR="00D96B1A" w:rsidRP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1A">
        <w:rPr>
          <w:rFonts w:ascii="Times New Roman" w:hAnsi="Times New Roman" w:cs="Times New Roman"/>
          <w:sz w:val="24"/>
          <w:szCs w:val="24"/>
        </w:rPr>
        <w:t>MAKONI</w:t>
      </w:r>
      <w:r w:rsidR="008B17E2">
        <w:rPr>
          <w:rFonts w:ascii="Times New Roman" w:hAnsi="Times New Roman" w:cs="Times New Roman"/>
          <w:sz w:val="24"/>
          <w:szCs w:val="24"/>
        </w:rPr>
        <w:t xml:space="preserve"> &amp; MWAYERA J</w:t>
      </w:r>
      <w:r w:rsidRPr="00D96B1A">
        <w:rPr>
          <w:rFonts w:ascii="Times New Roman" w:hAnsi="Times New Roman" w:cs="Times New Roman"/>
          <w:sz w:val="24"/>
          <w:szCs w:val="24"/>
        </w:rPr>
        <w:t>J</w:t>
      </w: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1A">
        <w:rPr>
          <w:rFonts w:ascii="Times New Roman" w:hAnsi="Times New Roman" w:cs="Times New Roman"/>
          <w:sz w:val="24"/>
          <w:szCs w:val="24"/>
        </w:rPr>
        <w:t>HARARE,</w:t>
      </w:r>
      <w:r w:rsidR="00F548BC">
        <w:rPr>
          <w:rFonts w:ascii="Times New Roman" w:hAnsi="Times New Roman" w:cs="Times New Roman"/>
          <w:sz w:val="24"/>
          <w:szCs w:val="24"/>
        </w:rPr>
        <w:t xml:space="preserve"> 24 November 2015</w:t>
      </w: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P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2A7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D96B1A">
        <w:rPr>
          <w:rFonts w:ascii="Times New Roman" w:hAnsi="Times New Roman" w:cs="Times New Roman"/>
          <w:b/>
          <w:sz w:val="24"/>
          <w:szCs w:val="24"/>
        </w:rPr>
        <w:t xml:space="preserve">ivil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96B1A">
        <w:rPr>
          <w:rFonts w:ascii="Times New Roman" w:hAnsi="Times New Roman" w:cs="Times New Roman"/>
          <w:b/>
          <w:sz w:val="24"/>
          <w:szCs w:val="24"/>
        </w:rPr>
        <w:t>ppeal</w:t>
      </w: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1A" w:rsidRDefault="00D96B1A" w:rsidP="00D9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2A7" w:rsidRPr="00D96B1A" w:rsidRDefault="00D95EB9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D96B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077E" w:rsidRPr="00D96B1A">
        <w:rPr>
          <w:rFonts w:ascii="Times New Roman" w:hAnsi="Times New Roman" w:cs="Times New Roman"/>
          <w:i/>
          <w:sz w:val="24"/>
          <w:szCs w:val="24"/>
        </w:rPr>
        <w:t>Chikono</w:t>
      </w:r>
      <w:proofErr w:type="spellEnd"/>
      <w:r w:rsidR="0040077E" w:rsidRPr="00D96B1A">
        <w:rPr>
          <w:rFonts w:ascii="Times New Roman" w:hAnsi="Times New Roman" w:cs="Times New Roman"/>
          <w:i/>
          <w:sz w:val="24"/>
          <w:szCs w:val="24"/>
        </w:rPr>
        <w:t>,</w:t>
      </w:r>
      <w:r w:rsidR="0040077E" w:rsidRPr="00D96B1A">
        <w:rPr>
          <w:rFonts w:ascii="Times New Roman" w:hAnsi="Times New Roman" w:cs="Times New Roman"/>
          <w:sz w:val="24"/>
          <w:szCs w:val="24"/>
        </w:rPr>
        <w:t xml:space="preserve"> for the </w:t>
      </w:r>
      <w:r w:rsidR="00D96B1A">
        <w:rPr>
          <w:rFonts w:ascii="Times New Roman" w:hAnsi="Times New Roman" w:cs="Times New Roman"/>
          <w:sz w:val="24"/>
          <w:szCs w:val="24"/>
        </w:rPr>
        <w:t>a</w:t>
      </w:r>
      <w:r w:rsidR="0040077E" w:rsidRPr="00D96B1A">
        <w:rPr>
          <w:rFonts w:ascii="Times New Roman" w:hAnsi="Times New Roman" w:cs="Times New Roman"/>
          <w:sz w:val="24"/>
          <w:szCs w:val="24"/>
        </w:rPr>
        <w:t>ppellant</w:t>
      </w:r>
    </w:p>
    <w:p w:rsidR="0040077E" w:rsidRPr="00D96B1A" w:rsidRDefault="0040077E" w:rsidP="00D9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1A">
        <w:rPr>
          <w:rFonts w:ascii="Times New Roman" w:hAnsi="Times New Roman" w:cs="Times New Roman"/>
          <w:sz w:val="24"/>
          <w:szCs w:val="24"/>
        </w:rPr>
        <w:t>Miss</w:t>
      </w:r>
      <w:r w:rsidR="00D95EB9">
        <w:rPr>
          <w:rFonts w:ascii="Times New Roman" w:hAnsi="Times New Roman" w:cs="Times New Roman"/>
          <w:i/>
          <w:sz w:val="24"/>
          <w:szCs w:val="24"/>
        </w:rPr>
        <w:t xml:space="preserve"> W </w:t>
      </w:r>
      <w:proofErr w:type="spellStart"/>
      <w:r w:rsidRPr="00D96B1A">
        <w:rPr>
          <w:rFonts w:ascii="Times New Roman" w:hAnsi="Times New Roman" w:cs="Times New Roman"/>
          <w:i/>
          <w:sz w:val="24"/>
          <w:szCs w:val="24"/>
        </w:rPr>
        <w:t>Nyakudanga</w:t>
      </w:r>
      <w:proofErr w:type="spellEnd"/>
      <w:r w:rsidRPr="00D96B1A">
        <w:rPr>
          <w:rFonts w:ascii="Times New Roman" w:hAnsi="Times New Roman" w:cs="Times New Roman"/>
          <w:i/>
          <w:sz w:val="24"/>
          <w:szCs w:val="24"/>
        </w:rPr>
        <w:t>,</w:t>
      </w:r>
      <w:r w:rsidRPr="00D96B1A">
        <w:rPr>
          <w:rFonts w:ascii="Times New Roman" w:hAnsi="Times New Roman" w:cs="Times New Roman"/>
          <w:sz w:val="24"/>
          <w:szCs w:val="24"/>
        </w:rPr>
        <w:t xml:space="preserve"> for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 w:rsidRPr="00D96B1A">
        <w:rPr>
          <w:rFonts w:ascii="Times New Roman" w:hAnsi="Times New Roman" w:cs="Times New Roman"/>
          <w:sz w:val="24"/>
          <w:szCs w:val="24"/>
        </w:rPr>
        <w:t>espondent</w:t>
      </w:r>
    </w:p>
    <w:p w:rsidR="00BA02A7" w:rsidRDefault="00BA02A7" w:rsidP="00BA02A7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779" w:rsidRDefault="00BA02A7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779">
        <w:rPr>
          <w:rFonts w:ascii="Times New Roman" w:hAnsi="Times New Roman" w:cs="Times New Roman"/>
          <w:sz w:val="24"/>
          <w:szCs w:val="24"/>
        </w:rPr>
        <w:t>MAKONI J:</w:t>
      </w:r>
      <w:r w:rsidRPr="00BA02A7">
        <w:rPr>
          <w:rFonts w:ascii="Times New Roman" w:hAnsi="Times New Roman" w:cs="Times New Roman"/>
          <w:sz w:val="24"/>
          <w:szCs w:val="24"/>
        </w:rPr>
        <w:t xml:space="preserve"> </w:t>
      </w:r>
      <w:r w:rsidR="006B5008">
        <w:rPr>
          <w:rFonts w:ascii="Times New Roman" w:hAnsi="Times New Roman" w:cs="Times New Roman"/>
          <w:sz w:val="24"/>
          <w:szCs w:val="24"/>
        </w:rPr>
        <w:t>At the conclusion of the hearing of this matter, the court gave an</w:t>
      </w:r>
      <w:r w:rsidR="00662B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5008">
        <w:rPr>
          <w:rFonts w:ascii="Times New Roman" w:hAnsi="Times New Roman" w:cs="Times New Roman"/>
          <w:sz w:val="24"/>
          <w:szCs w:val="24"/>
        </w:rPr>
        <w:t xml:space="preserve">ex-tempore judgment. The respondent’s legal practitioner has requested for written reasons. These are they. </w:t>
      </w:r>
    </w:p>
    <w:p w:rsidR="00E348CA" w:rsidRDefault="00BA02A7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appeal from the judgment by the Magistrates Court sitting at Harare delivered on </w:t>
      </w:r>
      <w:r w:rsidR="00D96B1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July 2015 granting an eviction order for the </w:t>
      </w:r>
      <w:r w:rsidR="006B5008">
        <w:rPr>
          <w:rFonts w:ascii="Times New Roman" w:hAnsi="Times New Roman" w:cs="Times New Roman"/>
          <w:sz w:val="24"/>
          <w:szCs w:val="24"/>
        </w:rPr>
        <w:t>respondent as</w:t>
      </w:r>
      <w:r>
        <w:rPr>
          <w:rFonts w:ascii="Times New Roman" w:hAnsi="Times New Roman" w:cs="Times New Roman"/>
          <w:sz w:val="24"/>
          <w:szCs w:val="24"/>
        </w:rPr>
        <w:t xml:space="preserve"> against the </w:t>
      </w:r>
      <w:r w:rsidR="00E348CA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6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appellant noted an appeal to this court and the gro</w:t>
      </w:r>
      <w:r w:rsidR="00D96B1A">
        <w:rPr>
          <w:rFonts w:ascii="Times New Roman" w:hAnsi="Times New Roman" w:cs="Times New Roman"/>
          <w:sz w:val="24"/>
          <w:szCs w:val="24"/>
        </w:rPr>
        <w:t xml:space="preserve">unds of appeal </w:t>
      </w:r>
      <w:r w:rsidR="001C2681">
        <w:rPr>
          <w:rFonts w:ascii="Times New Roman" w:hAnsi="Times New Roman" w:cs="Times New Roman"/>
          <w:sz w:val="24"/>
          <w:szCs w:val="24"/>
        </w:rPr>
        <w:t>are as follows:</w:t>
      </w:r>
    </w:p>
    <w:p w:rsid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</w:t>
      </w:r>
      <w:r w:rsidRPr="001C2681">
        <w:rPr>
          <w:rFonts w:ascii="Times New Roman" w:hAnsi="Times New Roman" w:cs="Times New Roman"/>
        </w:rPr>
        <w:t>1.</w:t>
      </w:r>
      <w:r w:rsidRPr="001C2681">
        <w:rPr>
          <w:rFonts w:ascii="Times New Roman" w:hAnsi="Times New Roman" w:cs="Times New Roman"/>
        </w:rPr>
        <w:tab/>
        <w:t xml:space="preserve">The Learned Magistrate erred in failing to appreciate that the parties occupy two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different shops and that at the time, 1</w:t>
      </w:r>
      <w:r w:rsidRPr="001C2681">
        <w:rPr>
          <w:rFonts w:ascii="Times New Roman" w:hAnsi="Times New Roman" w:cs="Times New Roman"/>
          <w:vertAlign w:val="superscript"/>
        </w:rPr>
        <w:t>st</w:t>
      </w:r>
      <w:r w:rsidRPr="001C2681">
        <w:rPr>
          <w:rFonts w:ascii="Times New Roman" w:hAnsi="Times New Roman" w:cs="Times New Roman"/>
        </w:rPr>
        <w:t xml:space="preserve"> October 2012. The respondent took over the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shop he is renting the appellant was already in his shop and dealing in different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products those of the Respondent</w:t>
      </w:r>
    </w:p>
    <w:p w:rsidR="001C2681" w:rsidRP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</w:p>
    <w:p w:rsid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2.</w:t>
      </w:r>
      <w:r w:rsidRPr="001C2681">
        <w:rPr>
          <w:rFonts w:ascii="Times New Roman" w:hAnsi="Times New Roman" w:cs="Times New Roman"/>
        </w:rPr>
        <w:tab/>
        <w:t xml:space="preserve">The Learned Magistrate failed to appreciate that the produced lease agreement did not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specify the size of the space granted or given to the respondent such that there was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need to call either the landlord or the former occupant to clarify. Thus failure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respondent to invite such evidence meant that he failed to discharge the onus upon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him.</w:t>
      </w:r>
    </w:p>
    <w:p w:rsidR="001C2681" w:rsidRP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</w:p>
    <w:p w:rsid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3.</w:t>
      </w:r>
      <w:r w:rsidRPr="001C2681">
        <w:rPr>
          <w:rFonts w:ascii="Times New Roman" w:hAnsi="Times New Roman" w:cs="Times New Roman"/>
        </w:rPr>
        <w:tab/>
        <w:t xml:space="preserve">The court </w:t>
      </w:r>
      <w:proofErr w:type="spellStart"/>
      <w:r w:rsidRPr="001C2681">
        <w:rPr>
          <w:rFonts w:ascii="Times New Roman" w:hAnsi="Times New Roman" w:cs="Times New Roman"/>
          <w:i/>
        </w:rPr>
        <w:t>aquo</w:t>
      </w:r>
      <w:proofErr w:type="spellEnd"/>
      <w:r w:rsidRPr="001C2681">
        <w:rPr>
          <w:rFonts w:ascii="Times New Roman" w:hAnsi="Times New Roman" w:cs="Times New Roman"/>
        </w:rPr>
        <w:t xml:space="preserve"> failed to appreciate that there was no arrears for the period stated in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the summons showing that he plaintiff/respondent was not credible and that appellant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through a page of a book he produced showed that for the period he was paying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 xml:space="preserve">attention he stated that he was not paying to respondent but was simply giving him to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pass on to the landlord.</w:t>
      </w:r>
    </w:p>
    <w:p w:rsidR="001C2681" w:rsidRP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</w:p>
    <w:p w:rsid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4.</w:t>
      </w:r>
      <w:r w:rsidRPr="001C2681">
        <w:rPr>
          <w:rFonts w:ascii="Times New Roman" w:hAnsi="Times New Roman" w:cs="Times New Roman"/>
        </w:rPr>
        <w:tab/>
        <w:t xml:space="preserve">The court </w:t>
      </w:r>
      <w:proofErr w:type="spellStart"/>
      <w:r w:rsidRPr="001C2681">
        <w:rPr>
          <w:rFonts w:ascii="Times New Roman" w:hAnsi="Times New Roman" w:cs="Times New Roman"/>
          <w:i/>
        </w:rPr>
        <w:t>aquo</w:t>
      </w:r>
      <w:proofErr w:type="spellEnd"/>
      <w:r w:rsidRPr="001C2681">
        <w:rPr>
          <w:rFonts w:ascii="Times New Roman" w:hAnsi="Times New Roman" w:cs="Times New Roman"/>
        </w:rPr>
        <w:t xml:space="preserve"> erred in its conclusion that respondent is the appellant’s evidence yet </w:t>
      </w:r>
      <w:r w:rsidRPr="001C2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2681">
        <w:rPr>
          <w:rFonts w:ascii="Times New Roman" w:hAnsi="Times New Roman" w:cs="Times New Roman"/>
        </w:rPr>
        <w:t>there is no evidence to support that”.</w:t>
      </w:r>
    </w:p>
    <w:p w:rsidR="001C2681" w:rsidRPr="001C2681" w:rsidRDefault="001C2681" w:rsidP="001C2681">
      <w:pPr>
        <w:spacing w:after="0" w:line="240" w:lineRule="auto"/>
        <w:ind w:firstLine="86"/>
        <w:jc w:val="both"/>
        <w:rPr>
          <w:rFonts w:ascii="Times New Roman" w:hAnsi="Times New Roman" w:cs="Times New Roman"/>
        </w:rPr>
      </w:pPr>
    </w:p>
    <w:p w:rsidR="00E348CA" w:rsidRDefault="00E348CA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background to the matter is that the respondent issued</w:t>
      </w:r>
      <w:r w:rsidR="000A4779">
        <w:rPr>
          <w:rFonts w:ascii="Times New Roman" w:hAnsi="Times New Roman" w:cs="Times New Roman"/>
          <w:sz w:val="24"/>
          <w:szCs w:val="24"/>
        </w:rPr>
        <w:t xml:space="preserve"> </w:t>
      </w:r>
      <w:r w:rsidR="00B637C8">
        <w:rPr>
          <w:rFonts w:ascii="Times New Roman" w:hAnsi="Times New Roman" w:cs="Times New Roman"/>
          <w:sz w:val="24"/>
          <w:szCs w:val="24"/>
        </w:rPr>
        <w:t>summons</w:t>
      </w:r>
      <w:r>
        <w:rPr>
          <w:rFonts w:ascii="Times New Roman" w:hAnsi="Times New Roman" w:cs="Times New Roman"/>
          <w:sz w:val="24"/>
          <w:szCs w:val="24"/>
        </w:rPr>
        <w:t xml:space="preserve"> in the court </w:t>
      </w:r>
      <w:r w:rsidRPr="00E348CA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against the appellant for eviction and </w:t>
      </w:r>
      <w:r w:rsidR="007923F5">
        <w:rPr>
          <w:rFonts w:ascii="Times New Roman" w:hAnsi="Times New Roman" w:cs="Times New Roman"/>
          <w:sz w:val="24"/>
          <w:szCs w:val="24"/>
        </w:rPr>
        <w:t>arrear</w:t>
      </w:r>
      <w:r>
        <w:rPr>
          <w:rFonts w:ascii="Times New Roman" w:hAnsi="Times New Roman" w:cs="Times New Roman"/>
          <w:sz w:val="24"/>
          <w:szCs w:val="24"/>
        </w:rPr>
        <w:t xml:space="preserve"> rentals. The basis for the claim was that the respondent entered into an agreement with the applicant whereby the respondent </w:t>
      </w:r>
      <w:r w:rsidR="007923F5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 xml:space="preserve">sublet to the applicant some shop space, which he rented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holdings (Pvt) Ltd. It was a material term that the applicant would pay $860-00 per month as rentals. It was the respondent’s claim that the applicant breached the terms of the agreement by failing to pay rent  </w:t>
      </w:r>
      <w:r w:rsidR="007923F5">
        <w:rPr>
          <w:rFonts w:ascii="Times New Roman" w:hAnsi="Times New Roman" w:cs="Times New Roman"/>
          <w:sz w:val="24"/>
          <w:szCs w:val="24"/>
        </w:rPr>
        <w:t>resulting</w:t>
      </w:r>
      <w:r>
        <w:rPr>
          <w:rFonts w:ascii="Times New Roman" w:hAnsi="Times New Roman" w:cs="Times New Roman"/>
          <w:sz w:val="24"/>
          <w:szCs w:val="24"/>
        </w:rPr>
        <w:t xml:space="preserve"> in arrears in the sum of $2 800-00.</w:t>
      </w:r>
    </w:p>
    <w:p w:rsidR="00E348CA" w:rsidRPr="00E348CA" w:rsidRDefault="00E348CA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the appellant’s defence that he did not enter into a lease agreement with the respondent but that he had </w:t>
      </w:r>
      <w:r w:rsidR="007923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separate agreement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Holdings (Pvt) Ltd. The matter went for trial and court made an order in favour of the respondent. This is the order that is the subject of the appeal.</w:t>
      </w:r>
    </w:p>
    <w:p w:rsidR="00D96B1A" w:rsidRDefault="00BA02A7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summary what the appellant is saying is that the </w:t>
      </w:r>
      <w:r w:rsidRPr="00B82074">
        <w:rPr>
          <w:rFonts w:ascii="Times New Roman" w:hAnsi="Times New Roman" w:cs="Times New Roman"/>
          <w:sz w:val="24"/>
          <w:szCs w:val="24"/>
        </w:rPr>
        <w:t>court</w:t>
      </w:r>
      <w:r w:rsidRPr="00D96B1A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F873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6B1A">
        <w:rPr>
          <w:rFonts w:ascii="Times New Roman" w:hAnsi="Times New Roman" w:cs="Times New Roman"/>
          <w:i/>
          <w:sz w:val="24"/>
          <w:szCs w:val="24"/>
        </w:rPr>
        <w:t>quo</w:t>
      </w:r>
      <w:r>
        <w:rPr>
          <w:rFonts w:ascii="Times New Roman" w:hAnsi="Times New Roman" w:cs="Times New Roman"/>
          <w:sz w:val="24"/>
          <w:szCs w:val="24"/>
        </w:rPr>
        <w:t xml:space="preserve"> misdirected itself by making a finding that </w:t>
      </w:r>
      <w:r w:rsidR="005F438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appellant wa</w:t>
      </w:r>
      <w:r w:rsidR="005F438C">
        <w:rPr>
          <w:rFonts w:ascii="Times New Roman" w:hAnsi="Times New Roman" w:cs="Times New Roman"/>
          <w:sz w:val="24"/>
          <w:szCs w:val="24"/>
        </w:rPr>
        <w:t xml:space="preserve">s a subtenant of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 w:rsidR="005F438C">
        <w:rPr>
          <w:rFonts w:ascii="Times New Roman" w:hAnsi="Times New Roman" w:cs="Times New Roman"/>
          <w:sz w:val="24"/>
          <w:szCs w:val="24"/>
        </w:rPr>
        <w:t>espondent</w:t>
      </w:r>
      <w:r w:rsidR="009F749D">
        <w:rPr>
          <w:rFonts w:ascii="Times New Roman" w:hAnsi="Times New Roman" w:cs="Times New Roman"/>
          <w:sz w:val="24"/>
          <w:szCs w:val="24"/>
        </w:rPr>
        <w:t xml:space="preserve"> </w:t>
      </w:r>
      <w:r w:rsidR="00EA3F55">
        <w:rPr>
          <w:rFonts w:ascii="Times New Roman" w:hAnsi="Times New Roman" w:cs="Times New Roman"/>
          <w:sz w:val="24"/>
          <w:szCs w:val="24"/>
        </w:rPr>
        <w:t xml:space="preserve">and not </w:t>
      </w:r>
      <w:r w:rsidR="0009246F">
        <w:rPr>
          <w:rFonts w:ascii="Times New Roman" w:hAnsi="Times New Roman" w:cs="Times New Roman"/>
          <w:sz w:val="24"/>
          <w:szCs w:val="24"/>
        </w:rPr>
        <w:t>a</w:t>
      </w:r>
      <w:r w:rsidR="00EA3F55">
        <w:rPr>
          <w:rFonts w:ascii="Times New Roman" w:hAnsi="Times New Roman" w:cs="Times New Roman"/>
          <w:sz w:val="24"/>
          <w:szCs w:val="24"/>
        </w:rPr>
        <w:t xml:space="preserve"> co-tenant</w:t>
      </w:r>
      <w:r w:rsidR="0009246F">
        <w:rPr>
          <w:rFonts w:ascii="Times New Roman" w:hAnsi="Times New Roman" w:cs="Times New Roman"/>
          <w:sz w:val="24"/>
          <w:szCs w:val="24"/>
        </w:rPr>
        <w:t>.</w:t>
      </w:r>
      <w:r w:rsidR="00EA3F55">
        <w:rPr>
          <w:rFonts w:ascii="Times New Roman" w:hAnsi="Times New Roman" w:cs="Times New Roman"/>
          <w:sz w:val="24"/>
          <w:szCs w:val="24"/>
        </w:rPr>
        <w:t xml:space="preserve"> </w:t>
      </w:r>
      <w:r w:rsidR="0009246F">
        <w:rPr>
          <w:rFonts w:ascii="Times New Roman" w:hAnsi="Times New Roman" w:cs="Times New Roman"/>
          <w:sz w:val="24"/>
          <w:szCs w:val="24"/>
        </w:rPr>
        <w:tab/>
      </w:r>
      <w:r w:rsidR="00EA3F55">
        <w:rPr>
          <w:rFonts w:ascii="Times New Roman" w:hAnsi="Times New Roman" w:cs="Times New Roman"/>
          <w:sz w:val="24"/>
          <w:szCs w:val="24"/>
        </w:rPr>
        <w:t xml:space="preserve">Having gone through the record we are of the view that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 w:rsidR="00EA3F55">
        <w:rPr>
          <w:rFonts w:ascii="Times New Roman" w:hAnsi="Times New Roman" w:cs="Times New Roman"/>
          <w:sz w:val="24"/>
          <w:szCs w:val="24"/>
        </w:rPr>
        <w:t xml:space="preserve">espondent in the </w:t>
      </w:r>
      <w:r w:rsidR="00EA3F55" w:rsidRPr="00B82074">
        <w:rPr>
          <w:rFonts w:ascii="Times New Roman" w:hAnsi="Times New Roman" w:cs="Times New Roman"/>
          <w:sz w:val="24"/>
          <w:szCs w:val="24"/>
        </w:rPr>
        <w:t xml:space="preserve">court </w:t>
      </w:r>
      <w:r w:rsidR="000A7E7C">
        <w:rPr>
          <w:rFonts w:ascii="Times New Roman" w:hAnsi="Times New Roman" w:cs="Times New Roman"/>
          <w:sz w:val="24"/>
          <w:szCs w:val="24"/>
        </w:rPr>
        <w:t xml:space="preserve">    </w:t>
      </w:r>
      <w:r w:rsidR="00EA3F55" w:rsidRPr="00D96B1A">
        <w:rPr>
          <w:rFonts w:ascii="Times New Roman" w:hAnsi="Times New Roman" w:cs="Times New Roman"/>
          <w:i/>
          <w:sz w:val="24"/>
          <w:szCs w:val="24"/>
        </w:rPr>
        <w:t>a</w:t>
      </w:r>
      <w:r w:rsidR="000A7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3F55" w:rsidRPr="00D96B1A">
        <w:rPr>
          <w:rFonts w:ascii="Times New Roman" w:hAnsi="Times New Roman" w:cs="Times New Roman"/>
          <w:i/>
          <w:sz w:val="24"/>
          <w:szCs w:val="24"/>
        </w:rPr>
        <w:t>quo</w:t>
      </w:r>
      <w:r w:rsidR="00EA3F55">
        <w:rPr>
          <w:rFonts w:ascii="Times New Roman" w:hAnsi="Times New Roman" w:cs="Times New Roman"/>
          <w:sz w:val="24"/>
          <w:szCs w:val="24"/>
        </w:rPr>
        <w:t xml:space="preserve"> did not establish</w:t>
      </w:r>
      <w:r w:rsidR="0009246F">
        <w:rPr>
          <w:rFonts w:ascii="Times New Roman" w:hAnsi="Times New Roman" w:cs="Times New Roman"/>
          <w:sz w:val="24"/>
          <w:szCs w:val="24"/>
        </w:rPr>
        <w:t>,</w:t>
      </w:r>
      <w:r w:rsidR="00EA3F55">
        <w:rPr>
          <w:rFonts w:ascii="Times New Roman" w:hAnsi="Times New Roman" w:cs="Times New Roman"/>
          <w:sz w:val="24"/>
          <w:szCs w:val="24"/>
        </w:rPr>
        <w:t xml:space="preserve"> on a balance of probabilities</w:t>
      </w:r>
      <w:r w:rsidR="007923F5">
        <w:rPr>
          <w:rFonts w:ascii="Times New Roman" w:hAnsi="Times New Roman" w:cs="Times New Roman"/>
          <w:sz w:val="24"/>
          <w:szCs w:val="24"/>
        </w:rPr>
        <w:t>,</w:t>
      </w:r>
      <w:r w:rsidR="00EA3F55">
        <w:rPr>
          <w:rFonts w:ascii="Times New Roman" w:hAnsi="Times New Roman" w:cs="Times New Roman"/>
          <w:sz w:val="24"/>
          <w:szCs w:val="24"/>
        </w:rPr>
        <w:t xml:space="preserve"> the status of the appellant.</w:t>
      </w:r>
      <w:r w:rsidR="00D96B1A">
        <w:rPr>
          <w:rFonts w:ascii="Times New Roman" w:hAnsi="Times New Roman" w:cs="Times New Roman"/>
          <w:sz w:val="24"/>
          <w:szCs w:val="24"/>
        </w:rPr>
        <w:t xml:space="preserve"> </w:t>
      </w:r>
      <w:r w:rsidR="00EA3F55">
        <w:rPr>
          <w:rFonts w:ascii="Times New Roman" w:hAnsi="Times New Roman" w:cs="Times New Roman"/>
          <w:sz w:val="24"/>
          <w:szCs w:val="24"/>
        </w:rPr>
        <w:t xml:space="preserve">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 w:rsidR="00EA3F55">
        <w:rPr>
          <w:rFonts w:ascii="Times New Roman" w:hAnsi="Times New Roman" w:cs="Times New Roman"/>
          <w:sz w:val="24"/>
          <w:szCs w:val="24"/>
        </w:rPr>
        <w:t xml:space="preserve">espondent relied on a lease agreement that he entered into </w:t>
      </w:r>
      <w:r w:rsidR="0009246F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EA3F55">
        <w:rPr>
          <w:rFonts w:ascii="Times New Roman" w:hAnsi="Times New Roman" w:cs="Times New Roman"/>
          <w:sz w:val="24"/>
          <w:szCs w:val="24"/>
        </w:rPr>
        <w:t>Sinoya</w:t>
      </w:r>
      <w:proofErr w:type="spellEnd"/>
      <w:r w:rsidR="00EA3F55">
        <w:rPr>
          <w:rFonts w:ascii="Times New Roman" w:hAnsi="Times New Roman" w:cs="Times New Roman"/>
          <w:sz w:val="24"/>
          <w:szCs w:val="24"/>
        </w:rPr>
        <w:t xml:space="preserve"> Street Holdings (Pvt) Ltd at </w:t>
      </w:r>
      <w:r w:rsidR="0009246F">
        <w:rPr>
          <w:rFonts w:ascii="Times New Roman" w:hAnsi="Times New Roman" w:cs="Times New Roman"/>
          <w:sz w:val="24"/>
          <w:szCs w:val="24"/>
        </w:rPr>
        <w:t>the</w:t>
      </w:r>
      <w:r w:rsidR="00EA3F55">
        <w:rPr>
          <w:rFonts w:ascii="Times New Roman" w:hAnsi="Times New Roman" w:cs="Times New Roman"/>
          <w:sz w:val="24"/>
          <w:szCs w:val="24"/>
        </w:rPr>
        <w:t xml:space="preserve"> time when he bought the goodwill of the </w:t>
      </w:r>
      <w:r w:rsidR="003C3D62">
        <w:rPr>
          <w:rFonts w:ascii="Times New Roman" w:hAnsi="Times New Roman" w:cs="Times New Roman"/>
          <w:sz w:val="24"/>
          <w:szCs w:val="24"/>
        </w:rPr>
        <w:t>shop in question from</w:t>
      </w:r>
      <w:r w:rsidR="007923F5">
        <w:rPr>
          <w:rFonts w:ascii="Times New Roman" w:hAnsi="Times New Roman" w:cs="Times New Roman"/>
          <w:sz w:val="24"/>
          <w:szCs w:val="24"/>
        </w:rPr>
        <w:t xml:space="preserve"> the</w:t>
      </w:r>
      <w:r w:rsidR="003C3D62">
        <w:rPr>
          <w:rFonts w:ascii="Times New Roman" w:hAnsi="Times New Roman" w:cs="Times New Roman"/>
          <w:sz w:val="24"/>
          <w:szCs w:val="24"/>
        </w:rPr>
        <w:t xml:space="preserve"> </w:t>
      </w:r>
      <w:r w:rsidR="0009246F">
        <w:rPr>
          <w:rFonts w:ascii="Times New Roman" w:hAnsi="Times New Roman" w:cs="Times New Roman"/>
          <w:sz w:val="24"/>
          <w:szCs w:val="24"/>
        </w:rPr>
        <w:t xml:space="preserve">brother </w:t>
      </w:r>
      <w:r w:rsidR="003C3D62">
        <w:rPr>
          <w:rFonts w:ascii="Times New Roman" w:hAnsi="Times New Roman" w:cs="Times New Roman"/>
          <w:sz w:val="24"/>
          <w:szCs w:val="24"/>
        </w:rPr>
        <w:t>o</w:t>
      </w:r>
      <w:r w:rsidR="0009246F">
        <w:rPr>
          <w:rFonts w:ascii="Times New Roman" w:hAnsi="Times New Roman" w:cs="Times New Roman"/>
          <w:sz w:val="24"/>
          <w:szCs w:val="24"/>
        </w:rPr>
        <w:t>f</w:t>
      </w:r>
      <w:r w:rsidR="003C3D62">
        <w:rPr>
          <w:rFonts w:ascii="Times New Roman" w:hAnsi="Times New Roman" w:cs="Times New Roman"/>
          <w:sz w:val="24"/>
          <w:szCs w:val="24"/>
        </w:rPr>
        <w:t xml:space="preserve"> the appellant.</w:t>
      </w:r>
      <w:r w:rsidR="00D96B1A">
        <w:rPr>
          <w:rFonts w:ascii="Times New Roman" w:hAnsi="Times New Roman" w:cs="Times New Roman"/>
          <w:sz w:val="24"/>
          <w:szCs w:val="24"/>
        </w:rPr>
        <w:t xml:space="preserve"> </w:t>
      </w:r>
      <w:r w:rsidR="003C3D62">
        <w:rPr>
          <w:rFonts w:ascii="Times New Roman" w:hAnsi="Times New Roman" w:cs="Times New Roman"/>
          <w:sz w:val="24"/>
          <w:szCs w:val="24"/>
        </w:rPr>
        <w:t>T</w:t>
      </w:r>
      <w:r w:rsidR="00D96B1A">
        <w:rPr>
          <w:rFonts w:ascii="Times New Roman" w:hAnsi="Times New Roman" w:cs="Times New Roman"/>
          <w:sz w:val="24"/>
          <w:szCs w:val="24"/>
        </w:rPr>
        <w:t xml:space="preserve">he lease agreement in para </w:t>
      </w:r>
      <w:r w:rsidR="0009246F">
        <w:rPr>
          <w:rFonts w:ascii="Times New Roman" w:hAnsi="Times New Roman" w:cs="Times New Roman"/>
          <w:sz w:val="24"/>
          <w:szCs w:val="24"/>
        </w:rPr>
        <w:t xml:space="preserve">2, provides </w:t>
      </w:r>
      <w:r w:rsidR="00D96B1A">
        <w:rPr>
          <w:rFonts w:ascii="Times New Roman" w:hAnsi="Times New Roman" w:cs="Times New Roman"/>
          <w:sz w:val="24"/>
          <w:szCs w:val="24"/>
        </w:rPr>
        <w:t>as follows;</w:t>
      </w:r>
    </w:p>
    <w:p w:rsidR="00D96B1A" w:rsidRDefault="003C3D62" w:rsidP="00D96B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D62" w:rsidRPr="00D96B1A" w:rsidRDefault="0009246F" w:rsidP="00D96B1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</w:t>
      </w:r>
      <w:r w:rsidR="003C3D62" w:rsidRPr="00D96B1A">
        <w:rPr>
          <w:rFonts w:ascii="Times New Roman" w:hAnsi="Times New Roman" w:cs="Times New Roman"/>
        </w:rPr>
        <w:t xml:space="preserve">he lessor intends to lease to the lessee that portion of the property situated on the </w:t>
      </w:r>
      <w:r w:rsidR="00D96B1A" w:rsidRPr="00D96B1A">
        <w:rPr>
          <w:rFonts w:ascii="Times New Roman" w:hAnsi="Times New Roman" w:cs="Times New Roman"/>
        </w:rPr>
        <w:tab/>
      </w:r>
      <w:r w:rsidR="003C3D62" w:rsidRPr="00D96B1A">
        <w:rPr>
          <w:rFonts w:ascii="Times New Roman" w:hAnsi="Times New Roman" w:cs="Times New Roman"/>
        </w:rPr>
        <w:t>ground floor as identified in the diagram attached hereto marked A</w:t>
      </w:r>
      <w:r>
        <w:rPr>
          <w:rFonts w:ascii="Times New Roman" w:hAnsi="Times New Roman" w:cs="Times New Roman"/>
        </w:rPr>
        <w:t xml:space="preserve"> (</w:t>
      </w:r>
      <w:r w:rsidR="003C3D62" w:rsidRPr="00D96B1A">
        <w:rPr>
          <w:rFonts w:ascii="Times New Roman" w:hAnsi="Times New Roman" w:cs="Times New Roman"/>
        </w:rPr>
        <w:t>hereinafter</w:t>
      </w:r>
      <w:r>
        <w:rPr>
          <w:rFonts w:ascii="Times New Roman" w:hAnsi="Times New Roman" w:cs="Times New Roman"/>
        </w:rPr>
        <w:t xml:space="preserve"> </w:t>
      </w:r>
      <w:r w:rsidR="003C3D62" w:rsidRPr="00D96B1A">
        <w:rPr>
          <w:rFonts w:ascii="Times New Roman" w:hAnsi="Times New Roman" w:cs="Times New Roman"/>
        </w:rPr>
        <w:t xml:space="preserve">referred to </w:t>
      </w:r>
      <w:r w:rsidR="00D96B1A">
        <w:rPr>
          <w:rFonts w:ascii="Times New Roman" w:hAnsi="Times New Roman" w:cs="Times New Roman"/>
        </w:rPr>
        <w:tab/>
      </w:r>
      <w:r w:rsidR="003C3D62" w:rsidRPr="00D96B1A">
        <w:rPr>
          <w:rFonts w:ascii="Times New Roman" w:hAnsi="Times New Roman" w:cs="Times New Roman"/>
        </w:rPr>
        <w:t>as the premises and the leased premises”.</w:t>
      </w:r>
      <w:r>
        <w:rPr>
          <w:rFonts w:ascii="Times New Roman" w:hAnsi="Times New Roman" w:cs="Times New Roman"/>
        </w:rPr>
        <w:t>)</w:t>
      </w:r>
    </w:p>
    <w:p w:rsidR="00D96B1A" w:rsidRDefault="00D96B1A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6B1A" w:rsidRDefault="003C3D62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is apparent from the perusal of the record the diagram was not attached and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espondent’s counsel con</w:t>
      </w:r>
      <w:r w:rsidR="0009246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ed</w:t>
      </w:r>
      <w:r w:rsidR="0009246F">
        <w:rPr>
          <w:rFonts w:ascii="Times New Roman" w:hAnsi="Times New Roman" w:cs="Times New Roman"/>
          <w:sz w:val="24"/>
          <w:szCs w:val="24"/>
        </w:rPr>
        <w:t>ed the</w:t>
      </w:r>
      <w:r>
        <w:rPr>
          <w:rFonts w:ascii="Times New Roman" w:hAnsi="Times New Roman" w:cs="Times New Roman"/>
          <w:sz w:val="24"/>
          <w:szCs w:val="24"/>
        </w:rPr>
        <w:t xml:space="preserve"> fact that they did not produce the diagram </w:t>
      </w:r>
      <w:r w:rsidR="0009246F">
        <w:rPr>
          <w:rFonts w:ascii="Times New Roman" w:hAnsi="Times New Roman" w:cs="Times New Roman"/>
          <w:sz w:val="24"/>
          <w:szCs w:val="24"/>
        </w:rPr>
        <w:t>referred to</w:t>
      </w:r>
      <w:r>
        <w:rPr>
          <w:rFonts w:ascii="Times New Roman" w:hAnsi="Times New Roman" w:cs="Times New Roman"/>
          <w:sz w:val="24"/>
          <w:szCs w:val="24"/>
        </w:rPr>
        <w:t xml:space="preserve"> in the lease agreement. The appellant’s position is that he was a co-tenant to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 w:rsidR="0009246F">
        <w:rPr>
          <w:rFonts w:ascii="Times New Roman" w:hAnsi="Times New Roman" w:cs="Times New Roman"/>
          <w:sz w:val="24"/>
          <w:szCs w:val="24"/>
        </w:rPr>
        <w:t>espondent.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46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had his own shop, his own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his own terms of a lease agreement whereby he would pay rent directly to the landlord. Initially he would pay the rent through a </w:t>
      </w:r>
      <w:r w:rsidR="0009246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aretaker until he </w:t>
      </w:r>
      <w:r w:rsidR="0009246F">
        <w:rPr>
          <w:rFonts w:ascii="Times New Roman" w:hAnsi="Times New Roman" w:cs="Times New Roman"/>
          <w:sz w:val="24"/>
          <w:szCs w:val="24"/>
        </w:rPr>
        <w:t>realised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09246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aretake</w:t>
      </w:r>
      <w:r w:rsidR="00205F4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was converting the money to his own use</w:t>
      </w:r>
      <w:r w:rsidR="0009246F">
        <w:rPr>
          <w:rFonts w:ascii="Times New Roman" w:hAnsi="Times New Roman" w:cs="Times New Roman"/>
          <w:sz w:val="24"/>
          <w:szCs w:val="24"/>
        </w:rPr>
        <w:t>. The l</w:t>
      </w:r>
      <w:r>
        <w:rPr>
          <w:rFonts w:ascii="Times New Roman" w:hAnsi="Times New Roman" w:cs="Times New Roman"/>
          <w:sz w:val="24"/>
          <w:szCs w:val="24"/>
        </w:rPr>
        <w:t xml:space="preserve">andlord </w:t>
      </w:r>
      <w:r w:rsidR="0009246F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demanded that the appellant and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espondent put their money tog</w:t>
      </w:r>
      <w:r w:rsidR="00D96B1A">
        <w:rPr>
          <w:rFonts w:ascii="Times New Roman" w:hAnsi="Times New Roman" w:cs="Times New Roman"/>
          <w:sz w:val="24"/>
          <w:szCs w:val="24"/>
        </w:rPr>
        <w:t xml:space="preserve">ether and pay at the same time. </w:t>
      </w:r>
      <w:r w:rsidR="0009246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started remitting his rental to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 so that the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espondent would then pay to the landlord</w:t>
      </w:r>
      <w:r w:rsidR="0009246F">
        <w:rPr>
          <w:rFonts w:ascii="Times New Roman" w:hAnsi="Times New Roman" w:cs="Times New Roman"/>
          <w:sz w:val="24"/>
          <w:szCs w:val="24"/>
        </w:rPr>
        <w:t xml:space="preserve">. In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="0009246F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his contention he produced </w:t>
      </w:r>
      <w:r w:rsidR="0009246F">
        <w:rPr>
          <w:rFonts w:ascii="Times New Roman" w:hAnsi="Times New Roman" w:cs="Times New Roman"/>
          <w:sz w:val="24"/>
          <w:szCs w:val="24"/>
        </w:rPr>
        <w:t>minutes of a meeting which he hel</w:t>
      </w:r>
      <w:r>
        <w:rPr>
          <w:rFonts w:ascii="Times New Roman" w:hAnsi="Times New Roman" w:cs="Times New Roman"/>
          <w:sz w:val="24"/>
          <w:szCs w:val="24"/>
        </w:rPr>
        <w:t xml:space="preserve">d with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0924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ccountant</w:t>
      </w:r>
      <w:r w:rsidR="0009246F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D96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0924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ccount</w:t>
      </w:r>
      <w:r w:rsidR="0009246F">
        <w:rPr>
          <w:rFonts w:ascii="Times New Roman" w:hAnsi="Times New Roman" w:cs="Times New Roman"/>
          <w:sz w:val="24"/>
          <w:szCs w:val="24"/>
        </w:rPr>
        <w:t>ant</w:t>
      </w:r>
      <w:r>
        <w:rPr>
          <w:rFonts w:ascii="Times New Roman" w:hAnsi="Times New Roman" w:cs="Times New Roman"/>
          <w:sz w:val="24"/>
          <w:szCs w:val="24"/>
        </w:rPr>
        <w:t xml:space="preserve"> confirmed this meeting </w:t>
      </w:r>
      <w:r w:rsidR="0009246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produced </w:t>
      </w:r>
      <w:r w:rsidR="0009246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minu</w:t>
      </w:r>
      <w:r w:rsidR="00D96B1A">
        <w:rPr>
          <w:rFonts w:ascii="Times New Roman" w:hAnsi="Times New Roman" w:cs="Times New Roman"/>
          <w:sz w:val="24"/>
          <w:szCs w:val="24"/>
        </w:rPr>
        <w:t xml:space="preserve">tes of the meeting </w:t>
      </w:r>
      <w:r w:rsidR="0009246F">
        <w:rPr>
          <w:rFonts w:ascii="Times New Roman" w:hAnsi="Times New Roman" w:cs="Times New Roman"/>
          <w:sz w:val="24"/>
          <w:szCs w:val="24"/>
        </w:rPr>
        <w:t>in evidence. P</w:t>
      </w:r>
      <w:r w:rsidR="00D96B1A">
        <w:rPr>
          <w:rFonts w:ascii="Times New Roman" w:hAnsi="Times New Roman" w:cs="Times New Roman"/>
          <w:sz w:val="24"/>
          <w:szCs w:val="24"/>
        </w:rPr>
        <w:t>ara</w:t>
      </w:r>
      <w:r w:rsidR="0009246F">
        <w:rPr>
          <w:rFonts w:ascii="Times New Roman" w:hAnsi="Times New Roman" w:cs="Times New Roman"/>
          <w:sz w:val="24"/>
          <w:szCs w:val="24"/>
        </w:rPr>
        <w:t>graph</w:t>
      </w:r>
      <w:r>
        <w:rPr>
          <w:rFonts w:ascii="Times New Roman" w:hAnsi="Times New Roman" w:cs="Times New Roman"/>
          <w:sz w:val="24"/>
          <w:szCs w:val="24"/>
        </w:rPr>
        <w:t xml:space="preserve"> 1 of the minutes of the meeting of </w:t>
      </w:r>
      <w:r w:rsidR="00D96B1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1A">
        <w:rPr>
          <w:rFonts w:ascii="Times New Roman" w:hAnsi="Times New Roman" w:cs="Times New Roman"/>
          <w:sz w:val="24"/>
          <w:szCs w:val="24"/>
        </w:rPr>
        <w:t>September 2014 reads as follows;</w:t>
      </w:r>
    </w:p>
    <w:p w:rsidR="00205F4C" w:rsidRPr="00D96B1A" w:rsidRDefault="003C3D62" w:rsidP="00D96B1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96B1A">
        <w:rPr>
          <w:rFonts w:ascii="Times New Roman" w:hAnsi="Times New Roman" w:cs="Times New Roman"/>
        </w:rPr>
        <w:t xml:space="preserve"> “</w:t>
      </w:r>
      <w:r w:rsidR="0009246F">
        <w:rPr>
          <w:rFonts w:ascii="Times New Roman" w:hAnsi="Times New Roman" w:cs="Times New Roman"/>
        </w:rPr>
        <w:t>W</w:t>
      </w:r>
      <w:r w:rsidRPr="00D96B1A">
        <w:rPr>
          <w:rFonts w:ascii="Times New Roman" w:hAnsi="Times New Roman" w:cs="Times New Roman"/>
        </w:rPr>
        <w:t xml:space="preserve">e see that we </w:t>
      </w:r>
      <w:proofErr w:type="gramStart"/>
      <w:r w:rsidRPr="00D96B1A">
        <w:rPr>
          <w:rFonts w:ascii="Times New Roman" w:hAnsi="Times New Roman" w:cs="Times New Roman"/>
        </w:rPr>
        <w:t>were owing</w:t>
      </w:r>
      <w:proofErr w:type="gramEnd"/>
      <w:r w:rsidRPr="00D96B1A">
        <w:rPr>
          <w:rFonts w:ascii="Times New Roman" w:hAnsi="Times New Roman" w:cs="Times New Roman"/>
        </w:rPr>
        <w:t xml:space="preserve"> </w:t>
      </w:r>
      <w:proofErr w:type="spellStart"/>
      <w:r w:rsidRPr="00D96B1A">
        <w:rPr>
          <w:rFonts w:ascii="Times New Roman" w:hAnsi="Times New Roman" w:cs="Times New Roman"/>
        </w:rPr>
        <w:t>Mr</w:t>
      </w:r>
      <w:proofErr w:type="spellEnd"/>
      <w:r w:rsidRPr="00D96B1A">
        <w:rPr>
          <w:rFonts w:ascii="Times New Roman" w:hAnsi="Times New Roman" w:cs="Times New Roman"/>
        </w:rPr>
        <w:t xml:space="preserve"> Allan the landlord since April to September 2014 but for </w:t>
      </w:r>
      <w:r w:rsidR="00D96B1A">
        <w:rPr>
          <w:rFonts w:ascii="Times New Roman" w:hAnsi="Times New Roman" w:cs="Times New Roman"/>
        </w:rPr>
        <w:tab/>
      </w:r>
      <w:proofErr w:type="spellStart"/>
      <w:r w:rsidRPr="00D96B1A">
        <w:rPr>
          <w:rFonts w:ascii="Times New Roman" w:hAnsi="Times New Roman" w:cs="Times New Roman"/>
        </w:rPr>
        <w:t>Emeka</w:t>
      </w:r>
      <w:proofErr w:type="spellEnd"/>
      <w:r w:rsidRPr="00D96B1A">
        <w:rPr>
          <w:rFonts w:ascii="Times New Roman" w:hAnsi="Times New Roman" w:cs="Times New Roman"/>
        </w:rPr>
        <w:t xml:space="preserve"> he is owing from June to September that is to say and then it goes on to list the </w:t>
      </w:r>
      <w:r w:rsidR="00D96B1A">
        <w:rPr>
          <w:rFonts w:ascii="Times New Roman" w:hAnsi="Times New Roman" w:cs="Times New Roman"/>
        </w:rPr>
        <w:tab/>
      </w:r>
      <w:r w:rsidR="00205F4C" w:rsidRPr="00D96B1A">
        <w:rPr>
          <w:rFonts w:ascii="Times New Roman" w:hAnsi="Times New Roman" w:cs="Times New Roman"/>
        </w:rPr>
        <w:t>amounts</w:t>
      </w:r>
      <w:r w:rsidR="00D96B1A">
        <w:rPr>
          <w:rFonts w:ascii="Times New Roman" w:hAnsi="Times New Roman" w:cs="Times New Roman"/>
        </w:rPr>
        <w:t xml:space="preserve"> </w:t>
      </w:r>
      <w:r w:rsidR="00205F4C" w:rsidRPr="00D96B1A">
        <w:rPr>
          <w:rFonts w:ascii="Times New Roman" w:hAnsi="Times New Roman" w:cs="Times New Roman"/>
        </w:rPr>
        <w:t xml:space="preserve">that are owed”.  </w:t>
      </w:r>
    </w:p>
    <w:p w:rsidR="00D96B1A" w:rsidRDefault="00D96B1A" w:rsidP="00D96B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74EC" w:rsidRDefault="00205F4C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think it is important to note the </w:t>
      </w:r>
      <w:r w:rsidR="008174EC">
        <w:rPr>
          <w:rFonts w:ascii="Times New Roman" w:hAnsi="Times New Roman" w:cs="Times New Roman"/>
          <w:sz w:val="24"/>
          <w:szCs w:val="24"/>
        </w:rPr>
        <w:t xml:space="preserve">“we” </w:t>
      </w:r>
      <w:r>
        <w:rPr>
          <w:rFonts w:ascii="Times New Roman" w:hAnsi="Times New Roman" w:cs="Times New Roman"/>
          <w:sz w:val="24"/>
          <w:szCs w:val="24"/>
        </w:rPr>
        <w:t xml:space="preserve">in that paragraph and the </w:t>
      </w:r>
      <w:r w:rsidR="008174EC">
        <w:rPr>
          <w:rFonts w:ascii="Times New Roman" w:hAnsi="Times New Roman" w:cs="Times New Roman"/>
          <w:sz w:val="24"/>
          <w:szCs w:val="24"/>
        </w:rPr>
        <w:t>fact that in the next sentence they then specify what the appellant owes</w:t>
      </w:r>
      <w:r w:rsidR="00D95EB9">
        <w:rPr>
          <w:rFonts w:ascii="Times New Roman" w:hAnsi="Times New Roman" w:cs="Times New Roman"/>
          <w:sz w:val="24"/>
          <w:szCs w:val="24"/>
        </w:rPr>
        <w:t xml:space="preserve">. This </w:t>
      </w:r>
      <w:r w:rsidR="008174EC">
        <w:rPr>
          <w:rFonts w:ascii="Times New Roman" w:hAnsi="Times New Roman" w:cs="Times New Roman"/>
          <w:sz w:val="24"/>
          <w:szCs w:val="24"/>
        </w:rPr>
        <w:t>might be an indication that they might be two separate shops wit</w:t>
      </w:r>
      <w:r w:rsidR="00AF6A76">
        <w:rPr>
          <w:rFonts w:ascii="Times New Roman" w:hAnsi="Times New Roman" w:cs="Times New Roman"/>
          <w:sz w:val="24"/>
          <w:szCs w:val="24"/>
        </w:rPr>
        <w:t xml:space="preserve">h two separate lease agreements. </w:t>
      </w:r>
      <w:r w:rsidR="008174EC">
        <w:rPr>
          <w:rFonts w:ascii="Times New Roman" w:hAnsi="Times New Roman" w:cs="Times New Roman"/>
          <w:sz w:val="24"/>
          <w:szCs w:val="24"/>
        </w:rPr>
        <w:t xml:space="preserve">The evidence on record is not conclusive and it was our view that this would have been an appropriate case for the court </w:t>
      </w:r>
      <w:r w:rsidR="008174EC" w:rsidRPr="00D96B1A">
        <w:rPr>
          <w:rFonts w:ascii="Times New Roman" w:hAnsi="Times New Roman" w:cs="Times New Roman"/>
          <w:i/>
          <w:sz w:val="24"/>
          <w:szCs w:val="24"/>
        </w:rPr>
        <w:t>a</w:t>
      </w:r>
      <w:r w:rsidR="003469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4EC" w:rsidRPr="00D96B1A">
        <w:rPr>
          <w:rFonts w:ascii="Times New Roman" w:hAnsi="Times New Roman" w:cs="Times New Roman"/>
          <w:i/>
          <w:sz w:val="24"/>
          <w:szCs w:val="24"/>
        </w:rPr>
        <w:t>quo</w:t>
      </w:r>
      <w:r w:rsidR="008174EC">
        <w:rPr>
          <w:rFonts w:ascii="Times New Roman" w:hAnsi="Times New Roman" w:cs="Times New Roman"/>
          <w:sz w:val="24"/>
          <w:szCs w:val="24"/>
        </w:rPr>
        <w:t xml:space="preserve"> to render an absolution from the instance</w:t>
      </w:r>
      <w:r w:rsidR="00AF6A76">
        <w:rPr>
          <w:rFonts w:ascii="Times New Roman" w:hAnsi="Times New Roman" w:cs="Times New Roman"/>
          <w:sz w:val="24"/>
          <w:szCs w:val="24"/>
        </w:rPr>
        <w:t>.</w:t>
      </w:r>
      <w:r w:rsidR="008174EC">
        <w:rPr>
          <w:rFonts w:ascii="Times New Roman" w:hAnsi="Times New Roman" w:cs="Times New Roman"/>
          <w:sz w:val="24"/>
          <w:szCs w:val="24"/>
        </w:rPr>
        <w:t xml:space="preserve"> The determining factor would have been the diagram </w:t>
      </w:r>
      <w:r w:rsidR="00AF6A76">
        <w:rPr>
          <w:rFonts w:ascii="Times New Roman" w:hAnsi="Times New Roman" w:cs="Times New Roman"/>
          <w:sz w:val="24"/>
          <w:szCs w:val="24"/>
        </w:rPr>
        <w:t>referred to in the lease agreement. I</w:t>
      </w:r>
      <w:r w:rsidR="008174EC">
        <w:rPr>
          <w:rFonts w:ascii="Times New Roman" w:hAnsi="Times New Roman" w:cs="Times New Roman"/>
          <w:sz w:val="24"/>
          <w:szCs w:val="24"/>
        </w:rPr>
        <w:t xml:space="preserve">t would have indicated </w:t>
      </w:r>
      <w:r w:rsidR="00AF6A76">
        <w:rPr>
          <w:rFonts w:ascii="Times New Roman" w:hAnsi="Times New Roman" w:cs="Times New Roman"/>
          <w:sz w:val="24"/>
          <w:szCs w:val="24"/>
        </w:rPr>
        <w:t>the</w:t>
      </w:r>
      <w:r w:rsidR="008174EC">
        <w:rPr>
          <w:rFonts w:ascii="Times New Roman" w:hAnsi="Times New Roman" w:cs="Times New Roman"/>
          <w:sz w:val="24"/>
          <w:szCs w:val="24"/>
        </w:rPr>
        <w:t xml:space="preserve"> space that </w:t>
      </w:r>
      <w:r w:rsidR="00AF6A76">
        <w:rPr>
          <w:rFonts w:ascii="Times New Roman" w:hAnsi="Times New Roman" w:cs="Times New Roman"/>
          <w:sz w:val="24"/>
          <w:szCs w:val="24"/>
        </w:rPr>
        <w:t>it relates to.</w:t>
      </w:r>
      <w:r w:rsidR="008174EC">
        <w:rPr>
          <w:rFonts w:ascii="Times New Roman" w:hAnsi="Times New Roman" w:cs="Times New Roman"/>
          <w:sz w:val="24"/>
          <w:szCs w:val="24"/>
        </w:rPr>
        <w:t xml:space="preserve"> </w:t>
      </w:r>
      <w:r w:rsidR="00D95EB9">
        <w:rPr>
          <w:rFonts w:ascii="Times New Roman" w:hAnsi="Times New Roman" w:cs="Times New Roman"/>
          <w:sz w:val="24"/>
          <w:szCs w:val="24"/>
        </w:rPr>
        <w:tab/>
      </w:r>
      <w:r w:rsidR="008174EC">
        <w:rPr>
          <w:rFonts w:ascii="Times New Roman" w:hAnsi="Times New Roman" w:cs="Times New Roman"/>
          <w:sz w:val="24"/>
          <w:szCs w:val="24"/>
        </w:rPr>
        <w:t>The appellant raised the issue that his brother</w:t>
      </w:r>
      <w:r w:rsidR="00662B31">
        <w:rPr>
          <w:rFonts w:ascii="Times New Roman" w:hAnsi="Times New Roman" w:cs="Times New Roman"/>
          <w:sz w:val="24"/>
          <w:szCs w:val="24"/>
        </w:rPr>
        <w:t>,</w:t>
      </w:r>
      <w:r w:rsidR="008174EC">
        <w:rPr>
          <w:rFonts w:ascii="Times New Roman" w:hAnsi="Times New Roman" w:cs="Times New Roman"/>
          <w:sz w:val="24"/>
          <w:szCs w:val="24"/>
        </w:rPr>
        <w:t xml:space="preserve"> </w:t>
      </w:r>
      <w:r w:rsidR="00746D3C">
        <w:rPr>
          <w:rFonts w:ascii="Times New Roman" w:hAnsi="Times New Roman" w:cs="Times New Roman"/>
          <w:sz w:val="24"/>
          <w:szCs w:val="24"/>
        </w:rPr>
        <w:t>before selling the goodwill to the res</w:t>
      </w:r>
      <w:r w:rsidR="00662B31">
        <w:rPr>
          <w:rFonts w:ascii="Times New Roman" w:hAnsi="Times New Roman" w:cs="Times New Roman"/>
          <w:sz w:val="24"/>
          <w:szCs w:val="24"/>
        </w:rPr>
        <w:t>pondent,</w:t>
      </w:r>
      <w:r w:rsidR="00746D3C">
        <w:rPr>
          <w:rFonts w:ascii="Times New Roman" w:hAnsi="Times New Roman" w:cs="Times New Roman"/>
          <w:sz w:val="24"/>
          <w:szCs w:val="24"/>
        </w:rPr>
        <w:t xml:space="preserve"> </w:t>
      </w:r>
      <w:r w:rsidR="008174EC">
        <w:rPr>
          <w:rFonts w:ascii="Times New Roman" w:hAnsi="Times New Roman" w:cs="Times New Roman"/>
          <w:sz w:val="24"/>
          <w:szCs w:val="24"/>
        </w:rPr>
        <w:t>was paying US$2 000</w:t>
      </w:r>
      <w:r w:rsidR="00D96B1A">
        <w:rPr>
          <w:rFonts w:ascii="Times New Roman" w:hAnsi="Times New Roman" w:cs="Times New Roman"/>
          <w:sz w:val="24"/>
          <w:szCs w:val="24"/>
        </w:rPr>
        <w:t>-</w:t>
      </w:r>
      <w:r w:rsidR="008174EC">
        <w:rPr>
          <w:rFonts w:ascii="Times New Roman" w:hAnsi="Times New Roman" w:cs="Times New Roman"/>
          <w:sz w:val="24"/>
          <w:szCs w:val="24"/>
        </w:rPr>
        <w:t>00 to the landlord. When the court raised with appellant’s counsel that this lease agreement talks about the rental of US$2 000</w:t>
      </w:r>
      <w:r w:rsidR="00D96B1A">
        <w:rPr>
          <w:rFonts w:ascii="Times New Roman" w:hAnsi="Times New Roman" w:cs="Times New Roman"/>
          <w:sz w:val="24"/>
          <w:szCs w:val="24"/>
        </w:rPr>
        <w:t>-</w:t>
      </w:r>
      <w:r w:rsidR="008174EC">
        <w:rPr>
          <w:rFonts w:ascii="Times New Roman" w:hAnsi="Times New Roman" w:cs="Times New Roman"/>
          <w:sz w:val="24"/>
          <w:szCs w:val="24"/>
        </w:rPr>
        <w:t>00 as well</w:t>
      </w:r>
      <w:r w:rsidR="00AF6A76">
        <w:rPr>
          <w:rFonts w:ascii="Times New Roman" w:hAnsi="Times New Roman" w:cs="Times New Roman"/>
          <w:sz w:val="24"/>
          <w:szCs w:val="24"/>
        </w:rPr>
        <w:t>,</w:t>
      </w:r>
      <w:r w:rsidR="008174EC">
        <w:rPr>
          <w:rFonts w:ascii="Times New Roman" w:hAnsi="Times New Roman" w:cs="Times New Roman"/>
          <w:sz w:val="24"/>
          <w:szCs w:val="24"/>
        </w:rPr>
        <w:t xml:space="preserve"> in response</w:t>
      </w:r>
      <w:r w:rsidR="00AF6A76">
        <w:rPr>
          <w:rFonts w:ascii="Times New Roman" w:hAnsi="Times New Roman" w:cs="Times New Roman"/>
          <w:sz w:val="24"/>
          <w:szCs w:val="24"/>
        </w:rPr>
        <w:t>,</w:t>
      </w:r>
      <w:r w:rsidR="008174EC">
        <w:rPr>
          <w:rFonts w:ascii="Times New Roman" w:hAnsi="Times New Roman" w:cs="Times New Roman"/>
          <w:sz w:val="24"/>
          <w:szCs w:val="24"/>
        </w:rPr>
        <w:t xml:space="preserve"> the appellant’s counsel pointed out that it </w:t>
      </w:r>
      <w:r w:rsidR="00AF6A76">
        <w:rPr>
          <w:rFonts w:ascii="Times New Roman" w:hAnsi="Times New Roman" w:cs="Times New Roman"/>
          <w:sz w:val="24"/>
          <w:szCs w:val="24"/>
        </w:rPr>
        <w:t>c</w:t>
      </w:r>
      <w:r w:rsidR="008174EC">
        <w:rPr>
          <w:rFonts w:ascii="Times New Roman" w:hAnsi="Times New Roman" w:cs="Times New Roman"/>
          <w:sz w:val="24"/>
          <w:szCs w:val="24"/>
        </w:rPr>
        <w:t xml:space="preserve">ould be that it was a new lease agreement and the rental </w:t>
      </w:r>
      <w:r w:rsidR="00746D3C">
        <w:rPr>
          <w:rFonts w:ascii="Times New Roman" w:hAnsi="Times New Roman" w:cs="Times New Roman"/>
          <w:sz w:val="24"/>
          <w:szCs w:val="24"/>
        </w:rPr>
        <w:t xml:space="preserve">did not </w:t>
      </w:r>
      <w:r w:rsidR="00F548BC">
        <w:rPr>
          <w:rFonts w:ascii="Times New Roman" w:hAnsi="Times New Roman" w:cs="Times New Roman"/>
          <w:sz w:val="24"/>
          <w:szCs w:val="24"/>
        </w:rPr>
        <w:t>increase</w:t>
      </w:r>
      <w:r w:rsidR="00746D3C">
        <w:rPr>
          <w:rFonts w:ascii="Times New Roman" w:hAnsi="Times New Roman" w:cs="Times New Roman"/>
          <w:sz w:val="24"/>
          <w:szCs w:val="24"/>
        </w:rPr>
        <w:t>.</w:t>
      </w:r>
      <w:r w:rsidR="008174EC">
        <w:rPr>
          <w:rFonts w:ascii="Times New Roman" w:hAnsi="Times New Roman" w:cs="Times New Roman"/>
          <w:sz w:val="24"/>
          <w:szCs w:val="24"/>
        </w:rPr>
        <w:t xml:space="preserve"> </w:t>
      </w:r>
      <w:r w:rsidR="00746D3C">
        <w:rPr>
          <w:rFonts w:ascii="Times New Roman" w:hAnsi="Times New Roman" w:cs="Times New Roman"/>
          <w:sz w:val="24"/>
          <w:szCs w:val="24"/>
        </w:rPr>
        <w:t>T</w:t>
      </w:r>
      <w:r w:rsidR="008174EC">
        <w:rPr>
          <w:rFonts w:ascii="Times New Roman" w:hAnsi="Times New Roman" w:cs="Times New Roman"/>
          <w:sz w:val="24"/>
          <w:szCs w:val="24"/>
        </w:rPr>
        <w:t xml:space="preserve">he court cannot conclusively rely on this clause to </w:t>
      </w:r>
      <w:r w:rsidR="00662B31">
        <w:rPr>
          <w:rFonts w:ascii="Times New Roman" w:hAnsi="Times New Roman" w:cs="Times New Roman"/>
          <w:sz w:val="24"/>
          <w:szCs w:val="24"/>
        </w:rPr>
        <w:t>determine</w:t>
      </w:r>
      <w:r w:rsidR="008174EC">
        <w:rPr>
          <w:rFonts w:ascii="Times New Roman" w:hAnsi="Times New Roman" w:cs="Times New Roman"/>
          <w:sz w:val="24"/>
          <w:szCs w:val="24"/>
        </w:rPr>
        <w:t xml:space="preserve"> that </w:t>
      </w:r>
      <w:r w:rsidR="00D95EB9">
        <w:rPr>
          <w:rFonts w:ascii="Times New Roman" w:hAnsi="Times New Roman" w:cs="Times New Roman"/>
          <w:sz w:val="24"/>
          <w:szCs w:val="24"/>
        </w:rPr>
        <w:t xml:space="preserve">the </w:t>
      </w:r>
      <w:r w:rsidR="008174EC">
        <w:rPr>
          <w:rFonts w:ascii="Times New Roman" w:hAnsi="Times New Roman" w:cs="Times New Roman"/>
          <w:sz w:val="24"/>
          <w:szCs w:val="24"/>
        </w:rPr>
        <w:t>lease agreement covered the entire space</w:t>
      </w:r>
      <w:r w:rsidR="00746D3C">
        <w:rPr>
          <w:rFonts w:ascii="Times New Roman" w:hAnsi="Times New Roman" w:cs="Times New Roman"/>
          <w:sz w:val="24"/>
          <w:szCs w:val="24"/>
        </w:rPr>
        <w:t xml:space="preserve"> as suggested by the appellant.</w:t>
      </w:r>
    </w:p>
    <w:p w:rsidR="008174EC" w:rsidRDefault="00AF6A76" w:rsidP="00D96B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74EC">
        <w:rPr>
          <w:rFonts w:ascii="Times New Roman" w:hAnsi="Times New Roman" w:cs="Times New Roman"/>
          <w:sz w:val="24"/>
          <w:szCs w:val="24"/>
        </w:rPr>
        <w:t xml:space="preserve">n view of the above, it is our </w:t>
      </w:r>
      <w:r>
        <w:rPr>
          <w:rFonts w:ascii="Times New Roman" w:hAnsi="Times New Roman" w:cs="Times New Roman"/>
          <w:sz w:val="24"/>
          <w:szCs w:val="24"/>
        </w:rPr>
        <w:t>conclusion</w:t>
      </w:r>
      <w:r w:rsidR="008174EC">
        <w:rPr>
          <w:rFonts w:ascii="Times New Roman" w:hAnsi="Times New Roman" w:cs="Times New Roman"/>
          <w:sz w:val="24"/>
          <w:szCs w:val="24"/>
        </w:rPr>
        <w:t xml:space="preserve"> that the appeal should succeed and we order as follows</w:t>
      </w:r>
      <w:r w:rsidR="00B82074">
        <w:rPr>
          <w:rFonts w:ascii="Times New Roman" w:hAnsi="Times New Roman" w:cs="Times New Roman"/>
          <w:sz w:val="24"/>
          <w:szCs w:val="24"/>
        </w:rPr>
        <w:t>:</w:t>
      </w:r>
    </w:p>
    <w:p w:rsidR="001F01AB" w:rsidRDefault="008174EC" w:rsidP="00D96B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174EC">
        <w:rPr>
          <w:rFonts w:ascii="Times New Roman" w:hAnsi="Times New Roman" w:cs="Times New Roman"/>
          <w:sz w:val="24"/>
          <w:szCs w:val="24"/>
        </w:rPr>
        <w:t>he appellant’s appeal be and is hereby allowed and</w:t>
      </w:r>
      <w:r w:rsidR="001F01AB">
        <w:rPr>
          <w:rFonts w:ascii="Times New Roman" w:hAnsi="Times New Roman" w:cs="Times New Roman"/>
          <w:sz w:val="24"/>
          <w:szCs w:val="24"/>
        </w:rPr>
        <w:t>,</w:t>
      </w:r>
    </w:p>
    <w:p w:rsidR="001F01AB" w:rsidRDefault="001F01AB" w:rsidP="00D96B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order an absolution from the instance in this matter</w:t>
      </w:r>
      <w:r w:rsidR="0040077E">
        <w:rPr>
          <w:rFonts w:ascii="Times New Roman" w:hAnsi="Times New Roman" w:cs="Times New Roman"/>
          <w:sz w:val="24"/>
          <w:szCs w:val="24"/>
        </w:rPr>
        <w:t>.</w:t>
      </w:r>
    </w:p>
    <w:p w:rsidR="001F01AB" w:rsidRDefault="001F01AB" w:rsidP="00D96B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8207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espondent to pay cost of suit.</w:t>
      </w:r>
    </w:p>
    <w:p w:rsidR="00B82074" w:rsidRDefault="00B82074" w:rsidP="00B8207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6086" w:rsidRDefault="008F6086" w:rsidP="00B8207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6086" w:rsidRDefault="008F6086" w:rsidP="00B8207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01AB" w:rsidRDefault="001F01AB" w:rsidP="00D96B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MWAYERA J: </w:t>
      </w:r>
      <w:r w:rsidR="00B82074">
        <w:rPr>
          <w:rFonts w:ascii="Times New Roman" w:hAnsi="Times New Roman" w:cs="Times New Roman"/>
          <w:sz w:val="24"/>
          <w:szCs w:val="24"/>
        </w:rPr>
        <w:t>agrees</w:t>
      </w:r>
      <w:proofErr w:type="gramStart"/>
      <w:r w:rsidR="00B82074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B82074" w:rsidRDefault="00B82074" w:rsidP="00D96B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6086" w:rsidRDefault="008F6086" w:rsidP="00D96B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6086" w:rsidRDefault="008F6086" w:rsidP="00D96B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2074" w:rsidRDefault="00B82074" w:rsidP="00B820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2074">
        <w:rPr>
          <w:rFonts w:ascii="Times New Roman" w:hAnsi="Times New Roman" w:cs="Times New Roman"/>
          <w:i/>
          <w:sz w:val="24"/>
          <w:szCs w:val="24"/>
        </w:rPr>
        <w:t>T.K. Hove &amp; Partners,</w:t>
      </w:r>
      <w:r>
        <w:rPr>
          <w:rFonts w:ascii="Times New Roman" w:hAnsi="Times New Roman" w:cs="Times New Roman"/>
          <w:sz w:val="24"/>
          <w:szCs w:val="24"/>
        </w:rPr>
        <w:t xml:space="preserve"> respondents’ legal practitioners</w:t>
      </w:r>
    </w:p>
    <w:p w:rsidR="00B82074" w:rsidRDefault="00B82074" w:rsidP="00B820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074">
        <w:rPr>
          <w:rFonts w:ascii="Times New Roman" w:hAnsi="Times New Roman" w:cs="Times New Roman"/>
          <w:i/>
          <w:sz w:val="24"/>
          <w:szCs w:val="24"/>
        </w:rPr>
        <w:t>Ngarava</w:t>
      </w:r>
      <w:proofErr w:type="spellEnd"/>
      <w:r w:rsidRPr="00B820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2074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Pr="00B82074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B82074">
        <w:rPr>
          <w:rFonts w:ascii="Times New Roman" w:hAnsi="Times New Roman" w:cs="Times New Roman"/>
          <w:i/>
          <w:sz w:val="24"/>
          <w:szCs w:val="24"/>
        </w:rPr>
        <w:t>Chikono</w:t>
      </w:r>
      <w:proofErr w:type="spellEnd"/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1F01AB" w:rsidRDefault="001F01AB" w:rsidP="00D96B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469A7" w:rsidRDefault="00F469A7" w:rsidP="00D96B1A">
      <w:pPr>
        <w:spacing w:after="0" w:line="240" w:lineRule="auto"/>
        <w:jc w:val="both"/>
      </w:pPr>
    </w:p>
    <w:sectPr w:rsidR="00F469A7" w:rsidSect="00D34738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93" w:rsidRDefault="00FC0993" w:rsidP="000A0EC9">
      <w:pPr>
        <w:spacing w:after="0" w:line="240" w:lineRule="auto"/>
      </w:pPr>
      <w:r>
        <w:separator/>
      </w:r>
    </w:p>
  </w:endnote>
  <w:endnote w:type="continuationSeparator" w:id="0">
    <w:p w:rsidR="00FC0993" w:rsidRDefault="00FC0993" w:rsidP="000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93" w:rsidRDefault="00FC0993" w:rsidP="000A0EC9">
      <w:pPr>
        <w:spacing w:after="0" w:line="240" w:lineRule="auto"/>
      </w:pPr>
      <w:r>
        <w:separator/>
      </w:r>
    </w:p>
  </w:footnote>
  <w:footnote w:type="continuationSeparator" w:id="0">
    <w:p w:rsidR="00FC0993" w:rsidRDefault="00FC0993" w:rsidP="000A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814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B1A" w:rsidRDefault="00D96B1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7E2">
          <w:rPr>
            <w:noProof/>
          </w:rPr>
          <w:t>1</w:t>
        </w:r>
        <w:r>
          <w:rPr>
            <w:noProof/>
          </w:rPr>
          <w:fldChar w:fldCharType="end"/>
        </w:r>
      </w:p>
      <w:p w:rsidR="00D96B1A" w:rsidRDefault="00D96B1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60331C">
          <w:rPr>
            <w:noProof/>
          </w:rPr>
          <w:t xml:space="preserve"> 7/16</w:t>
        </w:r>
      </w:p>
      <w:p w:rsidR="00D96B1A" w:rsidRDefault="00D96B1A">
        <w:pPr>
          <w:pStyle w:val="Header"/>
          <w:jc w:val="right"/>
        </w:pPr>
        <w:r>
          <w:rPr>
            <w:noProof/>
          </w:rPr>
          <w:t>CIV ‘A’ 332/15</w:t>
        </w:r>
      </w:p>
    </w:sdtContent>
  </w:sdt>
  <w:p w:rsidR="000A0EC9" w:rsidRDefault="000A0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106B6"/>
    <w:multiLevelType w:val="hybridMultilevel"/>
    <w:tmpl w:val="DDC6837A"/>
    <w:lvl w:ilvl="0" w:tplc="7078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A7"/>
    <w:rsid w:val="00035A66"/>
    <w:rsid w:val="00065B9C"/>
    <w:rsid w:val="0009246F"/>
    <w:rsid w:val="000A0EC9"/>
    <w:rsid w:val="000A4779"/>
    <w:rsid w:val="000A7E7C"/>
    <w:rsid w:val="000F1380"/>
    <w:rsid w:val="001624A8"/>
    <w:rsid w:val="001C2681"/>
    <w:rsid w:val="001D7383"/>
    <w:rsid w:val="001F01AB"/>
    <w:rsid w:val="00205F4C"/>
    <w:rsid w:val="002B52CC"/>
    <w:rsid w:val="00315C00"/>
    <w:rsid w:val="0034693C"/>
    <w:rsid w:val="003C3D62"/>
    <w:rsid w:val="003D6AD4"/>
    <w:rsid w:val="0040077E"/>
    <w:rsid w:val="0049549D"/>
    <w:rsid w:val="005F438C"/>
    <w:rsid w:val="0060331C"/>
    <w:rsid w:val="00662B31"/>
    <w:rsid w:val="006B5008"/>
    <w:rsid w:val="00746D3C"/>
    <w:rsid w:val="007633C9"/>
    <w:rsid w:val="007923F5"/>
    <w:rsid w:val="008174EC"/>
    <w:rsid w:val="008B17E2"/>
    <w:rsid w:val="008F09DD"/>
    <w:rsid w:val="008F6086"/>
    <w:rsid w:val="009657E2"/>
    <w:rsid w:val="009F749D"/>
    <w:rsid w:val="00AF6A76"/>
    <w:rsid w:val="00B05E30"/>
    <w:rsid w:val="00B637C8"/>
    <w:rsid w:val="00B82074"/>
    <w:rsid w:val="00BA02A7"/>
    <w:rsid w:val="00C5115C"/>
    <w:rsid w:val="00D22B76"/>
    <w:rsid w:val="00D34738"/>
    <w:rsid w:val="00D64A8C"/>
    <w:rsid w:val="00D95EB9"/>
    <w:rsid w:val="00D96B1A"/>
    <w:rsid w:val="00E23FD7"/>
    <w:rsid w:val="00E348CA"/>
    <w:rsid w:val="00E928A3"/>
    <w:rsid w:val="00E96459"/>
    <w:rsid w:val="00EA3F55"/>
    <w:rsid w:val="00F45DF1"/>
    <w:rsid w:val="00F469A7"/>
    <w:rsid w:val="00F548BC"/>
    <w:rsid w:val="00F87322"/>
    <w:rsid w:val="00F97FB5"/>
    <w:rsid w:val="00F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C9"/>
  </w:style>
  <w:style w:type="paragraph" w:styleId="Footer">
    <w:name w:val="footer"/>
    <w:basedOn w:val="Normal"/>
    <w:link w:val="FooterChar"/>
    <w:uiPriority w:val="99"/>
    <w:unhideWhenUsed/>
    <w:rsid w:val="000A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C9"/>
  </w:style>
  <w:style w:type="paragraph" w:styleId="Footer">
    <w:name w:val="footer"/>
    <w:basedOn w:val="Normal"/>
    <w:link w:val="FooterChar"/>
    <w:uiPriority w:val="99"/>
    <w:unhideWhenUsed/>
    <w:rsid w:val="000A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TRANSCRIBING</dc:creator>
  <cp:lastModifiedBy>jsc-Mujuru</cp:lastModifiedBy>
  <cp:revision>2</cp:revision>
  <cp:lastPrinted>2016-01-05T23:07:00Z</cp:lastPrinted>
  <dcterms:created xsi:type="dcterms:W3CDTF">2016-01-08T22:59:00Z</dcterms:created>
  <dcterms:modified xsi:type="dcterms:W3CDTF">2016-01-08T22:59:00Z</dcterms:modified>
</cp:coreProperties>
</file>