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6B" w:rsidRPr="004708FE" w:rsidRDefault="00004873" w:rsidP="00D759B7">
      <w:pPr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IN THE LABOUR COURT OF ZIMBABWE      JUDGMENT NO. LC/H/</w:t>
      </w:r>
      <w:r w:rsidR="008D4C58">
        <w:rPr>
          <w:rFonts w:ascii="Tahoma" w:hAnsi="Tahoma" w:cs="Tahoma"/>
          <w:b/>
          <w:sz w:val="24"/>
          <w:szCs w:val="24"/>
        </w:rPr>
        <w:t>217</w:t>
      </w:r>
      <w:r w:rsidR="00B2104F">
        <w:rPr>
          <w:rFonts w:ascii="Tahoma" w:hAnsi="Tahoma" w:cs="Tahoma"/>
          <w:b/>
          <w:sz w:val="24"/>
          <w:szCs w:val="24"/>
        </w:rPr>
        <w:t>/2020</w:t>
      </w:r>
    </w:p>
    <w:p w:rsidR="00004873" w:rsidRDefault="00004873" w:rsidP="00004873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 w:rsidR="00834EB7">
        <w:rPr>
          <w:rFonts w:ascii="Tahoma" w:hAnsi="Tahoma" w:cs="Tahoma"/>
          <w:b/>
          <w:sz w:val="24"/>
          <w:szCs w:val="24"/>
        </w:rPr>
        <w:t xml:space="preserve"> 22 SEPTEMBER</w:t>
      </w:r>
      <w:r w:rsidR="00307CFA">
        <w:rPr>
          <w:rFonts w:ascii="Tahoma" w:hAnsi="Tahoma" w:cs="Tahoma"/>
          <w:b/>
          <w:sz w:val="24"/>
          <w:szCs w:val="24"/>
        </w:rPr>
        <w:t xml:space="preserve"> 2020</w:t>
      </w:r>
      <w:r w:rsidR="00834EB7">
        <w:rPr>
          <w:rFonts w:ascii="Tahoma" w:hAnsi="Tahoma" w:cs="Tahoma"/>
          <w:b/>
          <w:sz w:val="24"/>
          <w:szCs w:val="24"/>
        </w:rPr>
        <w:tab/>
      </w:r>
      <w:r w:rsidR="00834EB7">
        <w:rPr>
          <w:rFonts w:ascii="Tahoma" w:hAnsi="Tahoma" w:cs="Tahoma"/>
          <w:b/>
          <w:sz w:val="24"/>
          <w:szCs w:val="24"/>
        </w:rPr>
        <w:tab/>
        <w:t xml:space="preserve">  </w:t>
      </w:r>
      <w:r w:rsidR="00630D41">
        <w:rPr>
          <w:rFonts w:ascii="Tahoma" w:hAnsi="Tahoma" w:cs="Tahoma"/>
          <w:b/>
          <w:sz w:val="24"/>
          <w:szCs w:val="24"/>
        </w:rPr>
        <w:t xml:space="preserve">  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3D48AD">
        <w:rPr>
          <w:rFonts w:ascii="Tahoma" w:hAnsi="Tahoma" w:cs="Tahoma"/>
          <w:b/>
          <w:sz w:val="24"/>
          <w:szCs w:val="24"/>
        </w:rPr>
        <w:t>REV/39/20</w:t>
      </w:r>
    </w:p>
    <w:p w:rsidR="00004873" w:rsidRPr="004708FE" w:rsidRDefault="008D4C58" w:rsidP="00004873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 09 OCTOBER 2020</w:t>
      </w:r>
    </w:p>
    <w:p w:rsidR="00004873" w:rsidRPr="004708FE" w:rsidRDefault="00004873" w:rsidP="00004873">
      <w:pPr>
        <w:jc w:val="both"/>
        <w:rPr>
          <w:rFonts w:ascii="Tahoma" w:hAnsi="Tahoma" w:cs="Tahoma"/>
          <w:sz w:val="24"/>
          <w:szCs w:val="24"/>
        </w:rPr>
      </w:pPr>
    </w:p>
    <w:p w:rsidR="00004873" w:rsidRDefault="003D48AD" w:rsidP="00223F7D">
      <w:pPr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Suwisai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Marume</w:t>
      </w:r>
      <w:proofErr w:type="spellEnd"/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4D64D8">
        <w:rPr>
          <w:rFonts w:ascii="Tahoma" w:hAnsi="Tahoma" w:cs="Tahoma"/>
          <w:b/>
          <w:sz w:val="24"/>
          <w:szCs w:val="24"/>
        </w:rPr>
        <w:tab/>
      </w:r>
      <w:r w:rsidR="00307CFA">
        <w:rPr>
          <w:rFonts w:ascii="Tahoma" w:hAnsi="Tahoma" w:cs="Tahoma"/>
          <w:b/>
          <w:sz w:val="24"/>
          <w:szCs w:val="24"/>
        </w:rPr>
        <w:tab/>
      </w:r>
      <w:r w:rsidR="00307CFA">
        <w:rPr>
          <w:rFonts w:ascii="Tahoma" w:hAnsi="Tahoma" w:cs="Tahoma"/>
          <w:b/>
          <w:sz w:val="24"/>
          <w:szCs w:val="24"/>
        </w:rPr>
        <w:tab/>
      </w:r>
      <w:r w:rsidR="00307CFA">
        <w:rPr>
          <w:rFonts w:ascii="Tahoma" w:hAnsi="Tahoma" w:cs="Tahoma"/>
          <w:b/>
          <w:sz w:val="24"/>
          <w:szCs w:val="24"/>
        </w:rPr>
        <w:tab/>
        <w:t>Applicant</w:t>
      </w:r>
    </w:p>
    <w:p w:rsidR="00223F7D" w:rsidRPr="00223F7D" w:rsidRDefault="00223F7D" w:rsidP="00223F7D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307CFA" w:rsidRDefault="003D48AD" w:rsidP="00004873">
      <w:pPr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Chinhoyi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University of Technology</w:t>
      </w:r>
      <w:r w:rsidR="00E55A23">
        <w:rPr>
          <w:rFonts w:ascii="Tahoma" w:hAnsi="Tahoma" w:cs="Tahoma"/>
          <w:b/>
          <w:sz w:val="24"/>
          <w:szCs w:val="24"/>
        </w:rPr>
        <w:tab/>
      </w:r>
      <w:r w:rsidR="00E55A23">
        <w:rPr>
          <w:rFonts w:ascii="Tahoma" w:hAnsi="Tahoma" w:cs="Tahoma"/>
          <w:b/>
          <w:sz w:val="24"/>
          <w:szCs w:val="24"/>
        </w:rPr>
        <w:tab/>
      </w:r>
      <w:r w:rsidR="00E55A23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Respondent</w:t>
      </w:r>
    </w:p>
    <w:p w:rsidR="00364210" w:rsidRPr="004708FE" w:rsidRDefault="00364210" w:rsidP="00004873">
      <w:pPr>
        <w:jc w:val="both"/>
        <w:rPr>
          <w:rFonts w:ascii="Tahoma" w:hAnsi="Tahoma" w:cs="Tahoma"/>
          <w:b/>
          <w:sz w:val="24"/>
          <w:szCs w:val="24"/>
        </w:rPr>
      </w:pPr>
    </w:p>
    <w:p w:rsidR="00004873" w:rsidRPr="00364210" w:rsidRDefault="00004873" w:rsidP="00004873">
      <w:pPr>
        <w:jc w:val="both"/>
        <w:rPr>
          <w:rFonts w:ascii="Tahoma" w:hAnsi="Tahoma" w:cs="Tahoma"/>
          <w:b/>
          <w:sz w:val="24"/>
          <w:szCs w:val="24"/>
        </w:rPr>
      </w:pPr>
      <w:r w:rsidRPr="00364210">
        <w:rPr>
          <w:rFonts w:ascii="Tahoma" w:hAnsi="Tahoma" w:cs="Tahoma"/>
          <w:b/>
          <w:sz w:val="24"/>
          <w:szCs w:val="24"/>
        </w:rPr>
        <w:t xml:space="preserve">Before Honourable </w:t>
      </w:r>
      <w:r w:rsidR="00223F7D" w:rsidRPr="00364210">
        <w:rPr>
          <w:rFonts w:ascii="Tahoma" w:hAnsi="Tahoma" w:cs="Tahoma"/>
          <w:b/>
          <w:sz w:val="24"/>
          <w:szCs w:val="24"/>
        </w:rPr>
        <w:t xml:space="preserve">G. </w:t>
      </w:r>
      <w:proofErr w:type="spellStart"/>
      <w:r w:rsidR="00223F7D" w:rsidRPr="00364210">
        <w:rPr>
          <w:rFonts w:ascii="Tahoma" w:hAnsi="Tahoma" w:cs="Tahoma"/>
          <w:b/>
          <w:sz w:val="24"/>
          <w:szCs w:val="24"/>
        </w:rPr>
        <w:t>Musariri</w:t>
      </w:r>
      <w:proofErr w:type="spellEnd"/>
      <w:r w:rsidR="00307CFA">
        <w:rPr>
          <w:rFonts w:ascii="Tahoma" w:hAnsi="Tahoma" w:cs="Tahoma"/>
          <w:b/>
          <w:sz w:val="24"/>
          <w:szCs w:val="24"/>
        </w:rPr>
        <w:t>, Judge</w:t>
      </w:r>
      <w:r w:rsidRPr="00364210">
        <w:rPr>
          <w:rFonts w:ascii="Tahoma" w:hAnsi="Tahoma" w:cs="Tahoma"/>
          <w:b/>
          <w:sz w:val="24"/>
          <w:szCs w:val="24"/>
        </w:rPr>
        <w:t xml:space="preserve">                             </w:t>
      </w:r>
    </w:p>
    <w:p w:rsidR="00004873" w:rsidRPr="004708FE" w:rsidRDefault="00004873" w:rsidP="00004873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004873" w:rsidRDefault="00004873" w:rsidP="00307CFA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For </w:t>
      </w:r>
      <w:r w:rsidR="003D48AD">
        <w:rPr>
          <w:rFonts w:ascii="Tahoma" w:hAnsi="Tahoma" w:cs="Tahoma"/>
          <w:b/>
          <w:sz w:val="24"/>
          <w:szCs w:val="24"/>
        </w:rPr>
        <w:t xml:space="preserve">the </w:t>
      </w:r>
      <w:r>
        <w:rPr>
          <w:rFonts w:ascii="Tahoma" w:hAnsi="Tahoma" w:cs="Tahoma"/>
          <w:b/>
          <w:sz w:val="24"/>
          <w:szCs w:val="24"/>
        </w:rPr>
        <w:t>App</w:t>
      </w:r>
      <w:r w:rsidR="003D48AD">
        <w:rPr>
          <w:rFonts w:ascii="Tahoma" w:hAnsi="Tahoma" w:cs="Tahoma"/>
          <w:b/>
          <w:sz w:val="24"/>
          <w:szCs w:val="24"/>
        </w:rPr>
        <w:t>licant</w:t>
      </w:r>
      <w:r w:rsidR="004D64D8">
        <w:rPr>
          <w:rFonts w:ascii="Tahoma" w:hAnsi="Tahoma" w:cs="Tahoma"/>
          <w:b/>
          <w:sz w:val="24"/>
          <w:szCs w:val="24"/>
        </w:rPr>
        <w:tab/>
      </w:r>
      <w:r w:rsidR="004D64D8">
        <w:rPr>
          <w:rFonts w:ascii="Tahoma" w:hAnsi="Tahoma" w:cs="Tahoma"/>
          <w:b/>
          <w:sz w:val="24"/>
          <w:szCs w:val="24"/>
        </w:rPr>
        <w:tab/>
      </w:r>
      <w:r w:rsidR="00052FAE">
        <w:rPr>
          <w:rFonts w:ascii="Tahoma" w:hAnsi="Tahoma" w:cs="Tahoma"/>
          <w:b/>
          <w:sz w:val="24"/>
          <w:szCs w:val="24"/>
        </w:rPr>
        <w:tab/>
        <w:t>-</w:t>
      </w:r>
      <w:r w:rsidR="00052FAE">
        <w:rPr>
          <w:rFonts w:ascii="Tahoma" w:hAnsi="Tahoma" w:cs="Tahoma"/>
          <w:b/>
          <w:sz w:val="24"/>
          <w:szCs w:val="24"/>
        </w:rPr>
        <w:tab/>
        <w:t xml:space="preserve"> Mr</w:t>
      </w:r>
      <w:r w:rsidR="003D48AD">
        <w:rPr>
          <w:rFonts w:ascii="Tahoma" w:hAnsi="Tahoma" w:cs="Tahoma"/>
          <w:b/>
          <w:sz w:val="24"/>
          <w:szCs w:val="24"/>
        </w:rPr>
        <w:t xml:space="preserve"> L. </w:t>
      </w:r>
      <w:proofErr w:type="spellStart"/>
      <w:r w:rsidR="003D48AD">
        <w:rPr>
          <w:rFonts w:ascii="Tahoma" w:hAnsi="Tahoma" w:cs="Tahoma"/>
          <w:b/>
          <w:sz w:val="24"/>
          <w:szCs w:val="24"/>
        </w:rPr>
        <w:t>Madhuku</w:t>
      </w:r>
      <w:proofErr w:type="spellEnd"/>
      <w:r w:rsidR="003D48AD">
        <w:rPr>
          <w:rFonts w:ascii="Tahoma" w:hAnsi="Tahoma" w:cs="Tahoma"/>
          <w:b/>
          <w:sz w:val="24"/>
          <w:szCs w:val="24"/>
        </w:rPr>
        <w:t>, Attorney</w:t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307CFA" w:rsidRDefault="00004873" w:rsidP="00004873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</w:t>
      </w:r>
      <w:r w:rsidR="003D48AD">
        <w:rPr>
          <w:rFonts w:ascii="Tahoma" w:hAnsi="Tahoma" w:cs="Tahoma"/>
          <w:b/>
          <w:sz w:val="24"/>
          <w:szCs w:val="24"/>
        </w:rPr>
        <w:t xml:space="preserve"> </w:t>
      </w:r>
      <w:r w:rsidR="00307CFA" w:rsidRPr="008C4120">
        <w:rPr>
          <w:rFonts w:ascii="Tahoma" w:hAnsi="Tahoma" w:cs="Tahoma"/>
          <w:b/>
          <w:sz w:val="24"/>
          <w:szCs w:val="24"/>
        </w:rPr>
        <w:t>Respondent</w:t>
      </w:r>
      <w:r w:rsidR="004D64D8">
        <w:rPr>
          <w:rFonts w:ascii="Tahoma" w:hAnsi="Tahoma" w:cs="Tahoma"/>
          <w:b/>
          <w:sz w:val="24"/>
          <w:szCs w:val="24"/>
        </w:rPr>
        <w:tab/>
      </w:r>
      <w:r w:rsidR="00307CFA">
        <w:rPr>
          <w:rFonts w:ascii="Tahoma" w:hAnsi="Tahoma" w:cs="Tahoma"/>
          <w:b/>
          <w:sz w:val="24"/>
          <w:szCs w:val="24"/>
        </w:rPr>
        <w:tab/>
      </w:r>
      <w:r w:rsidR="00701F44">
        <w:rPr>
          <w:rFonts w:ascii="Tahoma" w:hAnsi="Tahoma" w:cs="Tahoma"/>
          <w:b/>
          <w:sz w:val="24"/>
          <w:szCs w:val="24"/>
        </w:rPr>
        <w:t>-</w:t>
      </w:r>
      <w:r w:rsidR="003D48AD">
        <w:rPr>
          <w:rFonts w:ascii="Tahoma" w:hAnsi="Tahoma" w:cs="Tahoma"/>
          <w:b/>
          <w:sz w:val="24"/>
          <w:szCs w:val="24"/>
        </w:rPr>
        <w:tab/>
      </w:r>
      <w:r w:rsidR="003D48AD">
        <w:rPr>
          <w:rFonts w:ascii="Tahoma" w:hAnsi="Tahoma" w:cs="Tahoma"/>
          <w:b/>
          <w:sz w:val="24"/>
          <w:szCs w:val="24"/>
        </w:rPr>
        <w:tab/>
        <w:t>Mr S</w:t>
      </w:r>
      <w:r w:rsidR="00834EB7">
        <w:rPr>
          <w:rFonts w:ascii="Tahoma" w:hAnsi="Tahoma" w:cs="Tahoma"/>
          <w:b/>
          <w:sz w:val="24"/>
          <w:szCs w:val="24"/>
        </w:rPr>
        <w:t>.</w:t>
      </w:r>
      <w:r w:rsidR="003D48AD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D48AD">
        <w:rPr>
          <w:rFonts w:ascii="Tahoma" w:hAnsi="Tahoma" w:cs="Tahoma"/>
          <w:b/>
          <w:sz w:val="24"/>
          <w:szCs w:val="24"/>
        </w:rPr>
        <w:t>Mushonga</w:t>
      </w:r>
      <w:proofErr w:type="spellEnd"/>
      <w:r w:rsidR="00701F44">
        <w:rPr>
          <w:rFonts w:ascii="Tahoma" w:hAnsi="Tahoma" w:cs="Tahoma"/>
          <w:b/>
          <w:sz w:val="24"/>
          <w:szCs w:val="24"/>
        </w:rPr>
        <w:t>, Attorney</w:t>
      </w:r>
    </w:p>
    <w:p w:rsidR="00004873" w:rsidRPr="004708FE" w:rsidRDefault="00004873" w:rsidP="00004873">
      <w:pPr>
        <w:jc w:val="both"/>
        <w:rPr>
          <w:rFonts w:ascii="Tahoma" w:hAnsi="Tahoma" w:cs="Tahoma"/>
          <w:b/>
          <w:sz w:val="24"/>
          <w:szCs w:val="24"/>
        </w:rPr>
      </w:pPr>
    </w:p>
    <w:p w:rsidR="00004873" w:rsidRDefault="00364210" w:rsidP="00004873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MUSARIRI</w:t>
      </w:r>
      <w:r w:rsidR="00004873" w:rsidRPr="004708FE">
        <w:rPr>
          <w:rFonts w:ascii="Tahoma" w:hAnsi="Tahoma" w:cs="Tahoma"/>
          <w:b/>
          <w:sz w:val="24"/>
          <w:szCs w:val="24"/>
        </w:rPr>
        <w:t>, J:</w:t>
      </w:r>
    </w:p>
    <w:p w:rsidR="008E57E0" w:rsidRDefault="008E57E0" w:rsidP="00004873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8E57E0" w:rsidRDefault="008E57E0" w:rsidP="0000487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relevant statutes and instruments in this matter are as follows,</w:t>
      </w:r>
    </w:p>
    <w:p w:rsidR="008E57E0" w:rsidRDefault="008E57E0" w:rsidP="008E57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852">
        <w:rPr>
          <w:rFonts w:ascii="Tahoma" w:hAnsi="Tahoma" w:cs="Tahoma"/>
          <w:sz w:val="24"/>
          <w:szCs w:val="24"/>
          <w:u w:val="single"/>
        </w:rPr>
        <w:t>The Labour Act</w:t>
      </w:r>
      <w:r>
        <w:rPr>
          <w:rFonts w:ascii="Tahoma" w:hAnsi="Tahoma" w:cs="Tahoma"/>
          <w:sz w:val="24"/>
          <w:szCs w:val="24"/>
        </w:rPr>
        <w:t xml:space="preserve"> Chapter 28:01</w:t>
      </w:r>
      <w:r w:rsidR="00B03852">
        <w:rPr>
          <w:rFonts w:ascii="Tahoma" w:hAnsi="Tahoma" w:cs="Tahoma"/>
          <w:sz w:val="24"/>
          <w:szCs w:val="24"/>
        </w:rPr>
        <w:t xml:space="preserve"> hereafter called the Act.</w:t>
      </w:r>
    </w:p>
    <w:p w:rsidR="00B03852" w:rsidRDefault="00B03852" w:rsidP="008E57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proofErr w:type="spellStart"/>
      <w:r w:rsidRPr="00B03852">
        <w:rPr>
          <w:rFonts w:ascii="Tahoma" w:hAnsi="Tahoma" w:cs="Tahoma"/>
          <w:sz w:val="24"/>
          <w:szCs w:val="24"/>
          <w:u w:val="single"/>
        </w:rPr>
        <w:t>Chinhoyi</w:t>
      </w:r>
      <w:proofErr w:type="spellEnd"/>
      <w:r w:rsidRPr="00B03852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Pr="00B03852">
        <w:rPr>
          <w:rFonts w:ascii="Tahoma" w:hAnsi="Tahoma" w:cs="Tahoma"/>
          <w:sz w:val="24"/>
          <w:szCs w:val="24"/>
          <w:u w:val="single"/>
        </w:rPr>
        <w:t>Univesity</w:t>
      </w:r>
      <w:proofErr w:type="spellEnd"/>
      <w:r w:rsidRPr="00B03852">
        <w:rPr>
          <w:rFonts w:ascii="Tahoma" w:hAnsi="Tahoma" w:cs="Tahoma"/>
          <w:sz w:val="24"/>
          <w:szCs w:val="24"/>
          <w:u w:val="single"/>
        </w:rPr>
        <w:t xml:space="preserve"> of </w:t>
      </w:r>
      <w:r w:rsidR="00834EB7" w:rsidRPr="00B03852">
        <w:rPr>
          <w:rFonts w:ascii="Tahoma" w:hAnsi="Tahoma" w:cs="Tahoma"/>
          <w:sz w:val="24"/>
          <w:szCs w:val="24"/>
          <w:u w:val="single"/>
        </w:rPr>
        <w:t xml:space="preserve">Technology </w:t>
      </w:r>
      <w:r w:rsidR="00834EB7" w:rsidRPr="00834EB7">
        <w:rPr>
          <w:rFonts w:ascii="Tahoma" w:hAnsi="Tahoma" w:cs="Tahoma"/>
          <w:sz w:val="24"/>
          <w:szCs w:val="24"/>
        </w:rPr>
        <w:t>Act Chapter</w:t>
      </w:r>
      <w:r>
        <w:rPr>
          <w:rFonts w:ascii="Tahoma" w:hAnsi="Tahoma" w:cs="Tahoma"/>
          <w:sz w:val="24"/>
          <w:szCs w:val="24"/>
        </w:rPr>
        <w:t xml:space="preserve"> 25:03 hereafter called the CUT Act.</w:t>
      </w:r>
    </w:p>
    <w:p w:rsidR="00B03852" w:rsidRDefault="00B03852" w:rsidP="008E57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Pr="00834EB7">
        <w:rPr>
          <w:rFonts w:ascii="Tahoma" w:hAnsi="Tahoma" w:cs="Tahoma"/>
          <w:sz w:val="24"/>
          <w:szCs w:val="24"/>
          <w:u w:val="single"/>
        </w:rPr>
        <w:t xml:space="preserve">Labour (National Employment Code of Conduct) Regulations </w:t>
      </w:r>
      <w:r>
        <w:rPr>
          <w:rFonts w:ascii="Tahoma" w:hAnsi="Tahoma" w:cs="Tahoma"/>
          <w:sz w:val="24"/>
          <w:szCs w:val="24"/>
        </w:rPr>
        <w:t>S.I. 15/06 hereafter called the National Code.</w:t>
      </w:r>
    </w:p>
    <w:p w:rsidR="00B03852" w:rsidRDefault="00B03852" w:rsidP="00B0385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B03852" w:rsidRDefault="00B03852" w:rsidP="00B0385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Applicant filed an application for review by this Court of her dismissal from employment by Respondent.  The grounds for review were two-fold namely illegal</w:t>
      </w:r>
      <w:r w:rsidR="00052FAE">
        <w:rPr>
          <w:rFonts w:ascii="Tahoma" w:hAnsi="Tahoma" w:cs="Tahoma"/>
          <w:sz w:val="24"/>
          <w:szCs w:val="24"/>
        </w:rPr>
        <w:t>ity and irrationality.  I shall</w:t>
      </w:r>
      <w:r>
        <w:rPr>
          <w:rFonts w:ascii="Tahoma" w:hAnsi="Tahoma" w:cs="Tahoma"/>
          <w:sz w:val="24"/>
          <w:szCs w:val="24"/>
        </w:rPr>
        <w:t xml:space="preserve"> deal with the grounds </w:t>
      </w:r>
      <w:r w:rsidRPr="00B03852">
        <w:rPr>
          <w:rFonts w:ascii="Tahoma" w:hAnsi="Tahoma" w:cs="Tahoma"/>
          <w:sz w:val="24"/>
          <w:szCs w:val="24"/>
          <w:u w:val="single"/>
        </w:rPr>
        <w:t>ad</w:t>
      </w:r>
      <w:r>
        <w:rPr>
          <w:rFonts w:ascii="Tahoma" w:hAnsi="Tahoma" w:cs="Tahoma"/>
          <w:sz w:val="24"/>
          <w:szCs w:val="24"/>
        </w:rPr>
        <w:t xml:space="preserve"> </w:t>
      </w:r>
      <w:r w:rsidRPr="00B03852">
        <w:rPr>
          <w:rFonts w:ascii="Tahoma" w:hAnsi="Tahoma" w:cs="Tahoma"/>
          <w:sz w:val="24"/>
          <w:szCs w:val="24"/>
          <w:u w:val="single"/>
        </w:rPr>
        <w:t>seriatim</w:t>
      </w:r>
      <w:r>
        <w:rPr>
          <w:rFonts w:ascii="Tahoma" w:hAnsi="Tahoma" w:cs="Tahoma"/>
          <w:sz w:val="24"/>
          <w:szCs w:val="24"/>
        </w:rPr>
        <w:t>.</w:t>
      </w:r>
    </w:p>
    <w:p w:rsidR="00834EB7" w:rsidRDefault="00834EB7" w:rsidP="00B0385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34EB7" w:rsidRPr="00B03852" w:rsidRDefault="00834EB7" w:rsidP="00B0385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584B94" w:rsidRPr="00834EB7" w:rsidRDefault="00E2323D" w:rsidP="00E2323D">
      <w:pPr>
        <w:spacing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Ill</w:t>
      </w:r>
      <w:r w:rsidR="00B03852" w:rsidRPr="00834EB7">
        <w:rPr>
          <w:rFonts w:ascii="Tahoma" w:hAnsi="Tahoma" w:cs="Tahoma"/>
          <w:b/>
          <w:sz w:val="24"/>
          <w:szCs w:val="24"/>
          <w:u w:val="single"/>
        </w:rPr>
        <w:t>egality</w:t>
      </w:r>
    </w:p>
    <w:p w:rsidR="00B03852" w:rsidRDefault="00B03852" w:rsidP="0000487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03852">
        <w:rPr>
          <w:rFonts w:ascii="Tahoma" w:hAnsi="Tahoma" w:cs="Tahoma"/>
          <w:sz w:val="24"/>
          <w:szCs w:val="24"/>
        </w:rPr>
        <w:t xml:space="preserve">Applicant </w:t>
      </w:r>
      <w:r w:rsidR="008827A6">
        <w:rPr>
          <w:rFonts w:ascii="Tahoma" w:hAnsi="Tahoma" w:cs="Tahoma"/>
          <w:sz w:val="24"/>
          <w:szCs w:val="24"/>
        </w:rPr>
        <w:t xml:space="preserve">was dismissed after a disciplinary hearing for misconduct.  She submitted that the hearing was not “constituted” in accordance with section 26 of the CUT Act.  Subsection (1) provides that </w:t>
      </w:r>
    </w:p>
    <w:p w:rsidR="008827A6" w:rsidRPr="00834EB7" w:rsidRDefault="008827A6" w:rsidP="00834EB7">
      <w:pPr>
        <w:spacing w:line="360" w:lineRule="auto"/>
        <w:ind w:left="360"/>
        <w:jc w:val="both"/>
        <w:rPr>
          <w:rFonts w:ascii="Tahoma" w:hAnsi="Tahoma" w:cs="Tahoma"/>
        </w:rPr>
      </w:pPr>
      <w:r w:rsidRPr="00834EB7">
        <w:rPr>
          <w:rFonts w:ascii="Tahoma" w:hAnsi="Tahoma" w:cs="Tahoma"/>
        </w:rPr>
        <w:t>“There shall be a Staff Disciplinary Committee which shall consist of the following members appointed by the Vice- Chancellor –</w:t>
      </w:r>
    </w:p>
    <w:p w:rsidR="008827A6" w:rsidRPr="00834EB7" w:rsidRDefault="008827A6" w:rsidP="008827A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r w:rsidRPr="00834EB7">
        <w:rPr>
          <w:rFonts w:ascii="Tahoma" w:hAnsi="Tahoma" w:cs="Tahoma"/>
        </w:rPr>
        <w:t>a distinguished legal person, who shall be a chairman; and</w:t>
      </w:r>
    </w:p>
    <w:p w:rsidR="008827A6" w:rsidRPr="00834EB7" w:rsidRDefault="008827A6" w:rsidP="008827A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r w:rsidRPr="00834EB7">
        <w:rPr>
          <w:rFonts w:ascii="Tahoma" w:hAnsi="Tahoma" w:cs="Tahoma"/>
        </w:rPr>
        <w:t xml:space="preserve">a  senior member of the academic and administrative staff; and </w:t>
      </w:r>
    </w:p>
    <w:p w:rsidR="008827A6" w:rsidRPr="00834EB7" w:rsidRDefault="008827A6" w:rsidP="008827A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r w:rsidRPr="00834EB7">
        <w:rPr>
          <w:rFonts w:ascii="Tahoma" w:hAnsi="Tahoma" w:cs="Tahoma"/>
        </w:rPr>
        <w:t>a member of the academic, administrative and technic</w:t>
      </w:r>
      <w:r w:rsidR="00E2323D">
        <w:rPr>
          <w:rFonts w:ascii="Tahoma" w:hAnsi="Tahoma" w:cs="Tahoma"/>
        </w:rPr>
        <w:t>al staff of</w:t>
      </w:r>
      <w:r w:rsidRPr="00834EB7">
        <w:rPr>
          <w:rFonts w:ascii="Tahoma" w:hAnsi="Tahoma" w:cs="Tahoma"/>
        </w:rPr>
        <w:t xml:space="preserve"> similar status to the person charged; and</w:t>
      </w:r>
    </w:p>
    <w:p w:rsidR="008827A6" w:rsidRPr="00834EB7" w:rsidRDefault="008827A6" w:rsidP="008827A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r w:rsidRPr="00834EB7">
        <w:rPr>
          <w:rFonts w:ascii="Tahoma" w:hAnsi="Tahoma" w:cs="Tahoma"/>
        </w:rPr>
        <w:t>a registered legal practitioner of at least five years standing who does not hold any post at the university and who is nominated annually by the Council.”</w:t>
      </w:r>
    </w:p>
    <w:p w:rsidR="008827A6" w:rsidRDefault="00D572EB" w:rsidP="00834EB7">
      <w:pPr>
        <w:spacing w:line="360" w:lineRule="auto"/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disciplinary committee (panel) </w:t>
      </w:r>
      <w:r w:rsidRPr="00D572EB">
        <w:rPr>
          <w:rFonts w:ascii="Tahoma" w:hAnsi="Tahoma" w:cs="Tahoma"/>
          <w:i/>
          <w:sz w:val="24"/>
          <w:szCs w:val="24"/>
          <w:u w:val="single"/>
        </w:rPr>
        <w:t>in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34EB7" w:rsidRPr="00D572EB">
        <w:rPr>
          <w:rFonts w:ascii="Tahoma" w:hAnsi="Tahoma" w:cs="Tahoma"/>
          <w:i/>
          <w:sz w:val="24"/>
          <w:szCs w:val="24"/>
          <w:u w:val="single"/>
        </w:rPr>
        <w:t>casu</w:t>
      </w:r>
      <w:proofErr w:type="spellEnd"/>
      <w:r w:rsidR="00834EB7">
        <w:rPr>
          <w:rFonts w:ascii="Tahoma" w:hAnsi="Tahoma" w:cs="Tahoma"/>
          <w:sz w:val="24"/>
          <w:szCs w:val="24"/>
        </w:rPr>
        <w:t xml:space="preserve"> comprised</w:t>
      </w:r>
      <w:r>
        <w:rPr>
          <w:rFonts w:ascii="Tahoma" w:hAnsi="Tahoma" w:cs="Tahoma"/>
          <w:sz w:val="24"/>
          <w:szCs w:val="24"/>
        </w:rPr>
        <w:t xml:space="preserve"> Mr I. </w:t>
      </w:r>
      <w:proofErr w:type="spellStart"/>
      <w:r>
        <w:rPr>
          <w:rFonts w:ascii="Tahoma" w:hAnsi="Tahoma" w:cs="Tahoma"/>
          <w:sz w:val="24"/>
          <w:szCs w:val="24"/>
        </w:rPr>
        <w:t>Muchingambi</w:t>
      </w:r>
      <w:proofErr w:type="spellEnd"/>
      <w:r>
        <w:rPr>
          <w:rFonts w:ascii="Tahoma" w:hAnsi="Tahoma" w:cs="Tahoma"/>
          <w:sz w:val="24"/>
          <w:szCs w:val="24"/>
        </w:rPr>
        <w:t xml:space="preserve"> as Chairperson, Ms I. </w:t>
      </w:r>
      <w:proofErr w:type="spellStart"/>
      <w:r>
        <w:rPr>
          <w:rFonts w:ascii="Tahoma" w:hAnsi="Tahoma" w:cs="Tahoma"/>
          <w:sz w:val="24"/>
          <w:szCs w:val="24"/>
        </w:rPr>
        <w:t>Karindira</w:t>
      </w:r>
      <w:proofErr w:type="spellEnd"/>
      <w:r>
        <w:rPr>
          <w:rFonts w:ascii="Tahoma" w:hAnsi="Tahoma" w:cs="Tahoma"/>
          <w:sz w:val="24"/>
          <w:szCs w:val="24"/>
        </w:rPr>
        <w:t xml:space="preserve"> as member and Mrs E. </w:t>
      </w:r>
      <w:proofErr w:type="spellStart"/>
      <w:r>
        <w:rPr>
          <w:rFonts w:ascii="Tahoma" w:hAnsi="Tahoma" w:cs="Tahoma"/>
          <w:sz w:val="24"/>
          <w:szCs w:val="24"/>
        </w:rPr>
        <w:t>Beremauro</w:t>
      </w:r>
      <w:proofErr w:type="spellEnd"/>
      <w:r>
        <w:rPr>
          <w:rFonts w:ascii="Tahoma" w:hAnsi="Tahoma" w:cs="Tahoma"/>
          <w:sz w:val="24"/>
          <w:szCs w:val="24"/>
        </w:rPr>
        <w:t xml:space="preserve"> as member.  Applicant argued that </w:t>
      </w:r>
      <w:proofErr w:type="spellStart"/>
      <w:r>
        <w:rPr>
          <w:rFonts w:ascii="Tahoma" w:hAnsi="Tahoma" w:cs="Tahoma"/>
          <w:sz w:val="24"/>
          <w:szCs w:val="24"/>
        </w:rPr>
        <w:t>Karindira</w:t>
      </w:r>
      <w:proofErr w:type="spellEnd"/>
      <w:r>
        <w:rPr>
          <w:rFonts w:ascii="Tahoma" w:hAnsi="Tahoma" w:cs="Tahoma"/>
          <w:sz w:val="24"/>
          <w:szCs w:val="24"/>
        </w:rPr>
        <w:t xml:space="preserve"> was not senior administrative staff and that there was no registered legal practitioner.  Applicant concluded in her Heads of Argument that</w:t>
      </w:r>
    </w:p>
    <w:p w:rsidR="00D572EB" w:rsidRPr="00834EB7" w:rsidRDefault="00D572EB" w:rsidP="00834EB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>“</w:t>
      </w:r>
      <w:r w:rsidRPr="00834EB7">
        <w:rPr>
          <w:rFonts w:ascii="Tahoma" w:hAnsi="Tahoma" w:cs="Tahoma"/>
        </w:rPr>
        <w:t xml:space="preserve">5. Being not constituted in accordance with the mandatory provisions of the applicable legislation, the purported decisions of the ’disciplinary authority </w:t>
      </w:r>
      <w:r w:rsidR="00834EB7" w:rsidRPr="00834EB7">
        <w:rPr>
          <w:rFonts w:ascii="Tahoma" w:hAnsi="Tahoma" w:cs="Tahoma"/>
        </w:rPr>
        <w:t>‘are</w:t>
      </w:r>
      <w:r w:rsidRPr="00834EB7">
        <w:rPr>
          <w:rFonts w:ascii="Tahoma" w:hAnsi="Tahoma" w:cs="Tahoma"/>
        </w:rPr>
        <w:t xml:space="preserve"> a nullity,”</w:t>
      </w:r>
    </w:p>
    <w:p w:rsidR="00D572EB" w:rsidRPr="00E2323D" w:rsidRDefault="00D572EB" w:rsidP="00834EB7">
      <w:pPr>
        <w:spacing w:line="360" w:lineRule="auto"/>
        <w:ind w:firstLine="360"/>
        <w:jc w:val="both"/>
        <w:rPr>
          <w:rFonts w:ascii="Tahoma" w:hAnsi="Tahoma" w:cs="Tahoma"/>
          <w:b/>
          <w:i/>
        </w:rPr>
      </w:pPr>
      <w:r w:rsidRPr="00E2323D">
        <w:rPr>
          <w:rFonts w:ascii="Tahoma" w:hAnsi="Tahoma" w:cs="Tahoma"/>
          <w:b/>
          <w:i/>
        </w:rPr>
        <w:t xml:space="preserve">Respondent </w:t>
      </w:r>
      <w:r w:rsidR="00834EB7" w:rsidRPr="00E2323D">
        <w:rPr>
          <w:rFonts w:ascii="Tahoma" w:hAnsi="Tahoma" w:cs="Tahoma"/>
          <w:b/>
          <w:i/>
        </w:rPr>
        <w:t>disagreed through</w:t>
      </w:r>
      <w:r w:rsidRPr="00E2323D">
        <w:rPr>
          <w:rFonts w:ascii="Tahoma" w:hAnsi="Tahoma" w:cs="Tahoma"/>
          <w:b/>
          <w:i/>
        </w:rPr>
        <w:t xml:space="preserve"> its Heads of Argument.  It </w:t>
      </w:r>
      <w:r w:rsidR="00834EB7" w:rsidRPr="00E2323D">
        <w:rPr>
          <w:rFonts w:ascii="Tahoma" w:hAnsi="Tahoma" w:cs="Tahoma"/>
          <w:b/>
          <w:i/>
        </w:rPr>
        <w:t>argued that</w:t>
      </w:r>
      <w:r w:rsidRPr="00E2323D">
        <w:rPr>
          <w:rFonts w:ascii="Tahoma" w:hAnsi="Tahoma" w:cs="Tahoma"/>
          <w:b/>
          <w:i/>
        </w:rPr>
        <w:t xml:space="preserve">, </w:t>
      </w:r>
    </w:p>
    <w:p w:rsidR="00D572EB" w:rsidRPr="00834EB7" w:rsidRDefault="00D572EB" w:rsidP="00834EB7">
      <w:pPr>
        <w:spacing w:line="360" w:lineRule="auto"/>
        <w:ind w:left="360"/>
        <w:jc w:val="both"/>
        <w:rPr>
          <w:rFonts w:ascii="Tahoma" w:hAnsi="Tahoma" w:cs="Tahoma"/>
        </w:rPr>
      </w:pPr>
      <w:r w:rsidRPr="00834EB7">
        <w:rPr>
          <w:rFonts w:ascii="Tahoma" w:hAnsi="Tahoma" w:cs="Tahoma"/>
        </w:rPr>
        <w:t>“2. The Labour Act…</w:t>
      </w:r>
      <w:proofErr w:type="gramStart"/>
      <w:r w:rsidRPr="00834EB7">
        <w:rPr>
          <w:rFonts w:ascii="Tahoma" w:hAnsi="Tahoma" w:cs="Tahoma"/>
        </w:rPr>
        <w:t>make</w:t>
      </w:r>
      <w:proofErr w:type="gramEnd"/>
      <w:r w:rsidRPr="00834EB7">
        <w:rPr>
          <w:rFonts w:ascii="Tahoma" w:hAnsi="Tahoma" w:cs="Tahoma"/>
        </w:rPr>
        <w:t xml:space="preserve"> it very clear in section 12B that no employer can terminate an employment relationship </w:t>
      </w:r>
      <w:r w:rsidR="00203DA5" w:rsidRPr="00834EB7">
        <w:rPr>
          <w:rFonts w:ascii="Tahoma" w:hAnsi="Tahoma" w:cs="Tahoma"/>
        </w:rPr>
        <w:t>in the absence of an employment code.</w:t>
      </w:r>
    </w:p>
    <w:p w:rsidR="00203DA5" w:rsidRPr="00834EB7" w:rsidRDefault="00203DA5" w:rsidP="00834EB7">
      <w:pPr>
        <w:spacing w:line="360" w:lineRule="auto"/>
        <w:ind w:left="360"/>
        <w:jc w:val="both"/>
        <w:rPr>
          <w:rFonts w:ascii="Tahoma" w:hAnsi="Tahoma" w:cs="Tahoma"/>
        </w:rPr>
      </w:pPr>
      <w:r w:rsidRPr="00834EB7">
        <w:rPr>
          <w:rFonts w:ascii="Tahoma" w:hAnsi="Tahoma" w:cs="Tahoma"/>
        </w:rPr>
        <w:t>2.2 Respondent has no employment code hence in terms of section 12B it used the National Code.</w:t>
      </w:r>
    </w:p>
    <w:p w:rsidR="00834EB7" w:rsidRDefault="00203DA5" w:rsidP="00701B85">
      <w:pPr>
        <w:spacing w:line="360" w:lineRule="auto"/>
        <w:ind w:left="360"/>
        <w:jc w:val="both"/>
        <w:rPr>
          <w:rFonts w:ascii="Tahoma" w:hAnsi="Tahoma" w:cs="Tahoma"/>
        </w:rPr>
      </w:pPr>
      <w:r w:rsidRPr="00834EB7">
        <w:rPr>
          <w:rFonts w:ascii="Tahoma" w:hAnsi="Tahoma" w:cs="Tahoma"/>
        </w:rPr>
        <w:t xml:space="preserve">2.3 Any </w:t>
      </w:r>
      <w:r w:rsidR="00834EB7" w:rsidRPr="00834EB7">
        <w:rPr>
          <w:rFonts w:ascii="Tahoma" w:hAnsi="Tahoma" w:cs="Tahoma"/>
        </w:rPr>
        <w:t>disciplinary</w:t>
      </w:r>
      <w:r w:rsidRPr="00834EB7">
        <w:rPr>
          <w:rFonts w:ascii="Tahoma" w:hAnsi="Tahoma" w:cs="Tahoma"/>
        </w:rPr>
        <w:t xml:space="preserve"> </w:t>
      </w:r>
      <w:r w:rsidR="00834EB7" w:rsidRPr="00834EB7">
        <w:rPr>
          <w:rFonts w:ascii="Tahoma" w:hAnsi="Tahoma" w:cs="Tahoma"/>
        </w:rPr>
        <w:t>procedures</w:t>
      </w:r>
      <w:r w:rsidR="00E2323D">
        <w:rPr>
          <w:rFonts w:ascii="Tahoma" w:hAnsi="Tahoma" w:cs="Tahoma"/>
        </w:rPr>
        <w:t xml:space="preserve"> which are e</w:t>
      </w:r>
      <w:r w:rsidRPr="00834EB7">
        <w:rPr>
          <w:rFonts w:ascii="Tahoma" w:hAnsi="Tahoma" w:cs="Tahoma"/>
        </w:rPr>
        <w:t xml:space="preserve">ffected outside the peremptory provisions of section 12B are clearly unlawful but the once (sic) in question were </w:t>
      </w:r>
      <w:r w:rsidR="00834EB7" w:rsidRPr="00834EB7">
        <w:rPr>
          <w:rFonts w:ascii="Tahoma" w:hAnsi="Tahoma" w:cs="Tahoma"/>
        </w:rPr>
        <w:t>within</w:t>
      </w:r>
      <w:r w:rsidRPr="00834EB7">
        <w:rPr>
          <w:rFonts w:ascii="Tahoma" w:hAnsi="Tahoma" w:cs="Tahoma"/>
        </w:rPr>
        <w:t xml:space="preserve"> the stated provisions of the Labour Act…as read with S.I. 15 of 2006.</w:t>
      </w:r>
      <w:r w:rsidR="00E2323D">
        <w:rPr>
          <w:rFonts w:ascii="Tahoma" w:hAnsi="Tahoma" w:cs="Tahoma"/>
        </w:rPr>
        <w:t>”</w:t>
      </w:r>
    </w:p>
    <w:p w:rsidR="00203DA5" w:rsidRPr="00834EB7" w:rsidRDefault="00203DA5" w:rsidP="008827A6">
      <w:pPr>
        <w:spacing w:line="360" w:lineRule="auto"/>
        <w:jc w:val="both"/>
        <w:rPr>
          <w:rFonts w:ascii="Tahoma" w:hAnsi="Tahoma" w:cs="Tahoma"/>
        </w:rPr>
      </w:pPr>
    </w:p>
    <w:p w:rsidR="00203DA5" w:rsidRDefault="00203DA5" w:rsidP="00834EB7">
      <w:pPr>
        <w:spacing w:line="360" w:lineRule="auto"/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is an apparent conflict between CUT and Labour Act.  Whereas CUT requires a specific composition of the disciplinary panel, Labour through the National Code does not have such a re</w:t>
      </w:r>
      <w:r w:rsidR="007901CE">
        <w:rPr>
          <w:rFonts w:ascii="Tahoma" w:hAnsi="Tahoma" w:cs="Tahoma"/>
          <w:sz w:val="24"/>
          <w:szCs w:val="24"/>
        </w:rPr>
        <w:t>quirement.  The panel under the Code is set up at the discretion of the employer.  So which provision prevails in this matter?  Applicant insisted that CUT prevail</w:t>
      </w:r>
      <w:r w:rsidR="00E2323D">
        <w:rPr>
          <w:rFonts w:ascii="Tahoma" w:hAnsi="Tahoma" w:cs="Tahoma"/>
          <w:sz w:val="24"/>
          <w:szCs w:val="24"/>
        </w:rPr>
        <w:t>s</w:t>
      </w:r>
      <w:r w:rsidR="007901CE">
        <w:rPr>
          <w:rFonts w:ascii="Tahoma" w:hAnsi="Tahoma" w:cs="Tahoma"/>
          <w:sz w:val="24"/>
          <w:szCs w:val="24"/>
        </w:rPr>
        <w:t xml:space="preserve"> because it specifically applies to Respondent</w:t>
      </w:r>
      <w:r w:rsidR="00E2323D">
        <w:rPr>
          <w:rFonts w:ascii="Tahoma" w:hAnsi="Tahoma" w:cs="Tahoma"/>
          <w:sz w:val="24"/>
          <w:szCs w:val="24"/>
        </w:rPr>
        <w:t>.  But Respondent maintained</w:t>
      </w:r>
      <w:r w:rsidR="007901CE">
        <w:rPr>
          <w:rFonts w:ascii="Tahoma" w:hAnsi="Tahoma" w:cs="Tahoma"/>
          <w:sz w:val="24"/>
          <w:szCs w:val="24"/>
        </w:rPr>
        <w:t xml:space="preserve"> that in absence of a registered code it followed provisions of the National code.</w:t>
      </w:r>
    </w:p>
    <w:p w:rsidR="007901CE" w:rsidRDefault="007901CE" w:rsidP="008827A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901CE" w:rsidRDefault="007901CE" w:rsidP="00834EB7">
      <w:pPr>
        <w:spacing w:line="360" w:lineRule="auto"/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am persuaded that CUT prevails.  It relates specifically to Respondent.  To ignore its contents would render CUT of no force or effect.  That was clearly not the inte</w:t>
      </w:r>
      <w:r w:rsidR="00E2323D">
        <w:rPr>
          <w:rFonts w:ascii="Tahoma" w:hAnsi="Tahoma" w:cs="Tahoma"/>
          <w:sz w:val="24"/>
          <w:szCs w:val="24"/>
        </w:rPr>
        <w:t>nt of the Legislature when it enacted</w:t>
      </w:r>
      <w:r w:rsidR="00493525">
        <w:rPr>
          <w:rFonts w:ascii="Tahoma" w:hAnsi="Tahoma" w:cs="Tahoma"/>
          <w:sz w:val="24"/>
          <w:szCs w:val="24"/>
        </w:rPr>
        <w:t xml:space="preserve"> CUT.  It intended its provisions to bind Respondent.  However</w:t>
      </w:r>
      <w:r w:rsidR="00E2323D">
        <w:rPr>
          <w:rFonts w:ascii="Tahoma" w:hAnsi="Tahoma" w:cs="Tahoma"/>
          <w:sz w:val="24"/>
          <w:szCs w:val="24"/>
        </w:rPr>
        <w:t xml:space="preserve"> l</w:t>
      </w:r>
      <w:r w:rsidR="00493525">
        <w:rPr>
          <w:rFonts w:ascii="Tahoma" w:hAnsi="Tahoma" w:cs="Tahoma"/>
          <w:sz w:val="24"/>
          <w:szCs w:val="24"/>
        </w:rPr>
        <w:t xml:space="preserve"> consider that CUT and Labour are not totally inconsistent.  One can read them together harmoniously.  Respondent not having a registered Code is permitted to rely on the National Code.  </w:t>
      </w:r>
      <w:r w:rsidR="00834EB7">
        <w:rPr>
          <w:rFonts w:ascii="Tahoma" w:hAnsi="Tahoma" w:cs="Tahoma"/>
          <w:sz w:val="24"/>
          <w:szCs w:val="24"/>
        </w:rPr>
        <w:t>However</w:t>
      </w:r>
      <w:r w:rsidR="00493525">
        <w:rPr>
          <w:rFonts w:ascii="Tahoma" w:hAnsi="Tahoma" w:cs="Tahoma"/>
          <w:sz w:val="24"/>
          <w:szCs w:val="24"/>
        </w:rPr>
        <w:t xml:space="preserve"> its disciplinary panel under the Code must comply with the provisions of CUT</w:t>
      </w:r>
      <w:r w:rsidR="008E0392">
        <w:rPr>
          <w:rFonts w:ascii="Tahoma" w:hAnsi="Tahoma" w:cs="Tahoma"/>
          <w:sz w:val="24"/>
          <w:szCs w:val="24"/>
        </w:rPr>
        <w:t>.  Which is to say that the panel must comprise the persons spelt out by CUT.</w:t>
      </w:r>
    </w:p>
    <w:p w:rsidR="008E0392" w:rsidRDefault="008E0392" w:rsidP="008827A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E0392" w:rsidRDefault="008E0392" w:rsidP="00834EB7">
      <w:pPr>
        <w:spacing w:line="360" w:lineRule="auto"/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revert to the panel </w:t>
      </w:r>
      <w:r w:rsidRPr="008E0392">
        <w:rPr>
          <w:rFonts w:ascii="Tahoma" w:hAnsi="Tahoma" w:cs="Tahoma"/>
          <w:i/>
          <w:sz w:val="24"/>
          <w:szCs w:val="24"/>
        </w:rPr>
        <w:t>in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8E0392">
        <w:rPr>
          <w:rFonts w:ascii="Tahoma" w:hAnsi="Tahoma" w:cs="Tahoma"/>
          <w:i/>
          <w:sz w:val="24"/>
          <w:szCs w:val="24"/>
        </w:rPr>
        <w:t>casu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 xml:space="preserve">  There was no argument about the chairman.  Applicant stated </w:t>
      </w:r>
      <w:proofErr w:type="spellStart"/>
      <w:r>
        <w:rPr>
          <w:rFonts w:ascii="Tahoma" w:hAnsi="Tahoma" w:cs="Tahoma"/>
          <w:sz w:val="24"/>
          <w:szCs w:val="24"/>
        </w:rPr>
        <w:t>Beremauro</w:t>
      </w:r>
      <w:proofErr w:type="spellEnd"/>
      <w:r>
        <w:rPr>
          <w:rFonts w:ascii="Tahoma" w:hAnsi="Tahoma" w:cs="Tahoma"/>
          <w:sz w:val="24"/>
          <w:szCs w:val="24"/>
        </w:rPr>
        <w:t xml:space="preserve"> was not senior staff.  </w:t>
      </w:r>
      <w:proofErr w:type="gramStart"/>
      <w:r>
        <w:rPr>
          <w:rFonts w:ascii="Tahoma" w:hAnsi="Tahoma" w:cs="Tahoma"/>
          <w:sz w:val="24"/>
          <w:szCs w:val="24"/>
        </w:rPr>
        <w:t>Respondent through the affidavit (paragraph 6.7)</w:t>
      </w:r>
      <w:r w:rsidR="00E2323D">
        <w:rPr>
          <w:rFonts w:ascii="Tahoma" w:hAnsi="Tahoma" w:cs="Tahoma"/>
          <w:sz w:val="24"/>
          <w:szCs w:val="24"/>
        </w:rPr>
        <w:t xml:space="preserve"> of</w:t>
      </w:r>
      <w:r>
        <w:rPr>
          <w:rFonts w:ascii="Tahoma" w:hAnsi="Tahoma" w:cs="Tahoma"/>
          <w:sz w:val="24"/>
          <w:szCs w:val="24"/>
        </w:rPr>
        <w:t xml:space="preserve"> its Registrar, TB.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Bhebhe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gramEnd"/>
      <w:r>
        <w:rPr>
          <w:rFonts w:ascii="Tahoma" w:hAnsi="Tahoma" w:cs="Tahoma"/>
          <w:sz w:val="24"/>
          <w:szCs w:val="24"/>
        </w:rPr>
        <w:t xml:space="preserve"> stated that </w:t>
      </w:r>
      <w:proofErr w:type="spellStart"/>
      <w:r>
        <w:rPr>
          <w:rFonts w:ascii="Tahoma" w:hAnsi="Tahoma" w:cs="Tahoma"/>
          <w:sz w:val="24"/>
          <w:szCs w:val="24"/>
        </w:rPr>
        <w:t>Beremauro</w:t>
      </w:r>
      <w:proofErr w:type="spellEnd"/>
      <w:r>
        <w:rPr>
          <w:rFonts w:ascii="Tahoma" w:hAnsi="Tahoma" w:cs="Tahoma"/>
          <w:sz w:val="24"/>
          <w:szCs w:val="24"/>
        </w:rPr>
        <w:t xml:space="preserve"> was a member of equal status to Applicant.  </w:t>
      </w:r>
      <w:proofErr w:type="spellStart"/>
      <w:r>
        <w:rPr>
          <w:rFonts w:ascii="Tahoma" w:hAnsi="Tahoma" w:cs="Tahoma"/>
          <w:sz w:val="24"/>
          <w:szCs w:val="24"/>
        </w:rPr>
        <w:t>Karindira</w:t>
      </w:r>
      <w:proofErr w:type="spellEnd"/>
      <w:r>
        <w:rPr>
          <w:rFonts w:ascii="Tahoma" w:hAnsi="Tahoma" w:cs="Tahoma"/>
          <w:sz w:val="24"/>
          <w:szCs w:val="24"/>
        </w:rPr>
        <w:t xml:space="preserve"> was a senior Assistant Registrar.  That means that at least 3 members of the panel </w:t>
      </w:r>
      <w:r w:rsidR="00886EC5">
        <w:rPr>
          <w:rFonts w:ascii="Tahoma" w:hAnsi="Tahoma" w:cs="Tahoma"/>
          <w:sz w:val="24"/>
          <w:szCs w:val="24"/>
        </w:rPr>
        <w:t>were legit.  That does not amount to the 4 members spelt out by CUT.  However section 26 of CUT in its subsection 3 provides that</w:t>
      </w:r>
    </w:p>
    <w:p w:rsidR="00886EC5" w:rsidRPr="00834EB7" w:rsidRDefault="00886EC5" w:rsidP="00834EB7">
      <w:pPr>
        <w:spacing w:line="360" w:lineRule="auto"/>
        <w:ind w:firstLine="360"/>
        <w:jc w:val="both"/>
        <w:rPr>
          <w:rFonts w:ascii="Tahoma" w:hAnsi="Tahoma" w:cs="Tahoma"/>
        </w:rPr>
      </w:pPr>
      <w:r w:rsidRPr="00834EB7">
        <w:rPr>
          <w:rFonts w:ascii="Tahoma" w:hAnsi="Tahoma" w:cs="Tahoma"/>
        </w:rPr>
        <w:t xml:space="preserve">“Two members of the Staff </w:t>
      </w:r>
      <w:r w:rsidR="00834EB7" w:rsidRPr="00834EB7">
        <w:rPr>
          <w:rFonts w:ascii="Tahoma" w:hAnsi="Tahoma" w:cs="Tahoma"/>
        </w:rPr>
        <w:t>Disciplinary</w:t>
      </w:r>
      <w:r w:rsidRPr="00834EB7">
        <w:rPr>
          <w:rFonts w:ascii="Tahoma" w:hAnsi="Tahoma" w:cs="Tahoma"/>
        </w:rPr>
        <w:t xml:space="preserve"> committee shall form a </w:t>
      </w:r>
      <w:r w:rsidR="00834EB7" w:rsidRPr="00834EB7">
        <w:rPr>
          <w:rFonts w:ascii="Tahoma" w:hAnsi="Tahoma" w:cs="Tahoma"/>
          <w:i/>
        </w:rPr>
        <w:t>quorum</w:t>
      </w:r>
      <w:r w:rsidRPr="00834EB7">
        <w:rPr>
          <w:rFonts w:ascii="Tahoma" w:hAnsi="Tahoma" w:cs="Tahoma"/>
        </w:rPr>
        <w:t>”</w:t>
      </w:r>
    </w:p>
    <w:p w:rsidR="00834EB7" w:rsidRDefault="00886EC5" w:rsidP="00834EB7">
      <w:pPr>
        <w:spacing w:line="360" w:lineRule="auto"/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On the basis of this provision Respondent submit</w:t>
      </w:r>
      <w:r w:rsidR="00E2323D">
        <w:rPr>
          <w:rFonts w:ascii="Tahoma" w:hAnsi="Tahoma" w:cs="Tahoma"/>
          <w:sz w:val="24"/>
          <w:szCs w:val="24"/>
        </w:rPr>
        <w:t>ted</w:t>
      </w:r>
      <w:r>
        <w:rPr>
          <w:rFonts w:ascii="Tahoma" w:hAnsi="Tahoma" w:cs="Tahoma"/>
          <w:sz w:val="24"/>
          <w:szCs w:val="24"/>
        </w:rPr>
        <w:t xml:space="preserve"> that the panel </w:t>
      </w:r>
      <w:r w:rsidRPr="00886EC5">
        <w:rPr>
          <w:rFonts w:ascii="Tahoma" w:hAnsi="Tahoma" w:cs="Tahoma"/>
          <w:i/>
          <w:sz w:val="24"/>
          <w:szCs w:val="24"/>
        </w:rPr>
        <w:t>in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86EC5">
        <w:rPr>
          <w:rFonts w:ascii="Tahoma" w:hAnsi="Tahoma" w:cs="Tahoma"/>
          <w:i/>
          <w:sz w:val="24"/>
          <w:szCs w:val="24"/>
        </w:rPr>
        <w:t>casu</w:t>
      </w:r>
      <w:proofErr w:type="spellEnd"/>
      <w:r>
        <w:rPr>
          <w:rFonts w:ascii="Tahoma" w:hAnsi="Tahoma" w:cs="Tahoma"/>
          <w:sz w:val="24"/>
          <w:szCs w:val="24"/>
        </w:rPr>
        <w:t xml:space="preserve"> was </w:t>
      </w:r>
      <w:r w:rsidRPr="00886EC5">
        <w:rPr>
          <w:rFonts w:ascii="Tahoma" w:hAnsi="Tahoma" w:cs="Tahoma"/>
          <w:i/>
          <w:sz w:val="24"/>
          <w:szCs w:val="24"/>
        </w:rPr>
        <w:t>quorate</w:t>
      </w:r>
      <w:r>
        <w:rPr>
          <w:rFonts w:ascii="Tahoma" w:hAnsi="Tahoma" w:cs="Tahoma"/>
          <w:sz w:val="24"/>
          <w:szCs w:val="24"/>
        </w:rPr>
        <w:t xml:space="preserve">.  Alternatively the composition was substantially compliant.  I consider that a </w:t>
      </w:r>
      <w:r w:rsidRPr="00886EC5">
        <w:rPr>
          <w:rFonts w:ascii="Tahoma" w:hAnsi="Tahoma" w:cs="Tahoma"/>
          <w:i/>
          <w:sz w:val="24"/>
          <w:szCs w:val="24"/>
        </w:rPr>
        <w:t>quorate</w:t>
      </w:r>
      <w:r>
        <w:rPr>
          <w:rFonts w:ascii="Tahoma" w:hAnsi="Tahoma" w:cs="Tahoma"/>
          <w:sz w:val="24"/>
          <w:szCs w:val="24"/>
        </w:rPr>
        <w:t xml:space="preserve"> panel is compliant with CUT.  I also agree with the alternative argument </w:t>
      </w:r>
    </w:p>
    <w:p w:rsidR="00834EB7" w:rsidRDefault="00834EB7" w:rsidP="00834EB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86EC5" w:rsidRDefault="00886EC5" w:rsidP="00834EB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that</w:t>
      </w:r>
      <w:proofErr w:type="gramEnd"/>
      <w:r>
        <w:rPr>
          <w:rFonts w:ascii="Tahoma" w:hAnsi="Tahoma" w:cs="Tahoma"/>
          <w:sz w:val="24"/>
          <w:szCs w:val="24"/>
        </w:rPr>
        <w:t xml:space="preserve"> there was substantial compliance with CUT.  On that basis l dismiss the ground of illegality.</w:t>
      </w:r>
    </w:p>
    <w:p w:rsidR="00886EC5" w:rsidRDefault="00886EC5" w:rsidP="008827A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86EC5" w:rsidRPr="00834EB7" w:rsidRDefault="00886EC5" w:rsidP="008827A6">
      <w:pPr>
        <w:spacing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34EB7">
        <w:rPr>
          <w:rFonts w:ascii="Tahoma" w:hAnsi="Tahoma" w:cs="Tahoma"/>
          <w:b/>
          <w:sz w:val="24"/>
          <w:szCs w:val="24"/>
          <w:u w:val="single"/>
        </w:rPr>
        <w:t>Irrationality</w:t>
      </w:r>
    </w:p>
    <w:p w:rsidR="00D572EB" w:rsidRDefault="00886EC5" w:rsidP="00834EB7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Applicant restricted the ground of </w:t>
      </w:r>
      <w:r w:rsidR="008356A6">
        <w:rPr>
          <w:rFonts w:ascii="Tahoma" w:hAnsi="Tahoma" w:cs="Tahoma"/>
          <w:sz w:val="24"/>
          <w:szCs w:val="24"/>
        </w:rPr>
        <w:t>irrationally to the penalty imposed.  She submitted in her Heads that</w:t>
      </w:r>
    </w:p>
    <w:p w:rsidR="008356A6" w:rsidRPr="00834EB7" w:rsidRDefault="008356A6" w:rsidP="00834EB7">
      <w:pPr>
        <w:spacing w:line="360" w:lineRule="auto"/>
        <w:ind w:left="720"/>
        <w:jc w:val="both"/>
        <w:rPr>
          <w:rFonts w:ascii="Tahoma" w:hAnsi="Tahoma" w:cs="Tahoma"/>
        </w:rPr>
      </w:pPr>
      <w:r w:rsidRPr="00834EB7">
        <w:rPr>
          <w:rFonts w:ascii="Tahoma" w:hAnsi="Tahoma" w:cs="Tahoma"/>
        </w:rPr>
        <w:t xml:space="preserve">“13 Can it be said that the misconduct here is </w:t>
      </w:r>
      <w:r w:rsidR="00834EB7" w:rsidRPr="00834EB7">
        <w:rPr>
          <w:rFonts w:ascii="Tahoma" w:hAnsi="Tahoma" w:cs="Tahoma"/>
        </w:rPr>
        <w:t>‘one</w:t>
      </w:r>
      <w:r w:rsidR="00E2323D">
        <w:rPr>
          <w:rFonts w:ascii="Tahoma" w:hAnsi="Tahoma" w:cs="Tahoma"/>
        </w:rPr>
        <w:t xml:space="preserve"> that, on any reasonable basis</w:t>
      </w:r>
      <w:r w:rsidR="00834EB7">
        <w:rPr>
          <w:rFonts w:ascii="Tahoma" w:hAnsi="Tahoma" w:cs="Tahoma"/>
        </w:rPr>
        <w:t>’</w:t>
      </w:r>
      <w:r w:rsidRPr="00834EB7">
        <w:rPr>
          <w:rFonts w:ascii="Tahoma" w:hAnsi="Tahoma" w:cs="Tahoma"/>
        </w:rPr>
        <w:t xml:space="preserve"> </w:t>
      </w:r>
      <w:r w:rsidR="00834EB7" w:rsidRPr="00834EB7">
        <w:rPr>
          <w:rFonts w:ascii="Tahoma" w:hAnsi="Tahoma" w:cs="Tahoma"/>
        </w:rPr>
        <w:t>merits</w:t>
      </w:r>
      <w:r w:rsidRPr="00834EB7">
        <w:rPr>
          <w:rFonts w:ascii="Tahoma" w:hAnsi="Tahoma" w:cs="Tahoma"/>
        </w:rPr>
        <w:t xml:space="preserve"> the harsh </w:t>
      </w:r>
      <w:r w:rsidR="00834EB7" w:rsidRPr="00834EB7">
        <w:rPr>
          <w:rFonts w:ascii="Tahoma" w:hAnsi="Tahoma" w:cs="Tahoma"/>
        </w:rPr>
        <w:t>penalty</w:t>
      </w:r>
      <w:r w:rsidRPr="00834EB7">
        <w:rPr>
          <w:rFonts w:ascii="Tahoma" w:hAnsi="Tahoma" w:cs="Tahoma"/>
        </w:rPr>
        <w:t xml:space="preserve"> of dismissal?   The answer is </w:t>
      </w:r>
      <w:r w:rsidR="00834EB7" w:rsidRPr="00834EB7">
        <w:rPr>
          <w:rFonts w:ascii="Tahoma" w:hAnsi="Tahoma" w:cs="Tahoma"/>
        </w:rPr>
        <w:t>clearly No</w:t>
      </w:r>
      <w:r w:rsidRPr="00834EB7">
        <w:rPr>
          <w:rFonts w:ascii="Tahoma" w:hAnsi="Tahoma" w:cs="Tahoma"/>
        </w:rPr>
        <w:t>.</w:t>
      </w:r>
    </w:p>
    <w:p w:rsidR="008356A6" w:rsidRPr="00834EB7" w:rsidRDefault="00E2323D" w:rsidP="00834EB7">
      <w:p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14. A penalty must also satisfy a proportionality</w:t>
      </w:r>
      <w:r w:rsidR="008356A6" w:rsidRPr="00834EB7">
        <w:rPr>
          <w:rFonts w:ascii="Tahoma" w:hAnsi="Tahoma" w:cs="Tahoma"/>
        </w:rPr>
        <w:t xml:space="preserve"> standard.  It is clear from the evidence emanating from the whole case that the act of misconduct was not regarded by the respondent as </w:t>
      </w:r>
      <w:r w:rsidR="00834EB7" w:rsidRPr="00834EB7">
        <w:rPr>
          <w:rFonts w:ascii="Tahoma" w:hAnsi="Tahoma" w:cs="Tahoma"/>
        </w:rPr>
        <w:t>dismissible in</w:t>
      </w:r>
      <w:r w:rsidR="008356A6" w:rsidRPr="00834EB7">
        <w:rPr>
          <w:rFonts w:ascii="Tahoma" w:hAnsi="Tahoma" w:cs="Tahoma"/>
        </w:rPr>
        <w:t xml:space="preserve"> itself.  The employer appears to </w:t>
      </w:r>
      <w:r>
        <w:rPr>
          <w:rFonts w:ascii="Tahoma" w:hAnsi="Tahoma" w:cs="Tahoma"/>
        </w:rPr>
        <w:t>be</w:t>
      </w:r>
      <w:r w:rsidR="008356A6" w:rsidRPr="00834EB7">
        <w:rPr>
          <w:rFonts w:ascii="Tahoma" w:hAnsi="Tahoma" w:cs="Tahoma"/>
        </w:rPr>
        <w:t xml:space="preserve"> targeting leaders of the workers committee.”</w:t>
      </w:r>
    </w:p>
    <w:p w:rsidR="008356A6" w:rsidRDefault="008356A6" w:rsidP="008827A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0C44CA" w:rsidRDefault="008356A6" w:rsidP="00834EB7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common cause that Appellant was charged with a </w:t>
      </w:r>
      <w:r w:rsidRPr="00E2323D">
        <w:rPr>
          <w:rFonts w:ascii="Tahoma" w:hAnsi="Tahoma" w:cs="Tahoma"/>
          <w:sz w:val="24"/>
          <w:szCs w:val="24"/>
          <w:u w:val="single"/>
        </w:rPr>
        <w:t>serious</w:t>
      </w:r>
      <w:r>
        <w:rPr>
          <w:rFonts w:ascii="Tahoma" w:hAnsi="Tahoma" w:cs="Tahoma"/>
          <w:sz w:val="24"/>
          <w:szCs w:val="24"/>
        </w:rPr>
        <w:t xml:space="preserve"> </w:t>
      </w:r>
      <w:r w:rsidRPr="00E2323D">
        <w:rPr>
          <w:rFonts w:ascii="Tahoma" w:hAnsi="Tahoma" w:cs="Tahoma"/>
          <w:sz w:val="24"/>
          <w:szCs w:val="24"/>
          <w:u w:val="single"/>
        </w:rPr>
        <w:t>offence</w:t>
      </w:r>
      <w:r>
        <w:rPr>
          <w:rFonts w:ascii="Tahoma" w:hAnsi="Tahoma" w:cs="Tahoma"/>
          <w:sz w:val="24"/>
          <w:szCs w:val="24"/>
        </w:rPr>
        <w:t xml:space="preserve">.  Upon conviction the Code permits the dismissal </w:t>
      </w:r>
      <w:r w:rsidR="00046836">
        <w:rPr>
          <w:rFonts w:ascii="Tahoma" w:hAnsi="Tahoma" w:cs="Tahoma"/>
          <w:sz w:val="24"/>
          <w:szCs w:val="24"/>
        </w:rPr>
        <w:t xml:space="preserve">of the employee, such dismissal </w:t>
      </w:r>
      <w:r>
        <w:rPr>
          <w:rFonts w:ascii="Tahoma" w:hAnsi="Tahoma" w:cs="Tahoma"/>
          <w:sz w:val="24"/>
          <w:szCs w:val="24"/>
        </w:rPr>
        <w:t xml:space="preserve">is at the discretion of the employer.  The employer </w:t>
      </w:r>
      <w:r w:rsidRPr="008356A6">
        <w:rPr>
          <w:rFonts w:ascii="Tahoma" w:hAnsi="Tahoma" w:cs="Tahoma"/>
          <w:i/>
          <w:sz w:val="24"/>
          <w:szCs w:val="24"/>
          <w:u w:val="single"/>
        </w:rPr>
        <w:t>in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56A6">
        <w:rPr>
          <w:rFonts w:ascii="Tahoma" w:hAnsi="Tahoma" w:cs="Tahoma"/>
          <w:i/>
          <w:sz w:val="24"/>
          <w:szCs w:val="24"/>
          <w:u w:val="single"/>
        </w:rPr>
        <w:t>casu</w:t>
      </w:r>
      <w:proofErr w:type="spellEnd"/>
      <w:r>
        <w:rPr>
          <w:rFonts w:ascii="Tahoma" w:hAnsi="Tahoma" w:cs="Tahoma"/>
          <w:sz w:val="24"/>
          <w:szCs w:val="24"/>
        </w:rPr>
        <w:t xml:space="preserve">  exercised its discretion in favour of a dismissal.  The fact that the employer could have imposed a lesser penalty is neither here nor there </w:t>
      </w:r>
      <w:r w:rsidR="00046836">
        <w:rPr>
          <w:rFonts w:ascii="Tahoma" w:hAnsi="Tahoma" w:cs="Tahoma"/>
          <w:sz w:val="24"/>
          <w:szCs w:val="24"/>
        </w:rPr>
        <w:t>in</w:t>
      </w:r>
      <w:r w:rsidR="00834EB7">
        <w:rPr>
          <w:rFonts w:ascii="Tahoma" w:hAnsi="Tahoma" w:cs="Tahoma"/>
          <w:sz w:val="24"/>
          <w:szCs w:val="24"/>
        </w:rPr>
        <w:t xml:space="preserve"> a</w:t>
      </w:r>
      <w:r>
        <w:rPr>
          <w:rFonts w:ascii="Tahoma" w:hAnsi="Tahoma" w:cs="Tahoma"/>
          <w:sz w:val="24"/>
          <w:szCs w:val="24"/>
        </w:rPr>
        <w:t xml:space="preserve"> </w:t>
      </w:r>
      <w:r w:rsidRPr="008300D3">
        <w:rPr>
          <w:rFonts w:ascii="Tahoma" w:hAnsi="Tahoma" w:cs="Tahoma"/>
          <w:sz w:val="24"/>
          <w:szCs w:val="24"/>
          <w:u w:val="single"/>
        </w:rPr>
        <w:t>review</w:t>
      </w:r>
      <w:r>
        <w:rPr>
          <w:rFonts w:ascii="Tahoma" w:hAnsi="Tahoma" w:cs="Tahoma"/>
          <w:sz w:val="24"/>
          <w:szCs w:val="24"/>
        </w:rPr>
        <w:t xml:space="preserve">. </w:t>
      </w:r>
      <w:r w:rsidR="000C44CA">
        <w:rPr>
          <w:rFonts w:ascii="Tahoma" w:hAnsi="Tahoma" w:cs="Tahoma"/>
          <w:sz w:val="24"/>
          <w:szCs w:val="24"/>
        </w:rPr>
        <w:t xml:space="preserve">  That is a matter which would be relevant if the matter come to court on </w:t>
      </w:r>
      <w:r w:rsidR="000C44CA" w:rsidRPr="000C44CA">
        <w:rPr>
          <w:rFonts w:ascii="Tahoma" w:hAnsi="Tahoma" w:cs="Tahoma"/>
          <w:sz w:val="24"/>
          <w:szCs w:val="24"/>
          <w:u w:val="single"/>
        </w:rPr>
        <w:t>appeal.</w:t>
      </w:r>
      <w:r w:rsidR="000C44CA">
        <w:rPr>
          <w:rFonts w:ascii="Tahoma" w:hAnsi="Tahoma" w:cs="Tahoma"/>
          <w:sz w:val="24"/>
          <w:szCs w:val="24"/>
          <w:u w:val="single"/>
        </w:rPr>
        <w:t xml:space="preserve"> </w:t>
      </w:r>
      <w:r w:rsidR="000C44CA">
        <w:rPr>
          <w:rFonts w:ascii="Tahoma" w:hAnsi="Tahoma" w:cs="Tahoma"/>
          <w:sz w:val="24"/>
          <w:szCs w:val="24"/>
        </w:rPr>
        <w:t xml:space="preserve">  In this review it cannot be said that the dismissal imposed was irrational.  Effectively Applicant sought to test the fairness of her dismissal through the wrong route.</w:t>
      </w:r>
    </w:p>
    <w:p w:rsidR="000C44CA" w:rsidRDefault="000C44CA" w:rsidP="008827A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356A6" w:rsidRPr="008827A6" w:rsidRDefault="000C44CA" w:rsidP="00834EB7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Having failed on both its grounds, the review needs be dismissed.</w:t>
      </w:r>
      <w:r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834EB7" w:rsidRDefault="00834EB7" w:rsidP="0005175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34EB7" w:rsidRDefault="00834EB7" w:rsidP="0005175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34EB7" w:rsidRDefault="00834EB7" w:rsidP="0005175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61C9A" w:rsidRDefault="00461C9A" w:rsidP="00461C9A">
      <w:pPr>
        <w:spacing w:line="360" w:lineRule="auto"/>
        <w:jc w:val="both"/>
        <w:rPr>
          <w:rFonts w:ascii="Tahoma" w:hAnsi="Tahoma" w:cs="Tahoma"/>
          <w:b/>
          <w:sz w:val="36"/>
          <w:szCs w:val="36"/>
        </w:rPr>
      </w:pPr>
      <w:r w:rsidRPr="00461C9A">
        <w:rPr>
          <w:rFonts w:ascii="Tahoma" w:hAnsi="Tahoma" w:cs="Tahoma"/>
          <w:b/>
          <w:sz w:val="36"/>
          <w:szCs w:val="36"/>
        </w:rPr>
        <w:t>Wherefore it is ordered that,</w:t>
      </w:r>
    </w:p>
    <w:p w:rsidR="00046836" w:rsidRDefault="00046836" w:rsidP="00461C9A">
      <w:pPr>
        <w:spacing w:line="360" w:lineRule="auto"/>
        <w:jc w:val="both"/>
        <w:rPr>
          <w:rFonts w:ascii="Tahoma" w:hAnsi="Tahoma" w:cs="Tahoma"/>
          <w:b/>
          <w:sz w:val="36"/>
          <w:szCs w:val="36"/>
        </w:rPr>
      </w:pPr>
    </w:p>
    <w:p w:rsidR="000C44CA" w:rsidRPr="00046836" w:rsidRDefault="000C44CA" w:rsidP="000C44C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24"/>
          <w:szCs w:val="24"/>
        </w:rPr>
        <w:t>The application for review be and is hereby dismissed; and</w:t>
      </w:r>
    </w:p>
    <w:p w:rsidR="00046836" w:rsidRPr="000C44CA" w:rsidRDefault="00046836" w:rsidP="00046836">
      <w:pPr>
        <w:pStyle w:val="ListParagraph"/>
        <w:spacing w:line="360" w:lineRule="auto"/>
        <w:ind w:left="1800"/>
        <w:jc w:val="both"/>
        <w:rPr>
          <w:rFonts w:ascii="Tahoma" w:hAnsi="Tahoma" w:cs="Tahoma"/>
          <w:b/>
          <w:sz w:val="36"/>
          <w:szCs w:val="36"/>
        </w:rPr>
      </w:pPr>
    </w:p>
    <w:p w:rsidR="000C44CA" w:rsidRPr="000C44CA" w:rsidRDefault="000C44CA" w:rsidP="000C44C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24"/>
          <w:szCs w:val="24"/>
        </w:rPr>
        <w:t>Each party shall bear its own costs.</w:t>
      </w:r>
    </w:p>
    <w:p w:rsidR="00461C9A" w:rsidRDefault="00461C9A" w:rsidP="00461C9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701F44" w:rsidRDefault="00701F44" w:rsidP="00A1079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051756" w:rsidRDefault="00051756" w:rsidP="00A1079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0C44CA" w:rsidRDefault="000C44CA" w:rsidP="00A1079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9388D" w:rsidRPr="00482129" w:rsidRDefault="0049388D" w:rsidP="0049388D">
      <w:pPr>
        <w:spacing w:line="360" w:lineRule="auto"/>
        <w:ind w:left="2880" w:firstLine="720"/>
        <w:jc w:val="both"/>
        <w:rPr>
          <w:rFonts w:ascii="Tahoma" w:hAnsi="Tahoma" w:cs="Tahoma"/>
          <w:b/>
          <w:sz w:val="24"/>
          <w:szCs w:val="24"/>
        </w:rPr>
      </w:pPr>
      <w:r w:rsidRPr="00482129">
        <w:rPr>
          <w:rFonts w:ascii="Tahoma" w:hAnsi="Tahoma" w:cs="Tahoma"/>
          <w:b/>
          <w:sz w:val="24"/>
          <w:szCs w:val="24"/>
        </w:rPr>
        <w:t>G MUSARIRI</w:t>
      </w:r>
    </w:p>
    <w:p w:rsidR="0049388D" w:rsidRPr="0049388D" w:rsidRDefault="0049388D" w:rsidP="0049388D">
      <w:pPr>
        <w:spacing w:line="360" w:lineRule="auto"/>
        <w:ind w:left="2880" w:firstLine="720"/>
        <w:jc w:val="both"/>
        <w:rPr>
          <w:rFonts w:ascii="Tahoma" w:hAnsi="Tahoma" w:cs="Tahoma"/>
          <w:b/>
          <w:sz w:val="24"/>
          <w:szCs w:val="24"/>
        </w:rPr>
      </w:pPr>
      <w:r w:rsidRPr="0049388D">
        <w:rPr>
          <w:rFonts w:ascii="Tahoma" w:hAnsi="Tahoma" w:cs="Tahoma"/>
          <w:b/>
          <w:sz w:val="24"/>
          <w:szCs w:val="24"/>
        </w:rPr>
        <w:t>J-U-D-G-E</w:t>
      </w:r>
    </w:p>
    <w:p w:rsidR="00866894" w:rsidRPr="00A01323" w:rsidRDefault="00866894" w:rsidP="00A01323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866894" w:rsidRPr="00A01323" w:rsidSect="001F4683">
      <w:head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81" w:rsidRDefault="00D90481" w:rsidP="001F4683">
      <w:pPr>
        <w:spacing w:after="0" w:line="240" w:lineRule="auto"/>
      </w:pPr>
      <w:r>
        <w:separator/>
      </w:r>
    </w:p>
  </w:endnote>
  <w:endnote w:type="continuationSeparator" w:id="0">
    <w:p w:rsidR="00D90481" w:rsidRDefault="00D90481" w:rsidP="001F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81" w:rsidRDefault="00D90481" w:rsidP="001F4683">
      <w:pPr>
        <w:spacing w:after="0" w:line="240" w:lineRule="auto"/>
      </w:pPr>
      <w:r>
        <w:separator/>
      </w:r>
    </w:p>
  </w:footnote>
  <w:footnote w:type="continuationSeparator" w:id="0">
    <w:p w:rsidR="00D90481" w:rsidRDefault="00D90481" w:rsidP="001F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9026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4683" w:rsidRDefault="001F4683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C58">
          <w:rPr>
            <w:noProof/>
          </w:rPr>
          <w:t>5</w:t>
        </w:r>
        <w:r>
          <w:rPr>
            <w:noProof/>
          </w:rPr>
          <w:fldChar w:fldCharType="end"/>
        </w:r>
      </w:p>
      <w:p w:rsidR="001F4683" w:rsidRDefault="005B069C">
        <w:pPr>
          <w:pStyle w:val="Header"/>
          <w:jc w:val="right"/>
          <w:rPr>
            <w:noProof/>
          </w:rPr>
        </w:pPr>
        <w:r>
          <w:rPr>
            <w:noProof/>
          </w:rPr>
          <w:t xml:space="preserve">JUDGMENT NO </w:t>
        </w:r>
        <w:r w:rsidR="008D4C58">
          <w:rPr>
            <w:noProof/>
          </w:rPr>
          <w:t>LC/H/217</w:t>
        </w:r>
        <w:r w:rsidR="001F4683">
          <w:rPr>
            <w:noProof/>
          </w:rPr>
          <w:t>/2020</w:t>
        </w:r>
      </w:p>
      <w:p w:rsidR="001F4683" w:rsidRDefault="001F4683" w:rsidP="001F4683">
        <w:pPr>
          <w:pStyle w:val="Header"/>
          <w:jc w:val="center"/>
        </w:pPr>
        <w:r>
          <w:rPr>
            <w:noProof/>
          </w:rPr>
          <w:t xml:space="preserve">                                                                                                </w:t>
        </w:r>
        <w:r w:rsidR="00A01323">
          <w:rPr>
            <w:noProof/>
          </w:rPr>
          <w:t xml:space="preserve">                    </w:t>
        </w:r>
        <w:r w:rsidR="000C44CA">
          <w:rPr>
            <w:noProof/>
          </w:rPr>
          <w:t xml:space="preserve">      </w:t>
        </w:r>
        <w:r>
          <w:rPr>
            <w:noProof/>
          </w:rPr>
          <w:t xml:space="preserve"> </w:t>
        </w:r>
        <w:r w:rsidR="00A01323">
          <w:rPr>
            <w:noProof/>
          </w:rPr>
          <w:t>CASE NO.</w:t>
        </w:r>
        <w:r w:rsidR="000C44CA">
          <w:rPr>
            <w:noProof/>
          </w:rPr>
          <w:t xml:space="preserve">  LC/H/REV/39</w:t>
        </w:r>
        <w:r w:rsidR="00461C9A">
          <w:rPr>
            <w:noProof/>
          </w:rPr>
          <w:t>/</w:t>
        </w:r>
        <w:r w:rsidR="000C44CA">
          <w:rPr>
            <w:noProof/>
          </w:rPr>
          <w:t>20</w:t>
        </w:r>
      </w:p>
    </w:sdtContent>
  </w:sdt>
  <w:p w:rsidR="001F4683" w:rsidRDefault="001F4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2DF"/>
    <w:multiLevelType w:val="hybridMultilevel"/>
    <w:tmpl w:val="AF6C3BA4"/>
    <w:lvl w:ilvl="0" w:tplc="94F63478">
      <w:start w:val="1"/>
      <w:numFmt w:val="decimal"/>
      <w:lvlText w:val="%1."/>
      <w:lvlJc w:val="left"/>
      <w:pPr>
        <w:ind w:left="180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010284"/>
    <w:multiLevelType w:val="hybridMultilevel"/>
    <w:tmpl w:val="7152C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87657"/>
    <w:multiLevelType w:val="hybridMultilevel"/>
    <w:tmpl w:val="B9CC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23F04"/>
    <w:multiLevelType w:val="hybridMultilevel"/>
    <w:tmpl w:val="2F009304"/>
    <w:lvl w:ilvl="0" w:tplc="6E02D0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77429"/>
    <w:multiLevelType w:val="hybridMultilevel"/>
    <w:tmpl w:val="775C7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37656"/>
    <w:multiLevelType w:val="hybridMultilevel"/>
    <w:tmpl w:val="532889C0"/>
    <w:lvl w:ilvl="0" w:tplc="853CD0A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36578B"/>
    <w:multiLevelType w:val="hybridMultilevel"/>
    <w:tmpl w:val="1062F590"/>
    <w:lvl w:ilvl="0" w:tplc="386C0A0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116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73"/>
    <w:rsid w:val="00004873"/>
    <w:rsid w:val="00046836"/>
    <w:rsid w:val="00051756"/>
    <w:rsid w:val="00052FAE"/>
    <w:rsid w:val="00064FEE"/>
    <w:rsid w:val="000C44CA"/>
    <w:rsid w:val="00126DF1"/>
    <w:rsid w:val="0018618F"/>
    <w:rsid w:val="001E696B"/>
    <w:rsid w:val="001F4683"/>
    <w:rsid w:val="00203DA5"/>
    <w:rsid w:val="00223F7D"/>
    <w:rsid w:val="00251E53"/>
    <w:rsid w:val="0027678F"/>
    <w:rsid w:val="00286BD6"/>
    <w:rsid w:val="002B2C01"/>
    <w:rsid w:val="00307CFA"/>
    <w:rsid w:val="00345A68"/>
    <w:rsid w:val="00364210"/>
    <w:rsid w:val="003B6751"/>
    <w:rsid w:val="003D48AD"/>
    <w:rsid w:val="003E270D"/>
    <w:rsid w:val="00422B7B"/>
    <w:rsid w:val="00436DBE"/>
    <w:rsid w:val="00461C9A"/>
    <w:rsid w:val="00482129"/>
    <w:rsid w:val="00493525"/>
    <w:rsid w:val="0049388D"/>
    <w:rsid w:val="004B3042"/>
    <w:rsid w:val="004D64D8"/>
    <w:rsid w:val="004E02E1"/>
    <w:rsid w:val="004E3EE0"/>
    <w:rsid w:val="00510710"/>
    <w:rsid w:val="00510972"/>
    <w:rsid w:val="0055452C"/>
    <w:rsid w:val="00584B94"/>
    <w:rsid w:val="005B069C"/>
    <w:rsid w:val="00630D41"/>
    <w:rsid w:val="00637111"/>
    <w:rsid w:val="006654DF"/>
    <w:rsid w:val="006A76B4"/>
    <w:rsid w:val="00701B85"/>
    <w:rsid w:val="00701F44"/>
    <w:rsid w:val="007901CE"/>
    <w:rsid w:val="008300D3"/>
    <w:rsid w:val="00834EB7"/>
    <w:rsid w:val="008356A6"/>
    <w:rsid w:val="00866894"/>
    <w:rsid w:val="008827A6"/>
    <w:rsid w:val="00886EC5"/>
    <w:rsid w:val="008D3B2D"/>
    <w:rsid w:val="008D4C58"/>
    <w:rsid w:val="008E0392"/>
    <w:rsid w:val="008E57E0"/>
    <w:rsid w:val="00907FEF"/>
    <w:rsid w:val="00915047"/>
    <w:rsid w:val="00965278"/>
    <w:rsid w:val="009C5CC6"/>
    <w:rsid w:val="009E4659"/>
    <w:rsid w:val="00A01323"/>
    <w:rsid w:val="00A1079A"/>
    <w:rsid w:val="00A1317D"/>
    <w:rsid w:val="00A300A5"/>
    <w:rsid w:val="00AF34EA"/>
    <w:rsid w:val="00B0301A"/>
    <w:rsid w:val="00B03852"/>
    <w:rsid w:val="00B2104F"/>
    <w:rsid w:val="00B24AE3"/>
    <w:rsid w:val="00B25B45"/>
    <w:rsid w:val="00B431A9"/>
    <w:rsid w:val="00BA47F1"/>
    <w:rsid w:val="00BE3042"/>
    <w:rsid w:val="00C12067"/>
    <w:rsid w:val="00C24B4F"/>
    <w:rsid w:val="00C711B7"/>
    <w:rsid w:val="00C834DE"/>
    <w:rsid w:val="00C83DC6"/>
    <w:rsid w:val="00D572EB"/>
    <w:rsid w:val="00D6650B"/>
    <w:rsid w:val="00D759B7"/>
    <w:rsid w:val="00D90481"/>
    <w:rsid w:val="00DC501C"/>
    <w:rsid w:val="00DD17CA"/>
    <w:rsid w:val="00E2323D"/>
    <w:rsid w:val="00E55A23"/>
    <w:rsid w:val="00E56687"/>
    <w:rsid w:val="00EB0600"/>
    <w:rsid w:val="00F051C6"/>
    <w:rsid w:val="00F5039E"/>
    <w:rsid w:val="00F578BD"/>
    <w:rsid w:val="00F72AE0"/>
    <w:rsid w:val="00FB3196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8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683"/>
  </w:style>
  <w:style w:type="paragraph" w:styleId="Footer">
    <w:name w:val="footer"/>
    <w:basedOn w:val="Normal"/>
    <w:link w:val="FooterChar"/>
    <w:uiPriority w:val="99"/>
    <w:unhideWhenUsed/>
    <w:rsid w:val="001F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683"/>
  </w:style>
  <w:style w:type="paragraph" w:styleId="BalloonText">
    <w:name w:val="Balloon Text"/>
    <w:basedOn w:val="Normal"/>
    <w:link w:val="BalloonTextChar"/>
    <w:uiPriority w:val="99"/>
    <w:semiHidden/>
    <w:unhideWhenUsed/>
    <w:rsid w:val="00A1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8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683"/>
  </w:style>
  <w:style w:type="paragraph" w:styleId="Footer">
    <w:name w:val="footer"/>
    <w:basedOn w:val="Normal"/>
    <w:link w:val="FooterChar"/>
    <w:uiPriority w:val="99"/>
    <w:unhideWhenUsed/>
    <w:rsid w:val="001F4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683"/>
  </w:style>
  <w:style w:type="paragraph" w:styleId="BalloonText">
    <w:name w:val="Balloon Text"/>
    <w:basedOn w:val="Normal"/>
    <w:link w:val="BalloonTextChar"/>
    <w:uiPriority w:val="99"/>
    <w:semiHidden/>
    <w:unhideWhenUsed/>
    <w:rsid w:val="00A13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84ACA-F4F3-42E8-BB8B-D242F0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Labour Court</cp:lastModifiedBy>
  <cp:revision>14</cp:revision>
  <cp:lastPrinted>2020-10-07T09:02:00Z</cp:lastPrinted>
  <dcterms:created xsi:type="dcterms:W3CDTF">2020-10-01T09:00:00Z</dcterms:created>
  <dcterms:modified xsi:type="dcterms:W3CDTF">2020-10-07T09:03:00Z</dcterms:modified>
</cp:coreProperties>
</file>