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5A" w:rsidRDefault="000D3E76" w:rsidP="000D3E76">
      <w:pPr>
        <w:spacing w:line="360" w:lineRule="auto"/>
        <w:jc w:val="both"/>
        <w:rPr>
          <w:b/>
          <w:sz w:val="28"/>
          <w:szCs w:val="28"/>
        </w:rPr>
      </w:pPr>
      <w:bookmarkStart w:id="0" w:name="_GoBack"/>
      <w:bookmarkEnd w:id="0"/>
      <w:r>
        <w:rPr>
          <w:b/>
          <w:sz w:val="28"/>
          <w:szCs w:val="28"/>
        </w:rPr>
        <w:t>I</w:t>
      </w:r>
      <w:r w:rsidR="002C2477">
        <w:rPr>
          <w:b/>
          <w:sz w:val="28"/>
          <w:szCs w:val="28"/>
        </w:rPr>
        <w:t>N THE LABOUR COURT OF ZIMBABWE</w:t>
      </w:r>
      <w:r>
        <w:rPr>
          <w:b/>
          <w:sz w:val="28"/>
          <w:szCs w:val="28"/>
        </w:rPr>
        <w:tab/>
        <w:t>JUDGMENT NO LC/H/</w:t>
      </w:r>
      <w:r w:rsidR="002C2477">
        <w:rPr>
          <w:b/>
          <w:sz w:val="28"/>
          <w:szCs w:val="28"/>
        </w:rPr>
        <w:t>244</w:t>
      </w:r>
      <w:r>
        <w:rPr>
          <w:b/>
          <w:sz w:val="28"/>
          <w:szCs w:val="28"/>
        </w:rPr>
        <w:t>/14</w:t>
      </w:r>
    </w:p>
    <w:p w:rsidR="000D3E76" w:rsidRDefault="000D3E76" w:rsidP="000D3E76">
      <w:pPr>
        <w:spacing w:line="360" w:lineRule="auto"/>
        <w:jc w:val="both"/>
        <w:rPr>
          <w:b/>
          <w:sz w:val="28"/>
          <w:szCs w:val="28"/>
        </w:rPr>
      </w:pPr>
      <w:r>
        <w:rPr>
          <w:b/>
          <w:sz w:val="28"/>
          <w:szCs w:val="28"/>
        </w:rPr>
        <w:t>HELD AT HARARE 12</w:t>
      </w:r>
      <w:r w:rsidRPr="000D3E76">
        <w:rPr>
          <w:b/>
          <w:sz w:val="28"/>
          <w:szCs w:val="28"/>
          <w:vertAlign w:val="superscript"/>
        </w:rPr>
        <w:t>TH</w:t>
      </w:r>
      <w:r>
        <w:rPr>
          <w:b/>
          <w:sz w:val="28"/>
          <w:szCs w:val="28"/>
        </w:rPr>
        <w:t xml:space="preserve"> FEBRUARY 2014</w:t>
      </w:r>
      <w:r>
        <w:rPr>
          <w:b/>
          <w:sz w:val="28"/>
          <w:szCs w:val="28"/>
        </w:rPr>
        <w:tab/>
      </w:r>
      <w:r>
        <w:rPr>
          <w:b/>
          <w:sz w:val="28"/>
          <w:szCs w:val="28"/>
        </w:rPr>
        <w:tab/>
        <w:t>CASE NO LC/H/566/12</w:t>
      </w:r>
    </w:p>
    <w:p w:rsidR="00146C6D" w:rsidRDefault="00146C6D" w:rsidP="000D3E76">
      <w:pPr>
        <w:spacing w:line="360" w:lineRule="auto"/>
        <w:jc w:val="both"/>
        <w:rPr>
          <w:b/>
          <w:sz w:val="28"/>
          <w:szCs w:val="28"/>
        </w:rPr>
      </w:pPr>
      <w:r>
        <w:rPr>
          <w:b/>
          <w:sz w:val="28"/>
          <w:szCs w:val="28"/>
        </w:rPr>
        <w:t>&amp; 25</w:t>
      </w:r>
      <w:r w:rsidRPr="00146C6D">
        <w:rPr>
          <w:b/>
          <w:sz w:val="28"/>
          <w:szCs w:val="28"/>
          <w:vertAlign w:val="superscript"/>
        </w:rPr>
        <w:t>TH</w:t>
      </w:r>
      <w:r>
        <w:rPr>
          <w:b/>
          <w:sz w:val="28"/>
          <w:szCs w:val="28"/>
        </w:rPr>
        <w:t xml:space="preserve"> APRIL 2014 </w:t>
      </w:r>
    </w:p>
    <w:p w:rsidR="000D3E76" w:rsidRDefault="000D3E76" w:rsidP="000D3E76">
      <w:pPr>
        <w:spacing w:line="360" w:lineRule="auto"/>
        <w:jc w:val="both"/>
        <w:rPr>
          <w:sz w:val="28"/>
          <w:szCs w:val="28"/>
        </w:rPr>
      </w:pPr>
      <w:r>
        <w:rPr>
          <w:sz w:val="28"/>
          <w:szCs w:val="28"/>
        </w:rPr>
        <w:t>In the matter between:-</w:t>
      </w:r>
    </w:p>
    <w:p w:rsidR="000D3E76" w:rsidRDefault="000D3E76" w:rsidP="000D3E76">
      <w:pPr>
        <w:spacing w:line="360" w:lineRule="auto"/>
        <w:jc w:val="both"/>
        <w:rPr>
          <w:b/>
          <w:sz w:val="28"/>
          <w:szCs w:val="28"/>
        </w:rPr>
      </w:pPr>
      <w:r>
        <w:rPr>
          <w:b/>
          <w:sz w:val="28"/>
          <w:szCs w:val="28"/>
        </w:rPr>
        <w:t>SURFACE INVESTMENTS</w:t>
      </w:r>
      <w:r>
        <w:rPr>
          <w:b/>
          <w:sz w:val="28"/>
          <w:szCs w:val="28"/>
        </w:rPr>
        <w:tab/>
      </w:r>
      <w:r>
        <w:rPr>
          <w:b/>
          <w:sz w:val="28"/>
          <w:szCs w:val="28"/>
        </w:rPr>
        <w:tab/>
      </w:r>
      <w:r>
        <w:rPr>
          <w:b/>
          <w:sz w:val="28"/>
          <w:szCs w:val="28"/>
        </w:rPr>
        <w:tab/>
      </w:r>
      <w:r>
        <w:rPr>
          <w:b/>
          <w:sz w:val="28"/>
          <w:szCs w:val="28"/>
        </w:rPr>
        <w:tab/>
        <w:t xml:space="preserve">Appellant </w:t>
      </w:r>
    </w:p>
    <w:p w:rsidR="000D3E76" w:rsidRDefault="000D3E76" w:rsidP="000D3E76">
      <w:pPr>
        <w:spacing w:line="360" w:lineRule="auto"/>
        <w:jc w:val="both"/>
        <w:rPr>
          <w:b/>
          <w:sz w:val="28"/>
          <w:szCs w:val="28"/>
        </w:rPr>
      </w:pPr>
      <w:r>
        <w:rPr>
          <w:b/>
          <w:sz w:val="28"/>
          <w:szCs w:val="28"/>
        </w:rPr>
        <w:t>And</w:t>
      </w:r>
    </w:p>
    <w:p w:rsidR="000D3E76" w:rsidRDefault="000D3E76" w:rsidP="000D3E76">
      <w:pPr>
        <w:spacing w:line="360" w:lineRule="auto"/>
        <w:jc w:val="both"/>
        <w:rPr>
          <w:b/>
          <w:sz w:val="28"/>
          <w:szCs w:val="28"/>
        </w:rPr>
      </w:pPr>
      <w:r>
        <w:rPr>
          <w:b/>
          <w:sz w:val="28"/>
          <w:szCs w:val="28"/>
        </w:rPr>
        <w:t>MORGAN CHINAME &amp; 30 OTHERS</w:t>
      </w:r>
      <w:r>
        <w:rPr>
          <w:b/>
          <w:sz w:val="28"/>
          <w:szCs w:val="28"/>
        </w:rPr>
        <w:tab/>
      </w:r>
      <w:r>
        <w:rPr>
          <w:b/>
          <w:sz w:val="28"/>
          <w:szCs w:val="28"/>
        </w:rPr>
        <w:tab/>
        <w:t>Respondents</w:t>
      </w:r>
    </w:p>
    <w:p w:rsidR="000D3E76" w:rsidRDefault="000D3E76" w:rsidP="000D3E76">
      <w:pPr>
        <w:spacing w:line="360" w:lineRule="auto"/>
        <w:jc w:val="both"/>
        <w:rPr>
          <w:sz w:val="28"/>
          <w:szCs w:val="28"/>
        </w:rPr>
      </w:pPr>
      <w:r>
        <w:rPr>
          <w:sz w:val="28"/>
          <w:szCs w:val="28"/>
        </w:rPr>
        <w:t>Before The Honourable</w:t>
      </w:r>
      <w:r w:rsidR="00872BAC">
        <w:rPr>
          <w:sz w:val="28"/>
          <w:szCs w:val="28"/>
        </w:rPr>
        <w:t xml:space="preserve"> </w:t>
      </w:r>
      <w:r>
        <w:rPr>
          <w:sz w:val="28"/>
          <w:szCs w:val="28"/>
        </w:rPr>
        <w:t>R.</w:t>
      </w:r>
      <w:r w:rsidR="00872BAC" w:rsidRPr="00872BAC">
        <w:rPr>
          <w:sz w:val="28"/>
          <w:szCs w:val="28"/>
        </w:rPr>
        <w:t xml:space="preserve"> </w:t>
      </w:r>
      <w:r w:rsidR="00872BAC">
        <w:rPr>
          <w:sz w:val="28"/>
          <w:szCs w:val="28"/>
        </w:rPr>
        <w:t>F.</w:t>
      </w:r>
      <w:r>
        <w:rPr>
          <w:sz w:val="28"/>
          <w:szCs w:val="28"/>
        </w:rPr>
        <w:t xml:space="preserve"> Manyangadze, Judge</w:t>
      </w:r>
    </w:p>
    <w:p w:rsidR="000D3E76" w:rsidRDefault="000D3E76" w:rsidP="000D3E76">
      <w:pPr>
        <w:spacing w:line="360" w:lineRule="auto"/>
        <w:jc w:val="both"/>
        <w:rPr>
          <w:b/>
          <w:sz w:val="28"/>
          <w:szCs w:val="28"/>
        </w:rPr>
      </w:pPr>
      <w:r>
        <w:rPr>
          <w:b/>
          <w:sz w:val="28"/>
          <w:szCs w:val="28"/>
        </w:rPr>
        <w:t>For Appellant</w:t>
      </w:r>
      <w:r>
        <w:rPr>
          <w:b/>
          <w:sz w:val="28"/>
          <w:szCs w:val="28"/>
        </w:rPr>
        <w:tab/>
      </w:r>
      <w:r>
        <w:rPr>
          <w:b/>
          <w:sz w:val="28"/>
          <w:szCs w:val="28"/>
        </w:rPr>
        <w:tab/>
        <w:t>S Takundwa (Legal Practitioner)</w:t>
      </w:r>
    </w:p>
    <w:p w:rsidR="000D3E76" w:rsidRDefault="000D3E76" w:rsidP="000D3E76">
      <w:pPr>
        <w:spacing w:line="360" w:lineRule="auto"/>
        <w:jc w:val="both"/>
        <w:rPr>
          <w:b/>
          <w:sz w:val="28"/>
          <w:szCs w:val="28"/>
        </w:rPr>
      </w:pPr>
      <w:r>
        <w:rPr>
          <w:b/>
          <w:sz w:val="28"/>
          <w:szCs w:val="28"/>
        </w:rPr>
        <w:t>For Respondents</w:t>
      </w:r>
      <w:r>
        <w:rPr>
          <w:b/>
          <w:sz w:val="28"/>
          <w:szCs w:val="28"/>
        </w:rPr>
        <w:tab/>
      </w:r>
      <w:r>
        <w:rPr>
          <w:b/>
          <w:sz w:val="28"/>
          <w:szCs w:val="28"/>
        </w:rPr>
        <w:tab/>
        <w:t>P Chakabuda (Trade Unionist)</w:t>
      </w:r>
    </w:p>
    <w:p w:rsidR="000D3E76" w:rsidRDefault="000D3E76" w:rsidP="000D3E76">
      <w:pPr>
        <w:spacing w:line="360" w:lineRule="auto"/>
        <w:jc w:val="both"/>
        <w:rPr>
          <w:b/>
          <w:sz w:val="28"/>
          <w:szCs w:val="28"/>
        </w:rPr>
      </w:pPr>
    </w:p>
    <w:p w:rsidR="000D3E76" w:rsidRDefault="000D3E76" w:rsidP="000D3E76">
      <w:pPr>
        <w:spacing w:line="360" w:lineRule="auto"/>
        <w:jc w:val="both"/>
        <w:rPr>
          <w:b/>
          <w:sz w:val="28"/>
          <w:szCs w:val="28"/>
        </w:rPr>
      </w:pPr>
      <w:r>
        <w:rPr>
          <w:b/>
          <w:sz w:val="28"/>
          <w:szCs w:val="28"/>
        </w:rPr>
        <w:t>MANYANGADZE, J:</w:t>
      </w:r>
    </w:p>
    <w:p w:rsidR="000D3E76" w:rsidRDefault="000D3E76" w:rsidP="000D3E76">
      <w:pPr>
        <w:spacing w:line="360" w:lineRule="auto"/>
        <w:jc w:val="both"/>
        <w:rPr>
          <w:sz w:val="28"/>
          <w:szCs w:val="28"/>
        </w:rPr>
      </w:pPr>
      <w:r>
        <w:rPr>
          <w:b/>
          <w:sz w:val="28"/>
          <w:szCs w:val="28"/>
        </w:rPr>
        <w:tab/>
      </w:r>
      <w:r>
        <w:rPr>
          <w:sz w:val="28"/>
          <w:szCs w:val="28"/>
        </w:rPr>
        <w:t xml:space="preserve">At the hearing of this matter, appellant raised a point </w:t>
      </w:r>
      <w:r>
        <w:rPr>
          <w:i/>
          <w:sz w:val="28"/>
          <w:szCs w:val="28"/>
        </w:rPr>
        <w:t>in limine</w:t>
      </w:r>
      <w:r>
        <w:rPr>
          <w:sz w:val="28"/>
          <w:szCs w:val="28"/>
        </w:rPr>
        <w:t>,  to the effect that the Trade Union representing the respondents cannot do so without showing proof of its authority to represent the respondents.</w:t>
      </w:r>
    </w:p>
    <w:p w:rsidR="000D3E76" w:rsidRDefault="000D3E76" w:rsidP="000D3E76">
      <w:pPr>
        <w:spacing w:line="360" w:lineRule="auto"/>
        <w:jc w:val="both"/>
        <w:rPr>
          <w:sz w:val="28"/>
          <w:szCs w:val="28"/>
        </w:rPr>
      </w:pPr>
      <w:r>
        <w:rPr>
          <w:sz w:val="28"/>
          <w:szCs w:val="28"/>
        </w:rPr>
        <w:tab/>
        <w:t xml:space="preserve">I reserved judgment on the point </w:t>
      </w:r>
      <w:r>
        <w:rPr>
          <w:i/>
          <w:sz w:val="28"/>
          <w:szCs w:val="28"/>
        </w:rPr>
        <w:t>in limine</w:t>
      </w:r>
      <w:r>
        <w:rPr>
          <w:sz w:val="28"/>
          <w:szCs w:val="28"/>
        </w:rPr>
        <w:t xml:space="preserve">, and directed that the parties file supplementary Heads of Argument covering that aspect i.e. the Trade Union’s </w:t>
      </w:r>
      <w:r>
        <w:rPr>
          <w:i/>
          <w:sz w:val="28"/>
          <w:szCs w:val="28"/>
        </w:rPr>
        <w:t>locus standi in judicio</w:t>
      </w:r>
      <w:r>
        <w:rPr>
          <w:sz w:val="28"/>
          <w:szCs w:val="28"/>
        </w:rPr>
        <w:t>.  The parties duly filed their supplementary Heads of Argument.</w:t>
      </w:r>
    </w:p>
    <w:p w:rsidR="000D3E76" w:rsidRDefault="000D3E76" w:rsidP="000D3E76">
      <w:pPr>
        <w:spacing w:line="360" w:lineRule="auto"/>
        <w:jc w:val="both"/>
        <w:rPr>
          <w:sz w:val="28"/>
          <w:szCs w:val="28"/>
        </w:rPr>
      </w:pPr>
      <w:r>
        <w:rPr>
          <w:sz w:val="28"/>
          <w:szCs w:val="28"/>
        </w:rPr>
        <w:tab/>
        <w:t xml:space="preserve">The appellant avers that the Union’s constitution must specifically empower it to represent its members in legal proceedings.  In the absence of such provision in the constitution, the </w:t>
      </w:r>
      <w:r w:rsidR="00F60658">
        <w:rPr>
          <w:sz w:val="28"/>
          <w:szCs w:val="28"/>
        </w:rPr>
        <w:t>union</w:t>
      </w:r>
      <w:r>
        <w:rPr>
          <w:sz w:val="28"/>
          <w:szCs w:val="28"/>
        </w:rPr>
        <w:t xml:space="preserve"> will be acting </w:t>
      </w:r>
      <w:r>
        <w:rPr>
          <w:i/>
          <w:sz w:val="28"/>
          <w:szCs w:val="28"/>
        </w:rPr>
        <w:t xml:space="preserve">ultra vires </w:t>
      </w:r>
      <w:r>
        <w:rPr>
          <w:sz w:val="28"/>
          <w:szCs w:val="28"/>
        </w:rPr>
        <w:t xml:space="preserve">its </w:t>
      </w:r>
      <w:r>
        <w:rPr>
          <w:sz w:val="28"/>
          <w:szCs w:val="28"/>
        </w:rPr>
        <w:lastRenderedPageBreak/>
        <w:t xml:space="preserve">constitution.  The proceedings in which it participates will consequently be </w:t>
      </w:r>
      <w:r w:rsidR="00F60658">
        <w:rPr>
          <w:sz w:val="28"/>
          <w:szCs w:val="28"/>
        </w:rPr>
        <w:t>fatally def</w:t>
      </w:r>
      <w:r>
        <w:rPr>
          <w:sz w:val="28"/>
          <w:szCs w:val="28"/>
        </w:rPr>
        <w:t xml:space="preserve">ective.  In this regard, appellant referred to the cases of </w:t>
      </w:r>
      <w:r w:rsidR="00146C6D">
        <w:rPr>
          <w:b/>
          <w:sz w:val="28"/>
          <w:szCs w:val="28"/>
        </w:rPr>
        <w:t xml:space="preserve">Mall </w:t>
      </w:r>
      <w:r w:rsidR="00F60658">
        <w:rPr>
          <w:b/>
          <w:sz w:val="28"/>
          <w:szCs w:val="28"/>
        </w:rPr>
        <w:t>(Cape) Pty Ltd v Merino Ko</w:t>
      </w:r>
      <w:r w:rsidR="00D26DA2">
        <w:rPr>
          <w:b/>
          <w:sz w:val="28"/>
          <w:szCs w:val="28"/>
        </w:rPr>
        <w:t xml:space="preserve"> – operasie</w:t>
      </w:r>
      <w:r w:rsidR="00146C6D">
        <w:rPr>
          <w:b/>
          <w:sz w:val="28"/>
          <w:szCs w:val="28"/>
        </w:rPr>
        <w:t xml:space="preserve"> </w:t>
      </w:r>
      <w:r w:rsidR="00D26DA2">
        <w:rPr>
          <w:b/>
          <w:sz w:val="28"/>
          <w:szCs w:val="28"/>
        </w:rPr>
        <w:t xml:space="preserve">BPK </w:t>
      </w:r>
      <w:r w:rsidR="00D26DA2">
        <w:rPr>
          <w:sz w:val="28"/>
          <w:szCs w:val="28"/>
        </w:rPr>
        <w:t xml:space="preserve"> 1957 (2) </w:t>
      </w:r>
      <w:r w:rsidR="00F60658">
        <w:rPr>
          <w:sz w:val="28"/>
          <w:szCs w:val="28"/>
        </w:rPr>
        <w:t xml:space="preserve">SA </w:t>
      </w:r>
      <w:r w:rsidR="00D26DA2">
        <w:rPr>
          <w:sz w:val="28"/>
          <w:szCs w:val="28"/>
        </w:rPr>
        <w:t xml:space="preserve">347, </w:t>
      </w:r>
      <w:r w:rsidR="00F60658">
        <w:rPr>
          <w:b/>
          <w:sz w:val="28"/>
          <w:szCs w:val="28"/>
        </w:rPr>
        <w:t>Air</w:t>
      </w:r>
      <w:r w:rsidR="00D26DA2">
        <w:rPr>
          <w:b/>
          <w:sz w:val="28"/>
          <w:szCs w:val="28"/>
        </w:rPr>
        <w:t xml:space="preserve"> Zi</w:t>
      </w:r>
      <w:r w:rsidR="00F60658">
        <w:rPr>
          <w:b/>
          <w:sz w:val="28"/>
          <w:szCs w:val="28"/>
        </w:rPr>
        <w:t>mbabwe C</w:t>
      </w:r>
      <w:r w:rsidR="00D26DA2">
        <w:rPr>
          <w:b/>
          <w:sz w:val="28"/>
          <w:szCs w:val="28"/>
        </w:rPr>
        <w:t>o</w:t>
      </w:r>
      <w:r w:rsidR="00F60658">
        <w:rPr>
          <w:b/>
          <w:sz w:val="28"/>
          <w:szCs w:val="28"/>
        </w:rPr>
        <w:t>rpo</w:t>
      </w:r>
      <w:r w:rsidR="00D26DA2">
        <w:rPr>
          <w:b/>
          <w:sz w:val="28"/>
          <w:szCs w:val="28"/>
        </w:rPr>
        <w:t xml:space="preserve">ration and Others v The Zimbabwe Revenue Authority </w:t>
      </w:r>
      <w:r w:rsidR="00D26DA2">
        <w:rPr>
          <w:sz w:val="28"/>
          <w:szCs w:val="28"/>
        </w:rPr>
        <w:t xml:space="preserve">HH 96/03, and </w:t>
      </w:r>
      <w:r w:rsidR="00F60658">
        <w:rPr>
          <w:b/>
          <w:sz w:val="28"/>
          <w:szCs w:val="28"/>
        </w:rPr>
        <w:t>Zimbabwe Banking Corpo</w:t>
      </w:r>
      <w:r w:rsidR="00D26DA2">
        <w:rPr>
          <w:b/>
          <w:sz w:val="28"/>
          <w:szCs w:val="28"/>
        </w:rPr>
        <w:t xml:space="preserve">ration Ltd v Trust Finance Ltd and Another </w:t>
      </w:r>
      <w:r w:rsidR="00D26DA2">
        <w:rPr>
          <w:sz w:val="28"/>
          <w:szCs w:val="28"/>
        </w:rPr>
        <w:t xml:space="preserve"> HH 130/06, among other cases.</w:t>
      </w:r>
    </w:p>
    <w:p w:rsidR="00D26DA2" w:rsidRDefault="00D26DA2" w:rsidP="000D3E76">
      <w:pPr>
        <w:spacing w:line="360" w:lineRule="auto"/>
        <w:jc w:val="both"/>
        <w:rPr>
          <w:sz w:val="28"/>
          <w:szCs w:val="28"/>
        </w:rPr>
      </w:pPr>
      <w:r>
        <w:rPr>
          <w:sz w:val="28"/>
          <w:szCs w:val="28"/>
        </w:rPr>
        <w:tab/>
        <w:t xml:space="preserve">The </w:t>
      </w:r>
      <w:r w:rsidR="00F60658">
        <w:rPr>
          <w:sz w:val="28"/>
          <w:szCs w:val="28"/>
        </w:rPr>
        <w:t>critical</w:t>
      </w:r>
      <w:r>
        <w:rPr>
          <w:sz w:val="28"/>
          <w:szCs w:val="28"/>
        </w:rPr>
        <w:t xml:space="preserve"> issue in this case </w:t>
      </w:r>
      <w:r w:rsidR="00F60658">
        <w:rPr>
          <w:sz w:val="28"/>
          <w:szCs w:val="28"/>
        </w:rPr>
        <w:t>would</w:t>
      </w:r>
      <w:r>
        <w:rPr>
          <w:sz w:val="28"/>
          <w:szCs w:val="28"/>
        </w:rPr>
        <w:t xml:space="preserve"> be the Union’s constitution.  The respondents </w:t>
      </w:r>
      <w:r w:rsidR="00F60658">
        <w:rPr>
          <w:sz w:val="28"/>
          <w:szCs w:val="28"/>
        </w:rPr>
        <w:t>contended</w:t>
      </w:r>
      <w:r>
        <w:rPr>
          <w:sz w:val="28"/>
          <w:szCs w:val="28"/>
        </w:rPr>
        <w:t xml:space="preserve"> that the</w:t>
      </w:r>
      <w:r w:rsidR="00F60658">
        <w:rPr>
          <w:sz w:val="28"/>
          <w:szCs w:val="28"/>
        </w:rPr>
        <w:t>ir</w:t>
      </w:r>
      <w:r>
        <w:rPr>
          <w:sz w:val="28"/>
          <w:szCs w:val="28"/>
        </w:rPr>
        <w:t xml:space="preserve"> </w:t>
      </w:r>
      <w:r w:rsidR="00F60658">
        <w:rPr>
          <w:sz w:val="28"/>
          <w:szCs w:val="28"/>
        </w:rPr>
        <w:t xml:space="preserve">union, </w:t>
      </w:r>
      <w:r>
        <w:rPr>
          <w:sz w:val="28"/>
          <w:szCs w:val="28"/>
        </w:rPr>
        <w:t>which the Zimbabwe Food Beverages and Allied Workers Union (the Union) is a duly registered union in terms of section 28 (1) of the Labour Act [Chapter 28:01].   The respondents s</w:t>
      </w:r>
      <w:r w:rsidR="00F60658">
        <w:rPr>
          <w:sz w:val="28"/>
          <w:szCs w:val="28"/>
        </w:rPr>
        <w:t>ubmitted a copy of the union’s C</w:t>
      </w:r>
      <w:r>
        <w:rPr>
          <w:sz w:val="28"/>
          <w:szCs w:val="28"/>
        </w:rPr>
        <w:t>ertificate of Registration dated 4 April 2006, and its constitution.</w:t>
      </w:r>
    </w:p>
    <w:p w:rsidR="00D26DA2" w:rsidRDefault="00D26DA2" w:rsidP="000D3E76">
      <w:pPr>
        <w:spacing w:line="360" w:lineRule="auto"/>
        <w:jc w:val="both"/>
        <w:rPr>
          <w:sz w:val="28"/>
          <w:szCs w:val="28"/>
        </w:rPr>
      </w:pPr>
      <w:r>
        <w:rPr>
          <w:sz w:val="28"/>
          <w:szCs w:val="28"/>
        </w:rPr>
        <w:tab/>
        <w:t>Section 4.1 establishes the union as a body corporate.</w:t>
      </w:r>
    </w:p>
    <w:p w:rsidR="00D26DA2" w:rsidRDefault="00D26DA2" w:rsidP="000D3E76">
      <w:pPr>
        <w:spacing w:line="360" w:lineRule="auto"/>
        <w:jc w:val="both"/>
        <w:rPr>
          <w:sz w:val="28"/>
          <w:szCs w:val="28"/>
        </w:rPr>
      </w:pPr>
      <w:r>
        <w:rPr>
          <w:sz w:val="28"/>
          <w:szCs w:val="28"/>
        </w:rPr>
        <w:tab/>
        <w:t>Section 5.6 empowers the union to provide legal assistance to its members.  It reads:</w:t>
      </w:r>
    </w:p>
    <w:p w:rsidR="00F60658" w:rsidRPr="002C2477" w:rsidRDefault="00D26DA2" w:rsidP="002C2477">
      <w:pPr>
        <w:spacing w:line="240" w:lineRule="auto"/>
        <w:ind w:left="1440"/>
        <w:jc w:val="both"/>
        <w:rPr>
          <w:i/>
          <w:sz w:val="24"/>
          <w:szCs w:val="24"/>
        </w:rPr>
      </w:pPr>
      <w:r>
        <w:rPr>
          <w:i/>
          <w:sz w:val="24"/>
          <w:szCs w:val="24"/>
        </w:rPr>
        <w:t xml:space="preserve">“To provide, </w:t>
      </w:r>
      <w:r w:rsidR="00146C6D">
        <w:rPr>
          <w:i/>
          <w:sz w:val="24"/>
          <w:szCs w:val="24"/>
        </w:rPr>
        <w:t xml:space="preserve">when </w:t>
      </w:r>
      <w:r>
        <w:rPr>
          <w:i/>
          <w:sz w:val="24"/>
          <w:szCs w:val="24"/>
        </w:rPr>
        <w:t>deemed necessary, legal assistance to members on matters related to or incidental to their employment or any other such matters as the National Executive Committee may deem necessary.”</w:t>
      </w:r>
    </w:p>
    <w:p w:rsidR="00F60658" w:rsidRDefault="00F60658" w:rsidP="00F60658">
      <w:pPr>
        <w:spacing w:line="240" w:lineRule="auto"/>
        <w:jc w:val="both"/>
        <w:rPr>
          <w:sz w:val="28"/>
          <w:szCs w:val="28"/>
        </w:rPr>
      </w:pPr>
      <w:r>
        <w:rPr>
          <w:sz w:val="28"/>
          <w:szCs w:val="28"/>
        </w:rPr>
        <w:tab/>
        <w:t>Further to that section 5:</w:t>
      </w:r>
      <w:r w:rsidR="00146C6D">
        <w:rPr>
          <w:sz w:val="28"/>
          <w:szCs w:val="28"/>
        </w:rPr>
        <w:t>1</w:t>
      </w:r>
      <w:r>
        <w:rPr>
          <w:sz w:val="28"/>
          <w:szCs w:val="28"/>
        </w:rPr>
        <w:t>4 (iv)</w:t>
      </w:r>
      <w:r w:rsidR="00146C6D">
        <w:rPr>
          <w:sz w:val="28"/>
          <w:szCs w:val="28"/>
        </w:rPr>
        <w:t xml:space="preserve"> specifically provides</w:t>
      </w:r>
      <w:r>
        <w:rPr>
          <w:sz w:val="28"/>
          <w:szCs w:val="28"/>
        </w:rPr>
        <w:t>:</w:t>
      </w:r>
    </w:p>
    <w:p w:rsidR="00F60658" w:rsidRPr="00F60658" w:rsidRDefault="00F60658" w:rsidP="00F60658">
      <w:pPr>
        <w:spacing w:line="240" w:lineRule="auto"/>
        <w:jc w:val="both"/>
        <w:rPr>
          <w:i/>
          <w:sz w:val="24"/>
          <w:szCs w:val="24"/>
        </w:rPr>
      </w:pPr>
      <w:r>
        <w:rPr>
          <w:sz w:val="28"/>
          <w:szCs w:val="28"/>
        </w:rPr>
        <w:tab/>
      </w:r>
      <w:r>
        <w:rPr>
          <w:sz w:val="28"/>
          <w:szCs w:val="28"/>
        </w:rPr>
        <w:tab/>
      </w:r>
      <w:r>
        <w:rPr>
          <w:i/>
          <w:sz w:val="24"/>
          <w:szCs w:val="24"/>
        </w:rPr>
        <w:t>“To make representations to a determining authority, or the Labour Court.”</w:t>
      </w:r>
    </w:p>
    <w:p w:rsidR="00D26DA2" w:rsidRDefault="00D26DA2" w:rsidP="00D26DA2">
      <w:pPr>
        <w:spacing w:line="360" w:lineRule="auto"/>
        <w:jc w:val="both"/>
        <w:rPr>
          <w:sz w:val="28"/>
          <w:szCs w:val="28"/>
        </w:rPr>
      </w:pPr>
      <w:r>
        <w:rPr>
          <w:sz w:val="28"/>
          <w:szCs w:val="28"/>
        </w:rPr>
        <w:tab/>
        <w:t>It is clear from these provisions of the constitution, that the union is empowered to represent its members in legal proceedings, which include the labour dispute before this court.</w:t>
      </w:r>
    </w:p>
    <w:p w:rsidR="00D26DA2" w:rsidRDefault="00D26DA2" w:rsidP="00D26DA2">
      <w:pPr>
        <w:spacing w:line="360" w:lineRule="auto"/>
        <w:jc w:val="both"/>
        <w:rPr>
          <w:sz w:val="28"/>
          <w:szCs w:val="28"/>
        </w:rPr>
      </w:pPr>
      <w:r>
        <w:rPr>
          <w:sz w:val="28"/>
          <w:szCs w:val="28"/>
        </w:rPr>
        <w:tab/>
        <w:t xml:space="preserve">Another issue which appellant </w:t>
      </w:r>
      <w:r w:rsidR="00F60658">
        <w:rPr>
          <w:sz w:val="28"/>
          <w:szCs w:val="28"/>
        </w:rPr>
        <w:t>raised i</w:t>
      </w:r>
      <w:r>
        <w:rPr>
          <w:sz w:val="28"/>
          <w:szCs w:val="28"/>
        </w:rPr>
        <w:t xml:space="preserve">s whether Mr P Chakabuda, the union representative </w:t>
      </w:r>
      <w:r w:rsidR="00F60658">
        <w:rPr>
          <w:sz w:val="28"/>
          <w:szCs w:val="28"/>
        </w:rPr>
        <w:t>who appeared</w:t>
      </w:r>
      <w:r>
        <w:rPr>
          <w:sz w:val="28"/>
          <w:szCs w:val="28"/>
        </w:rPr>
        <w:t xml:space="preserve"> in court, had authority to so appear.</w:t>
      </w:r>
    </w:p>
    <w:p w:rsidR="00D26DA2" w:rsidRDefault="00D26DA2" w:rsidP="00D26DA2">
      <w:pPr>
        <w:spacing w:line="360" w:lineRule="auto"/>
        <w:jc w:val="both"/>
        <w:rPr>
          <w:sz w:val="28"/>
          <w:szCs w:val="28"/>
        </w:rPr>
      </w:pPr>
      <w:r>
        <w:rPr>
          <w:sz w:val="28"/>
          <w:szCs w:val="28"/>
        </w:rPr>
        <w:lastRenderedPageBreak/>
        <w:tab/>
        <w:t>Mr Chakabuda</w:t>
      </w:r>
      <w:r w:rsidR="00F60658">
        <w:rPr>
          <w:sz w:val="28"/>
          <w:szCs w:val="28"/>
        </w:rPr>
        <w:t>,</w:t>
      </w:r>
      <w:r>
        <w:rPr>
          <w:sz w:val="28"/>
          <w:szCs w:val="28"/>
        </w:rPr>
        <w:t xml:space="preserve"> together with the c</w:t>
      </w:r>
      <w:r w:rsidR="00F60658">
        <w:rPr>
          <w:sz w:val="28"/>
          <w:szCs w:val="28"/>
        </w:rPr>
        <w:t xml:space="preserve">onstitution </w:t>
      </w:r>
      <w:r>
        <w:rPr>
          <w:sz w:val="28"/>
          <w:szCs w:val="28"/>
        </w:rPr>
        <w:t>and certificate of registration, also</w:t>
      </w:r>
      <w:r w:rsidR="00577414">
        <w:rPr>
          <w:sz w:val="28"/>
          <w:szCs w:val="28"/>
        </w:rPr>
        <w:t xml:space="preserve"> submitted a letter from the union, dated 12 February 2014</w:t>
      </w:r>
      <w:r w:rsidR="00F60658">
        <w:rPr>
          <w:sz w:val="28"/>
          <w:szCs w:val="28"/>
        </w:rPr>
        <w:t>,</w:t>
      </w:r>
      <w:r w:rsidR="00577414">
        <w:rPr>
          <w:sz w:val="28"/>
          <w:szCs w:val="28"/>
        </w:rPr>
        <w:t xml:space="preserve"> addressed</w:t>
      </w:r>
      <w:r w:rsidR="00F60658">
        <w:rPr>
          <w:sz w:val="28"/>
          <w:szCs w:val="28"/>
        </w:rPr>
        <w:t xml:space="preserve"> to the Registrar of this Court.  </w:t>
      </w:r>
      <w:r w:rsidR="00EB4A96">
        <w:rPr>
          <w:sz w:val="28"/>
          <w:szCs w:val="28"/>
        </w:rPr>
        <w:t>The letter confirms</w:t>
      </w:r>
      <w:r w:rsidR="00577414">
        <w:rPr>
          <w:sz w:val="28"/>
          <w:szCs w:val="28"/>
        </w:rPr>
        <w:t xml:space="preserve"> that he is an officer of the union</w:t>
      </w:r>
      <w:r w:rsidR="00EB4A96">
        <w:rPr>
          <w:sz w:val="28"/>
          <w:szCs w:val="28"/>
        </w:rPr>
        <w:t>,</w:t>
      </w:r>
      <w:r w:rsidR="00577414">
        <w:rPr>
          <w:sz w:val="28"/>
          <w:szCs w:val="28"/>
        </w:rPr>
        <w:t xml:space="preserve"> whose duties include representing members of the union before a determining authority or the Labour Court.</w:t>
      </w:r>
    </w:p>
    <w:p w:rsidR="00577414" w:rsidRDefault="00577414" w:rsidP="00D26DA2">
      <w:pPr>
        <w:spacing w:line="360" w:lineRule="auto"/>
        <w:jc w:val="both"/>
        <w:rPr>
          <w:sz w:val="28"/>
          <w:szCs w:val="28"/>
        </w:rPr>
      </w:pPr>
      <w:r>
        <w:rPr>
          <w:sz w:val="28"/>
          <w:szCs w:val="28"/>
        </w:rPr>
        <w:tab/>
        <w:t>The cases cited by appellant viz</w:t>
      </w:r>
      <w:r w:rsidR="00F60658">
        <w:rPr>
          <w:sz w:val="28"/>
          <w:szCs w:val="28"/>
        </w:rPr>
        <w:t xml:space="preserve"> </w:t>
      </w:r>
      <w:r>
        <w:rPr>
          <w:b/>
          <w:sz w:val="28"/>
          <w:szCs w:val="28"/>
        </w:rPr>
        <w:t xml:space="preserve">Air Zimbabwe </w:t>
      </w:r>
      <w:r w:rsidR="00EB4A96">
        <w:rPr>
          <w:b/>
          <w:sz w:val="28"/>
          <w:szCs w:val="28"/>
        </w:rPr>
        <w:t>and</w:t>
      </w:r>
      <w:r>
        <w:rPr>
          <w:b/>
          <w:sz w:val="28"/>
          <w:szCs w:val="28"/>
        </w:rPr>
        <w:t xml:space="preserve"> Zimbabwe Banking Corporation Ltd </w:t>
      </w:r>
      <w:r>
        <w:rPr>
          <w:i/>
          <w:sz w:val="28"/>
          <w:szCs w:val="28"/>
        </w:rPr>
        <w:t>supra</w:t>
      </w:r>
      <w:r w:rsidR="00EB4A96">
        <w:rPr>
          <w:i/>
          <w:sz w:val="28"/>
          <w:szCs w:val="28"/>
        </w:rPr>
        <w:t>,</w:t>
      </w:r>
      <w:r>
        <w:rPr>
          <w:sz w:val="28"/>
          <w:szCs w:val="28"/>
        </w:rPr>
        <w:t xml:space="preserve"> actually s</w:t>
      </w:r>
      <w:r w:rsidR="00EB4A96">
        <w:rPr>
          <w:sz w:val="28"/>
          <w:szCs w:val="28"/>
        </w:rPr>
        <w:t>trengthen respondents’ position.</w:t>
      </w:r>
      <w:r>
        <w:rPr>
          <w:sz w:val="28"/>
          <w:szCs w:val="28"/>
        </w:rPr>
        <w:t xml:space="preserve"> </w:t>
      </w:r>
      <w:r w:rsidR="00EB4A96">
        <w:rPr>
          <w:sz w:val="28"/>
          <w:szCs w:val="28"/>
        </w:rPr>
        <w:t>I</w:t>
      </w:r>
      <w:r>
        <w:rPr>
          <w:sz w:val="28"/>
          <w:szCs w:val="28"/>
        </w:rPr>
        <w:t xml:space="preserve">n both cases, the South African case of </w:t>
      </w:r>
      <w:r>
        <w:rPr>
          <w:b/>
          <w:sz w:val="28"/>
          <w:szCs w:val="28"/>
        </w:rPr>
        <w:t>Mall (Cape) Pty Ltd</w:t>
      </w:r>
      <w:r>
        <w:rPr>
          <w:i/>
          <w:sz w:val="28"/>
          <w:szCs w:val="28"/>
        </w:rPr>
        <w:t xml:space="preserve"> supra</w:t>
      </w:r>
      <w:r>
        <w:rPr>
          <w:sz w:val="28"/>
          <w:szCs w:val="28"/>
        </w:rPr>
        <w:t xml:space="preserve"> was referred to with approval.  In particular, the following passage was cited</w:t>
      </w:r>
      <w:r w:rsidR="00EB4A96">
        <w:rPr>
          <w:sz w:val="28"/>
          <w:szCs w:val="28"/>
        </w:rPr>
        <w:t>;</w:t>
      </w:r>
    </w:p>
    <w:p w:rsidR="00577414" w:rsidRDefault="00577414" w:rsidP="00336AC6">
      <w:pPr>
        <w:spacing w:line="240" w:lineRule="auto"/>
        <w:ind w:left="1440"/>
        <w:jc w:val="both"/>
        <w:rPr>
          <w:i/>
          <w:sz w:val="24"/>
          <w:szCs w:val="24"/>
        </w:rPr>
      </w:pPr>
      <w:r>
        <w:rPr>
          <w:i/>
          <w:sz w:val="24"/>
          <w:szCs w:val="24"/>
        </w:rPr>
        <w:t xml:space="preserve">“The best evidence that the proceedings have been properly authorised would be provided by an affidavit made by an official of the company annexing a copy of the resolution but 1 do not consider that </w:t>
      </w:r>
      <w:r w:rsidR="00EB4A96">
        <w:rPr>
          <w:i/>
          <w:sz w:val="24"/>
          <w:szCs w:val="24"/>
        </w:rPr>
        <w:t>that</w:t>
      </w:r>
      <w:r>
        <w:rPr>
          <w:i/>
          <w:sz w:val="24"/>
          <w:szCs w:val="24"/>
        </w:rPr>
        <w:t xml:space="preserve"> form of proof is necessary in every case:  Each case must be considered on its own merits and the court must decide whether </w:t>
      </w:r>
      <w:r w:rsidR="00EB4A96">
        <w:rPr>
          <w:i/>
          <w:sz w:val="24"/>
          <w:szCs w:val="24"/>
        </w:rPr>
        <w:t>enough</w:t>
      </w:r>
      <w:r>
        <w:rPr>
          <w:i/>
          <w:sz w:val="24"/>
          <w:szCs w:val="24"/>
        </w:rPr>
        <w:t xml:space="preserve"> has been placed before it to warrant the conclusion that it is the applicant which is litigating and not</w:t>
      </w:r>
      <w:r w:rsidR="00336AC6">
        <w:rPr>
          <w:i/>
          <w:sz w:val="24"/>
          <w:szCs w:val="24"/>
        </w:rPr>
        <w:t xml:space="preserve"> some unauthorised person on its behalf.  Where as in the present case, the respondent has offered no evidence at all to suggest that the applicant is not properly before the Court, then I consider that a minimum of evidence will be required from the applicant.”</w:t>
      </w:r>
    </w:p>
    <w:p w:rsidR="00336AC6" w:rsidRDefault="00336AC6" w:rsidP="00336AC6">
      <w:pPr>
        <w:spacing w:line="360" w:lineRule="auto"/>
        <w:jc w:val="both"/>
        <w:rPr>
          <w:sz w:val="28"/>
          <w:szCs w:val="28"/>
        </w:rPr>
      </w:pPr>
      <w:r>
        <w:rPr>
          <w:sz w:val="28"/>
          <w:szCs w:val="28"/>
        </w:rPr>
        <w:tab/>
        <w:t xml:space="preserve">Similarly, </w:t>
      </w:r>
      <w:r>
        <w:rPr>
          <w:i/>
          <w:sz w:val="28"/>
          <w:szCs w:val="28"/>
        </w:rPr>
        <w:t>in casu</w:t>
      </w:r>
      <w:r>
        <w:rPr>
          <w:sz w:val="28"/>
          <w:szCs w:val="28"/>
        </w:rPr>
        <w:t xml:space="preserve">, appellant has offered no evidence at all to suggest that the union representative is not properly before the court.  Thus, a minimum of evidence will be required from the respondents, authenticating their union’s </w:t>
      </w:r>
      <w:r>
        <w:rPr>
          <w:i/>
          <w:sz w:val="28"/>
          <w:szCs w:val="28"/>
        </w:rPr>
        <w:t>locus standi.</w:t>
      </w:r>
    </w:p>
    <w:p w:rsidR="00632219" w:rsidRDefault="00EB4A96" w:rsidP="00336AC6">
      <w:pPr>
        <w:spacing w:line="360" w:lineRule="auto"/>
        <w:jc w:val="both"/>
        <w:rPr>
          <w:sz w:val="28"/>
          <w:szCs w:val="28"/>
        </w:rPr>
      </w:pPr>
      <w:r>
        <w:rPr>
          <w:sz w:val="28"/>
          <w:szCs w:val="28"/>
        </w:rPr>
        <w:tab/>
        <w:t>In fact, during submissions in court, appellant’s legal practitioner pointed out he has known Mr Ckakabuda for a long time.  The legal practitioner further indicated that he did not doubt, or question Mr Ckakabuda’</w:t>
      </w:r>
      <w:r w:rsidR="00632219">
        <w:rPr>
          <w:sz w:val="28"/>
          <w:szCs w:val="28"/>
        </w:rPr>
        <w:t xml:space="preserve">s </w:t>
      </w:r>
      <w:r>
        <w:rPr>
          <w:sz w:val="28"/>
          <w:szCs w:val="28"/>
        </w:rPr>
        <w:t xml:space="preserve">capacity to represent </w:t>
      </w:r>
      <w:r w:rsidR="00146C6D">
        <w:rPr>
          <w:sz w:val="28"/>
          <w:szCs w:val="28"/>
        </w:rPr>
        <w:t>union</w:t>
      </w:r>
      <w:r>
        <w:rPr>
          <w:sz w:val="28"/>
          <w:szCs w:val="28"/>
        </w:rPr>
        <w:t xml:space="preserve"> members</w:t>
      </w:r>
      <w:r w:rsidR="00632219">
        <w:rPr>
          <w:sz w:val="28"/>
          <w:szCs w:val="28"/>
        </w:rPr>
        <w:t xml:space="preserve">,  having dealt with him in labour proceedings for a long time.  As I understood it, the issue before the court was whether the Union’s constitution empowered its officials to represent the union’s members </w:t>
      </w:r>
      <w:r w:rsidR="00632219">
        <w:rPr>
          <w:sz w:val="28"/>
          <w:szCs w:val="28"/>
        </w:rPr>
        <w:lastRenderedPageBreak/>
        <w:t xml:space="preserve">in legal proceedings.  It was not whether Mr </w:t>
      </w:r>
      <w:r w:rsidR="002C2477">
        <w:rPr>
          <w:sz w:val="28"/>
          <w:szCs w:val="28"/>
        </w:rPr>
        <w:t>Chakabuda</w:t>
      </w:r>
      <w:r w:rsidR="00632219">
        <w:rPr>
          <w:sz w:val="28"/>
          <w:szCs w:val="28"/>
        </w:rPr>
        <w:t xml:space="preserve"> himself had the requisite authority, as an official of the union, to represent it in court.</w:t>
      </w:r>
    </w:p>
    <w:p w:rsidR="00EB4A96" w:rsidRDefault="00632219" w:rsidP="00336AC6">
      <w:pPr>
        <w:spacing w:line="360" w:lineRule="auto"/>
        <w:jc w:val="both"/>
        <w:rPr>
          <w:sz w:val="28"/>
          <w:szCs w:val="28"/>
        </w:rPr>
      </w:pPr>
      <w:r>
        <w:rPr>
          <w:sz w:val="28"/>
          <w:szCs w:val="28"/>
        </w:rPr>
        <w:tab/>
        <w:t xml:space="preserve">The issue as to whether the union’s constitution empowered Mr Chakabuda to represent the respondents has been disposed of, by simply looking at the clear provisions of the constitution </w:t>
      </w:r>
      <w:r w:rsidR="00146C6D">
        <w:rPr>
          <w:sz w:val="28"/>
          <w:szCs w:val="28"/>
        </w:rPr>
        <w:t>conferring</w:t>
      </w:r>
      <w:r>
        <w:rPr>
          <w:sz w:val="28"/>
          <w:szCs w:val="28"/>
        </w:rPr>
        <w:t xml:space="preserve"> th</w:t>
      </w:r>
      <w:r w:rsidR="00146C6D">
        <w:rPr>
          <w:sz w:val="28"/>
          <w:szCs w:val="28"/>
        </w:rPr>
        <w:t>at power.  The ancillary issue,</w:t>
      </w:r>
      <w:r>
        <w:rPr>
          <w:sz w:val="28"/>
          <w:szCs w:val="28"/>
        </w:rPr>
        <w:t xml:space="preserve"> of whether or not Mr Chakabuda himself is specifically authorised to appear on behalf of the Union, was not raised at the hearing of the matter.  It emerged from appellant’s supplementary Heads of Argument.</w:t>
      </w:r>
    </w:p>
    <w:p w:rsidR="00632219" w:rsidRDefault="00632219" w:rsidP="00336AC6">
      <w:pPr>
        <w:spacing w:line="360" w:lineRule="auto"/>
        <w:jc w:val="both"/>
        <w:rPr>
          <w:sz w:val="28"/>
          <w:szCs w:val="28"/>
        </w:rPr>
      </w:pPr>
      <w:r>
        <w:rPr>
          <w:sz w:val="28"/>
          <w:szCs w:val="28"/>
        </w:rPr>
        <w:tab/>
        <w:t>As already indicated, it was accepted, by the appellant’s legal practitioner, that Mr Chakabuda had capacity to represent the union.  There was a long history of such representation, which appellant was aware of and had never challenged.  That</w:t>
      </w:r>
      <w:r w:rsidR="00146C6D">
        <w:rPr>
          <w:sz w:val="28"/>
          <w:szCs w:val="28"/>
        </w:rPr>
        <w:t>,</w:t>
      </w:r>
      <w:r>
        <w:rPr>
          <w:sz w:val="28"/>
          <w:szCs w:val="28"/>
        </w:rPr>
        <w:t xml:space="preserve"> coupled with the letter from the union</w:t>
      </w:r>
      <w:r w:rsidR="00146C6D">
        <w:rPr>
          <w:sz w:val="28"/>
          <w:szCs w:val="28"/>
        </w:rPr>
        <w:t>,</w:t>
      </w:r>
      <w:r>
        <w:rPr>
          <w:sz w:val="28"/>
          <w:szCs w:val="28"/>
        </w:rPr>
        <w:t xml:space="preserve"> places him </w:t>
      </w:r>
      <w:r w:rsidR="00146C6D">
        <w:rPr>
          <w:sz w:val="28"/>
          <w:szCs w:val="28"/>
        </w:rPr>
        <w:t>on a</w:t>
      </w:r>
      <w:r>
        <w:rPr>
          <w:sz w:val="28"/>
          <w:szCs w:val="28"/>
        </w:rPr>
        <w:t xml:space="preserve"> firm footing as </w:t>
      </w:r>
      <w:r w:rsidR="002C2477">
        <w:rPr>
          <w:sz w:val="28"/>
          <w:szCs w:val="28"/>
        </w:rPr>
        <w:t xml:space="preserve">a </w:t>
      </w:r>
      <w:r>
        <w:rPr>
          <w:sz w:val="28"/>
          <w:szCs w:val="28"/>
        </w:rPr>
        <w:t>duly authorised union representat</w:t>
      </w:r>
      <w:r w:rsidR="00146C6D">
        <w:rPr>
          <w:sz w:val="28"/>
          <w:szCs w:val="28"/>
        </w:rPr>
        <w:t>ive.  In my view, it constitutes</w:t>
      </w:r>
      <w:r w:rsidR="00C53C71">
        <w:rPr>
          <w:sz w:val="28"/>
          <w:szCs w:val="28"/>
        </w:rPr>
        <w:t xml:space="preserve"> </w:t>
      </w:r>
      <w:r>
        <w:rPr>
          <w:sz w:val="28"/>
          <w:szCs w:val="28"/>
        </w:rPr>
        <w:t>the minimum evidence required to</w:t>
      </w:r>
      <w:r w:rsidR="00BA0D65">
        <w:rPr>
          <w:sz w:val="28"/>
          <w:szCs w:val="28"/>
        </w:rPr>
        <w:t xml:space="preserve"> establish his authority to represent the union, in the absence of evidence to the contrary.</w:t>
      </w:r>
      <w:r w:rsidR="00AF7B96">
        <w:rPr>
          <w:sz w:val="28"/>
          <w:szCs w:val="28"/>
        </w:rPr>
        <w:t xml:space="preserve">   </w:t>
      </w:r>
    </w:p>
    <w:p w:rsidR="00336AC6" w:rsidRDefault="00336AC6" w:rsidP="00336AC6">
      <w:pPr>
        <w:spacing w:line="360" w:lineRule="auto"/>
        <w:jc w:val="both"/>
        <w:rPr>
          <w:sz w:val="28"/>
          <w:szCs w:val="28"/>
        </w:rPr>
      </w:pPr>
      <w:r>
        <w:rPr>
          <w:sz w:val="28"/>
          <w:szCs w:val="28"/>
        </w:rPr>
        <w:tab/>
        <w:t xml:space="preserve">In the circumstances, I am unable to uphold appellant’s point </w:t>
      </w:r>
      <w:r>
        <w:rPr>
          <w:i/>
          <w:sz w:val="28"/>
          <w:szCs w:val="28"/>
        </w:rPr>
        <w:t>in limine</w:t>
      </w:r>
      <w:r>
        <w:rPr>
          <w:sz w:val="28"/>
          <w:szCs w:val="28"/>
        </w:rPr>
        <w:t>.</w:t>
      </w:r>
    </w:p>
    <w:p w:rsidR="00336AC6" w:rsidRDefault="00336AC6" w:rsidP="00336AC6">
      <w:pPr>
        <w:spacing w:line="360" w:lineRule="auto"/>
        <w:jc w:val="both"/>
        <w:rPr>
          <w:sz w:val="28"/>
          <w:szCs w:val="28"/>
        </w:rPr>
      </w:pPr>
      <w:r>
        <w:rPr>
          <w:sz w:val="28"/>
          <w:szCs w:val="28"/>
        </w:rPr>
        <w:t>It is accordingly ordered that</w:t>
      </w:r>
    </w:p>
    <w:p w:rsidR="00336AC6" w:rsidRDefault="00336AC6" w:rsidP="002C2477">
      <w:pPr>
        <w:pStyle w:val="ListParagraph"/>
        <w:numPr>
          <w:ilvl w:val="0"/>
          <w:numId w:val="1"/>
        </w:numPr>
        <w:spacing w:line="240" w:lineRule="auto"/>
        <w:jc w:val="both"/>
        <w:rPr>
          <w:sz w:val="28"/>
          <w:szCs w:val="28"/>
        </w:rPr>
      </w:pPr>
      <w:r>
        <w:rPr>
          <w:sz w:val="28"/>
          <w:szCs w:val="28"/>
        </w:rPr>
        <w:t xml:space="preserve"> The point </w:t>
      </w:r>
      <w:r>
        <w:rPr>
          <w:i/>
          <w:sz w:val="28"/>
          <w:szCs w:val="28"/>
        </w:rPr>
        <w:t>in limine</w:t>
      </w:r>
      <w:r>
        <w:rPr>
          <w:sz w:val="28"/>
          <w:szCs w:val="28"/>
        </w:rPr>
        <w:t xml:space="preserve"> raised by appellant be and is hereby dismissed</w:t>
      </w:r>
    </w:p>
    <w:p w:rsidR="00336AC6" w:rsidRDefault="00336AC6" w:rsidP="002C2477">
      <w:pPr>
        <w:pStyle w:val="ListParagraph"/>
        <w:numPr>
          <w:ilvl w:val="0"/>
          <w:numId w:val="1"/>
        </w:numPr>
        <w:spacing w:line="240" w:lineRule="auto"/>
        <w:jc w:val="both"/>
        <w:rPr>
          <w:sz w:val="28"/>
          <w:szCs w:val="28"/>
        </w:rPr>
      </w:pPr>
      <w:r>
        <w:rPr>
          <w:sz w:val="28"/>
          <w:szCs w:val="28"/>
        </w:rPr>
        <w:t>The Registrar is directed to set down the main appeal on the earliest available date.</w:t>
      </w:r>
    </w:p>
    <w:p w:rsidR="00336AC6" w:rsidRDefault="00336AC6" w:rsidP="002C2477">
      <w:pPr>
        <w:pStyle w:val="ListParagraph"/>
        <w:numPr>
          <w:ilvl w:val="0"/>
          <w:numId w:val="1"/>
        </w:numPr>
        <w:spacing w:line="240" w:lineRule="auto"/>
        <w:jc w:val="both"/>
        <w:rPr>
          <w:sz w:val="28"/>
          <w:szCs w:val="28"/>
        </w:rPr>
      </w:pPr>
      <w:r>
        <w:rPr>
          <w:sz w:val="28"/>
          <w:szCs w:val="28"/>
        </w:rPr>
        <w:t>Each party shall bear its own costs</w:t>
      </w:r>
      <w:r w:rsidR="002C2477">
        <w:rPr>
          <w:sz w:val="28"/>
          <w:szCs w:val="28"/>
        </w:rPr>
        <w:t>.</w:t>
      </w:r>
    </w:p>
    <w:p w:rsidR="002C2477" w:rsidRDefault="002C2477" w:rsidP="002C2477">
      <w:pPr>
        <w:pStyle w:val="ListParagraph"/>
        <w:spacing w:line="240" w:lineRule="auto"/>
        <w:jc w:val="both"/>
        <w:rPr>
          <w:sz w:val="28"/>
          <w:szCs w:val="28"/>
        </w:rPr>
      </w:pPr>
    </w:p>
    <w:p w:rsidR="002C2477" w:rsidRDefault="002C2477" w:rsidP="002C2477">
      <w:pPr>
        <w:spacing w:after="0" w:line="240" w:lineRule="auto"/>
        <w:ind w:left="360"/>
        <w:jc w:val="both"/>
        <w:rPr>
          <w:sz w:val="28"/>
          <w:szCs w:val="28"/>
        </w:rPr>
      </w:pPr>
      <w:r>
        <w:rPr>
          <w:sz w:val="28"/>
          <w:szCs w:val="28"/>
        </w:rPr>
        <w:t>....................................................................</w:t>
      </w:r>
    </w:p>
    <w:p w:rsidR="002C2477" w:rsidRPr="002C2477" w:rsidRDefault="002C2477" w:rsidP="002C2477">
      <w:pPr>
        <w:spacing w:after="0" w:line="240" w:lineRule="auto"/>
        <w:ind w:left="360"/>
        <w:jc w:val="both"/>
        <w:rPr>
          <w:sz w:val="28"/>
          <w:szCs w:val="28"/>
        </w:rPr>
      </w:pPr>
      <w:r>
        <w:rPr>
          <w:sz w:val="28"/>
          <w:szCs w:val="28"/>
        </w:rPr>
        <w:t xml:space="preserve">Manyangadze J. </w:t>
      </w:r>
    </w:p>
    <w:sectPr w:rsidR="002C2477" w:rsidRPr="002C2477" w:rsidSect="000D3E7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BCC" w:rsidRDefault="009B2BCC" w:rsidP="000D3E76">
      <w:pPr>
        <w:spacing w:after="0" w:line="240" w:lineRule="auto"/>
      </w:pPr>
      <w:r>
        <w:separator/>
      </w:r>
    </w:p>
  </w:endnote>
  <w:endnote w:type="continuationSeparator" w:id="1">
    <w:p w:rsidR="009B2BCC" w:rsidRDefault="009B2BCC" w:rsidP="000D3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812138"/>
      <w:docPartObj>
        <w:docPartGallery w:val="Page Numbers (Bottom of Page)"/>
        <w:docPartUnique/>
      </w:docPartObj>
    </w:sdtPr>
    <w:sdtEndPr>
      <w:rPr>
        <w:noProof/>
      </w:rPr>
    </w:sdtEndPr>
    <w:sdtContent>
      <w:p w:rsidR="00632219" w:rsidRDefault="007C02BE">
        <w:pPr>
          <w:pStyle w:val="Footer"/>
          <w:jc w:val="right"/>
        </w:pPr>
        <w:fldSimple w:instr=" PAGE   \* MERGEFORMAT ">
          <w:r w:rsidR="00872BAC">
            <w:rPr>
              <w:noProof/>
            </w:rPr>
            <w:t>2</w:t>
          </w:r>
        </w:fldSimple>
      </w:p>
    </w:sdtContent>
  </w:sdt>
  <w:p w:rsidR="00632219" w:rsidRDefault="00632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BCC" w:rsidRDefault="009B2BCC" w:rsidP="000D3E76">
      <w:pPr>
        <w:spacing w:after="0" w:line="240" w:lineRule="auto"/>
      </w:pPr>
      <w:r>
        <w:separator/>
      </w:r>
    </w:p>
  </w:footnote>
  <w:footnote w:type="continuationSeparator" w:id="1">
    <w:p w:rsidR="009B2BCC" w:rsidRDefault="009B2BCC" w:rsidP="000D3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19" w:rsidRDefault="00632219" w:rsidP="002C2477">
    <w:pPr>
      <w:spacing w:line="360" w:lineRule="auto"/>
      <w:ind w:left="5040"/>
      <w:jc w:val="both"/>
      <w:rPr>
        <w:b/>
        <w:sz w:val="28"/>
        <w:szCs w:val="28"/>
      </w:rPr>
    </w:pPr>
    <w:r>
      <w:rPr>
        <w:b/>
        <w:sz w:val="28"/>
        <w:szCs w:val="28"/>
      </w:rPr>
      <w:t>JUDGMENT NO LC/H/</w:t>
    </w:r>
    <w:r w:rsidR="002C2477">
      <w:rPr>
        <w:b/>
        <w:sz w:val="28"/>
        <w:szCs w:val="28"/>
      </w:rPr>
      <w:t>244</w:t>
    </w:r>
    <w:r>
      <w:rPr>
        <w:b/>
        <w:sz w:val="28"/>
        <w:szCs w:val="28"/>
      </w:rPr>
      <w:t>/14</w:t>
    </w:r>
  </w:p>
  <w:p w:rsidR="00632219" w:rsidRDefault="006322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C48F2"/>
    <w:multiLevelType w:val="hybridMultilevel"/>
    <w:tmpl w:val="C3DE8E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3E76"/>
    <w:rsid w:val="000D3E76"/>
    <w:rsid w:val="0012799E"/>
    <w:rsid w:val="00146C6D"/>
    <w:rsid w:val="0016266F"/>
    <w:rsid w:val="001F408D"/>
    <w:rsid w:val="002C2477"/>
    <w:rsid w:val="00336AC6"/>
    <w:rsid w:val="00344623"/>
    <w:rsid w:val="004809B7"/>
    <w:rsid w:val="00577414"/>
    <w:rsid w:val="00632219"/>
    <w:rsid w:val="006644E6"/>
    <w:rsid w:val="007C02BE"/>
    <w:rsid w:val="008511C1"/>
    <w:rsid w:val="00872BAC"/>
    <w:rsid w:val="009A2FFA"/>
    <w:rsid w:val="009B2BCC"/>
    <w:rsid w:val="00AD005F"/>
    <w:rsid w:val="00AE4944"/>
    <w:rsid w:val="00AF7B96"/>
    <w:rsid w:val="00B90518"/>
    <w:rsid w:val="00BA0D65"/>
    <w:rsid w:val="00C23015"/>
    <w:rsid w:val="00C53C71"/>
    <w:rsid w:val="00D14368"/>
    <w:rsid w:val="00D26DA2"/>
    <w:rsid w:val="00D56EEB"/>
    <w:rsid w:val="00EB4A96"/>
    <w:rsid w:val="00ED7E5A"/>
    <w:rsid w:val="00EF0E1D"/>
    <w:rsid w:val="00F60658"/>
    <w:rsid w:val="00F81EA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76"/>
  </w:style>
  <w:style w:type="paragraph" w:styleId="Footer">
    <w:name w:val="footer"/>
    <w:basedOn w:val="Normal"/>
    <w:link w:val="FooterChar"/>
    <w:uiPriority w:val="99"/>
    <w:unhideWhenUsed/>
    <w:rsid w:val="000D3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76"/>
  </w:style>
  <w:style w:type="paragraph" w:styleId="ListParagraph">
    <w:name w:val="List Paragraph"/>
    <w:basedOn w:val="Normal"/>
    <w:uiPriority w:val="34"/>
    <w:qFormat/>
    <w:rsid w:val="00336A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76"/>
  </w:style>
  <w:style w:type="paragraph" w:styleId="Footer">
    <w:name w:val="footer"/>
    <w:basedOn w:val="Normal"/>
    <w:link w:val="FooterChar"/>
    <w:uiPriority w:val="99"/>
    <w:unhideWhenUsed/>
    <w:rsid w:val="000D3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76"/>
  </w:style>
  <w:style w:type="paragraph" w:styleId="ListParagraph">
    <w:name w:val="List Paragraph"/>
    <w:basedOn w:val="Normal"/>
    <w:uiPriority w:val="34"/>
    <w:qFormat/>
    <w:rsid w:val="00336A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DA17C-CCD8-4755-A306-8D90FD97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MELODY</cp:lastModifiedBy>
  <cp:revision>3</cp:revision>
  <cp:lastPrinted>2014-04-17T10:03:00Z</cp:lastPrinted>
  <dcterms:created xsi:type="dcterms:W3CDTF">2014-04-17T09:21:00Z</dcterms:created>
  <dcterms:modified xsi:type="dcterms:W3CDTF">2014-04-17T10:05:00Z</dcterms:modified>
</cp:coreProperties>
</file>