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98F" w:rsidRDefault="000E19C1" w:rsidP="000E19C1">
      <w:pPr>
        <w:spacing w:line="360" w:lineRule="auto"/>
        <w:jc w:val="both"/>
        <w:rPr>
          <w:b/>
          <w:sz w:val="28"/>
          <w:szCs w:val="28"/>
        </w:rPr>
      </w:pPr>
      <w:r>
        <w:rPr>
          <w:b/>
          <w:sz w:val="28"/>
          <w:szCs w:val="28"/>
        </w:rPr>
        <w:t>IN THE LABOUR COURT OF ZIMBABWE</w:t>
      </w:r>
      <w:r>
        <w:rPr>
          <w:b/>
          <w:sz w:val="28"/>
          <w:szCs w:val="28"/>
        </w:rPr>
        <w:tab/>
        <w:t xml:space="preserve">    JUDGMENT NO LC/H/298/13</w:t>
      </w:r>
    </w:p>
    <w:p w:rsidR="000E19C1" w:rsidRDefault="000E19C1" w:rsidP="000E19C1">
      <w:pPr>
        <w:spacing w:line="360" w:lineRule="auto"/>
        <w:jc w:val="both"/>
        <w:rPr>
          <w:b/>
          <w:sz w:val="28"/>
          <w:szCs w:val="28"/>
        </w:rPr>
      </w:pPr>
      <w:r>
        <w:rPr>
          <w:b/>
          <w:sz w:val="28"/>
          <w:szCs w:val="28"/>
        </w:rPr>
        <w:t>HELD AT HARARE 16</w:t>
      </w:r>
      <w:r w:rsidRPr="000E19C1">
        <w:rPr>
          <w:b/>
          <w:sz w:val="28"/>
          <w:szCs w:val="28"/>
          <w:vertAlign w:val="superscript"/>
        </w:rPr>
        <w:t>TH</w:t>
      </w:r>
      <w:r>
        <w:rPr>
          <w:b/>
          <w:sz w:val="28"/>
          <w:szCs w:val="28"/>
        </w:rPr>
        <w:t xml:space="preserve"> MAY 2013</w:t>
      </w:r>
      <w:r>
        <w:rPr>
          <w:b/>
          <w:sz w:val="28"/>
          <w:szCs w:val="28"/>
        </w:rPr>
        <w:tab/>
      </w:r>
      <w:r>
        <w:rPr>
          <w:b/>
          <w:sz w:val="28"/>
          <w:szCs w:val="28"/>
        </w:rPr>
        <w:tab/>
        <w:t xml:space="preserve">    CASE NO LC/H/614/12</w:t>
      </w:r>
    </w:p>
    <w:p w:rsidR="000E19C1" w:rsidRDefault="000E19C1" w:rsidP="000E19C1">
      <w:pPr>
        <w:spacing w:line="360" w:lineRule="auto"/>
        <w:jc w:val="both"/>
        <w:rPr>
          <w:b/>
          <w:sz w:val="28"/>
          <w:szCs w:val="28"/>
        </w:rPr>
      </w:pPr>
    </w:p>
    <w:p w:rsidR="000E19C1" w:rsidRDefault="000E19C1" w:rsidP="000E19C1">
      <w:pPr>
        <w:spacing w:line="360" w:lineRule="auto"/>
        <w:jc w:val="both"/>
        <w:rPr>
          <w:b/>
          <w:sz w:val="28"/>
          <w:szCs w:val="28"/>
        </w:rPr>
      </w:pPr>
      <w:r>
        <w:rPr>
          <w:b/>
          <w:sz w:val="28"/>
          <w:szCs w:val="28"/>
        </w:rPr>
        <w:t>SURFACE INVESTMENTS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0E19C1" w:rsidRDefault="000E19C1" w:rsidP="000E19C1">
      <w:pPr>
        <w:spacing w:line="360" w:lineRule="auto"/>
        <w:jc w:val="both"/>
        <w:rPr>
          <w:b/>
          <w:sz w:val="28"/>
          <w:szCs w:val="28"/>
        </w:rPr>
      </w:pPr>
      <w:r>
        <w:rPr>
          <w:b/>
          <w:sz w:val="28"/>
          <w:szCs w:val="28"/>
        </w:rPr>
        <w:t>(PRIVATE) LIMITED</w:t>
      </w:r>
    </w:p>
    <w:p w:rsidR="000E19C1" w:rsidRDefault="000E19C1" w:rsidP="000E19C1">
      <w:pPr>
        <w:spacing w:line="360" w:lineRule="auto"/>
        <w:jc w:val="both"/>
        <w:rPr>
          <w:b/>
          <w:sz w:val="28"/>
          <w:szCs w:val="28"/>
        </w:rPr>
      </w:pPr>
      <w:r>
        <w:rPr>
          <w:b/>
          <w:sz w:val="28"/>
          <w:szCs w:val="28"/>
        </w:rPr>
        <w:t>JOHANNES CHIDZAMBWA</w:t>
      </w:r>
      <w:r>
        <w:rPr>
          <w:b/>
          <w:sz w:val="28"/>
          <w:szCs w:val="28"/>
        </w:rPr>
        <w:tab/>
      </w:r>
      <w:r>
        <w:rPr>
          <w:b/>
          <w:sz w:val="28"/>
          <w:szCs w:val="28"/>
        </w:rPr>
        <w:tab/>
      </w:r>
      <w:r>
        <w:rPr>
          <w:b/>
          <w:sz w:val="28"/>
          <w:szCs w:val="28"/>
        </w:rPr>
        <w:tab/>
      </w:r>
      <w:r>
        <w:rPr>
          <w:b/>
          <w:sz w:val="28"/>
          <w:szCs w:val="28"/>
        </w:rPr>
        <w:tab/>
      </w:r>
      <w:r>
        <w:rPr>
          <w:b/>
          <w:sz w:val="28"/>
          <w:szCs w:val="28"/>
        </w:rPr>
        <w:tab/>
        <w:t>1</w:t>
      </w:r>
      <w:r w:rsidRPr="000E19C1">
        <w:rPr>
          <w:b/>
          <w:sz w:val="28"/>
          <w:szCs w:val="28"/>
          <w:vertAlign w:val="superscript"/>
        </w:rPr>
        <w:t>st</w:t>
      </w:r>
      <w:r>
        <w:rPr>
          <w:b/>
          <w:sz w:val="28"/>
          <w:szCs w:val="28"/>
        </w:rPr>
        <w:t xml:space="preserve"> Respondent</w:t>
      </w:r>
    </w:p>
    <w:p w:rsidR="000E19C1" w:rsidRDefault="000E19C1" w:rsidP="000E19C1">
      <w:pPr>
        <w:spacing w:line="360" w:lineRule="auto"/>
        <w:jc w:val="both"/>
        <w:rPr>
          <w:b/>
          <w:sz w:val="28"/>
          <w:szCs w:val="28"/>
        </w:rPr>
      </w:pPr>
      <w:r>
        <w:rPr>
          <w:b/>
          <w:sz w:val="28"/>
          <w:szCs w:val="28"/>
        </w:rPr>
        <w:t>EDMORE RUTANHIRA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w:t>
      </w:r>
      <w:r w:rsidRPr="000E19C1">
        <w:rPr>
          <w:b/>
          <w:sz w:val="28"/>
          <w:szCs w:val="28"/>
          <w:vertAlign w:val="superscript"/>
        </w:rPr>
        <w:t>nd</w:t>
      </w:r>
      <w:r>
        <w:rPr>
          <w:b/>
          <w:sz w:val="28"/>
          <w:szCs w:val="28"/>
        </w:rPr>
        <w:t xml:space="preserve"> Respondent</w:t>
      </w:r>
    </w:p>
    <w:p w:rsidR="000E19C1" w:rsidRDefault="000E19C1" w:rsidP="000E19C1">
      <w:pPr>
        <w:spacing w:line="360" w:lineRule="auto"/>
        <w:jc w:val="both"/>
        <w:rPr>
          <w:sz w:val="28"/>
          <w:szCs w:val="28"/>
        </w:rPr>
      </w:pPr>
      <w:r>
        <w:rPr>
          <w:sz w:val="28"/>
          <w:szCs w:val="28"/>
        </w:rPr>
        <w:t>Before The Honourable G Musariri, President</w:t>
      </w:r>
    </w:p>
    <w:p w:rsidR="000E19C1" w:rsidRDefault="000E19C1" w:rsidP="000E19C1">
      <w:pPr>
        <w:spacing w:line="360" w:lineRule="auto"/>
        <w:jc w:val="both"/>
        <w:rPr>
          <w:b/>
          <w:sz w:val="28"/>
          <w:szCs w:val="28"/>
        </w:rPr>
      </w:pPr>
      <w:r>
        <w:rPr>
          <w:b/>
          <w:sz w:val="28"/>
          <w:szCs w:val="28"/>
        </w:rPr>
        <w:t>For Appellant</w:t>
      </w:r>
      <w:r>
        <w:rPr>
          <w:b/>
          <w:sz w:val="28"/>
          <w:szCs w:val="28"/>
        </w:rPr>
        <w:tab/>
      </w:r>
      <w:r>
        <w:rPr>
          <w:b/>
          <w:sz w:val="28"/>
          <w:szCs w:val="28"/>
        </w:rPr>
        <w:tab/>
        <w:t xml:space="preserve">N </w:t>
      </w:r>
      <w:proofErr w:type="spellStart"/>
      <w:r>
        <w:rPr>
          <w:b/>
          <w:sz w:val="28"/>
          <w:szCs w:val="28"/>
        </w:rPr>
        <w:t>Mashizha</w:t>
      </w:r>
      <w:proofErr w:type="spellEnd"/>
      <w:r>
        <w:rPr>
          <w:b/>
          <w:sz w:val="28"/>
          <w:szCs w:val="28"/>
        </w:rPr>
        <w:t>, Attorney</w:t>
      </w:r>
    </w:p>
    <w:p w:rsidR="000E19C1" w:rsidRDefault="000E19C1" w:rsidP="000E19C1">
      <w:pPr>
        <w:spacing w:line="360" w:lineRule="auto"/>
        <w:jc w:val="both"/>
        <w:rPr>
          <w:b/>
          <w:sz w:val="28"/>
          <w:szCs w:val="28"/>
        </w:rPr>
      </w:pPr>
      <w:r>
        <w:rPr>
          <w:b/>
          <w:sz w:val="28"/>
          <w:szCs w:val="28"/>
        </w:rPr>
        <w:t>For Respondents</w:t>
      </w:r>
      <w:r>
        <w:rPr>
          <w:b/>
          <w:sz w:val="28"/>
          <w:szCs w:val="28"/>
        </w:rPr>
        <w:tab/>
      </w:r>
      <w:r>
        <w:rPr>
          <w:b/>
          <w:sz w:val="28"/>
          <w:szCs w:val="28"/>
        </w:rPr>
        <w:tab/>
        <w:t xml:space="preserve">P </w:t>
      </w:r>
      <w:proofErr w:type="spellStart"/>
      <w:r>
        <w:rPr>
          <w:b/>
          <w:sz w:val="28"/>
          <w:szCs w:val="28"/>
        </w:rPr>
        <w:t>Chakabuda</w:t>
      </w:r>
      <w:proofErr w:type="spellEnd"/>
      <w:r>
        <w:rPr>
          <w:b/>
          <w:sz w:val="28"/>
          <w:szCs w:val="28"/>
        </w:rPr>
        <w:t>, Unionist</w:t>
      </w:r>
    </w:p>
    <w:p w:rsidR="000E19C1" w:rsidRDefault="000E19C1" w:rsidP="000E19C1">
      <w:pPr>
        <w:spacing w:line="360" w:lineRule="auto"/>
        <w:jc w:val="both"/>
        <w:rPr>
          <w:b/>
          <w:sz w:val="28"/>
          <w:szCs w:val="28"/>
        </w:rPr>
      </w:pPr>
    </w:p>
    <w:p w:rsidR="000E19C1" w:rsidRDefault="000E19C1" w:rsidP="000E19C1">
      <w:pPr>
        <w:spacing w:line="360" w:lineRule="auto"/>
        <w:jc w:val="both"/>
        <w:rPr>
          <w:b/>
          <w:sz w:val="28"/>
          <w:szCs w:val="28"/>
        </w:rPr>
      </w:pPr>
      <w:r>
        <w:rPr>
          <w:b/>
          <w:sz w:val="28"/>
          <w:szCs w:val="28"/>
        </w:rPr>
        <w:t>MUSARIRI, G:</w:t>
      </w:r>
    </w:p>
    <w:p w:rsidR="000E19C1" w:rsidRDefault="000E19C1" w:rsidP="000E19C1">
      <w:pPr>
        <w:spacing w:line="360" w:lineRule="auto"/>
        <w:jc w:val="both"/>
        <w:rPr>
          <w:b/>
          <w:sz w:val="28"/>
          <w:szCs w:val="28"/>
        </w:rPr>
      </w:pPr>
    </w:p>
    <w:p w:rsidR="000E19C1" w:rsidRDefault="000E19C1" w:rsidP="000E19C1">
      <w:pPr>
        <w:spacing w:line="360" w:lineRule="auto"/>
        <w:jc w:val="both"/>
        <w:rPr>
          <w:sz w:val="28"/>
          <w:szCs w:val="28"/>
        </w:rPr>
      </w:pPr>
      <w:r>
        <w:rPr>
          <w:sz w:val="28"/>
          <w:szCs w:val="28"/>
        </w:rPr>
        <w:t>On 27</w:t>
      </w:r>
      <w:r w:rsidRPr="00D242D3">
        <w:rPr>
          <w:sz w:val="28"/>
          <w:szCs w:val="28"/>
          <w:vertAlign w:val="superscript"/>
        </w:rPr>
        <w:t>th</w:t>
      </w:r>
      <w:r w:rsidR="00D242D3">
        <w:rPr>
          <w:sz w:val="28"/>
          <w:szCs w:val="28"/>
        </w:rPr>
        <w:t xml:space="preserve"> July 2012 the Honourable</w:t>
      </w:r>
      <w:r w:rsidR="006F5A2D">
        <w:rPr>
          <w:sz w:val="28"/>
          <w:szCs w:val="28"/>
        </w:rPr>
        <w:t xml:space="preserve"> L.</w:t>
      </w:r>
      <w:r w:rsidR="00D242D3">
        <w:rPr>
          <w:sz w:val="28"/>
          <w:szCs w:val="28"/>
        </w:rPr>
        <w:t xml:space="preserve"> </w:t>
      </w:r>
      <w:proofErr w:type="spellStart"/>
      <w:r w:rsidR="00D242D3">
        <w:rPr>
          <w:sz w:val="28"/>
          <w:szCs w:val="28"/>
        </w:rPr>
        <w:t>Chibvongodze</w:t>
      </w:r>
      <w:proofErr w:type="spellEnd"/>
      <w:r w:rsidR="00D242D3">
        <w:rPr>
          <w:sz w:val="28"/>
          <w:szCs w:val="28"/>
        </w:rPr>
        <w:t xml:space="preserve"> made an arbitration award.  In terms thereof she ordered Appellant to reinstate Respondent’s employment.  Appellant then appealed to this Court against the award.  The grounds of appeal were two-fold namely,</w:t>
      </w:r>
    </w:p>
    <w:p w:rsidR="00D242D3" w:rsidRDefault="00D242D3" w:rsidP="00D242D3">
      <w:pPr>
        <w:spacing w:line="360" w:lineRule="auto"/>
        <w:ind w:left="1440" w:hanging="720"/>
        <w:jc w:val="both"/>
        <w:rPr>
          <w:i/>
          <w:sz w:val="28"/>
          <w:szCs w:val="28"/>
        </w:rPr>
      </w:pPr>
      <w:r>
        <w:rPr>
          <w:i/>
          <w:sz w:val="28"/>
          <w:szCs w:val="28"/>
        </w:rPr>
        <w:t>“1.</w:t>
      </w:r>
      <w:r>
        <w:rPr>
          <w:i/>
          <w:sz w:val="28"/>
          <w:szCs w:val="28"/>
        </w:rPr>
        <w:tab/>
        <w:t>The Arbitrator erred at law in determining a matter which she had no jurisdiction to determine upon.</w:t>
      </w:r>
    </w:p>
    <w:p w:rsidR="00D242D3" w:rsidRDefault="00D242D3" w:rsidP="00D242D3">
      <w:pPr>
        <w:spacing w:line="360" w:lineRule="auto"/>
        <w:ind w:left="1440" w:hanging="720"/>
        <w:jc w:val="both"/>
        <w:rPr>
          <w:i/>
          <w:sz w:val="28"/>
          <w:szCs w:val="28"/>
        </w:rPr>
      </w:pPr>
      <w:r>
        <w:rPr>
          <w:i/>
          <w:sz w:val="28"/>
          <w:szCs w:val="28"/>
        </w:rPr>
        <w:lastRenderedPageBreak/>
        <w:t>2.</w:t>
      </w:r>
      <w:r>
        <w:rPr>
          <w:i/>
          <w:sz w:val="28"/>
          <w:szCs w:val="28"/>
        </w:rPr>
        <w:tab/>
        <w:t>The Arbitrator erred grossly both on the facts and at law in interfering with the penalty imposed by the Appellant, which penalty was an exercise of discretion.”</w:t>
      </w:r>
    </w:p>
    <w:p w:rsidR="00D242D3" w:rsidRDefault="00D242D3" w:rsidP="00D242D3">
      <w:pPr>
        <w:spacing w:line="360" w:lineRule="auto"/>
        <w:jc w:val="both"/>
        <w:rPr>
          <w:sz w:val="28"/>
          <w:szCs w:val="28"/>
        </w:rPr>
      </w:pPr>
      <w:r>
        <w:rPr>
          <w:sz w:val="28"/>
          <w:szCs w:val="28"/>
        </w:rPr>
        <w:t>I consider that the 1</w:t>
      </w:r>
      <w:r w:rsidRPr="00D242D3">
        <w:rPr>
          <w:sz w:val="28"/>
          <w:szCs w:val="28"/>
          <w:vertAlign w:val="superscript"/>
        </w:rPr>
        <w:t>st</w:t>
      </w:r>
      <w:r>
        <w:rPr>
          <w:sz w:val="28"/>
          <w:szCs w:val="28"/>
        </w:rPr>
        <w:t xml:space="preserve"> ground cannot be properly raised by way of an appeal.  Whether or not the arbitrator had jurisdiction to deal with the matter is a point of </w:t>
      </w:r>
      <w:r>
        <w:rPr>
          <w:sz w:val="28"/>
          <w:szCs w:val="28"/>
          <w:u w:val="single"/>
        </w:rPr>
        <w:t>procedure</w:t>
      </w:r>
      <w:r>
        <w:rPr>
          <w:sz w:val="28"/>
          <w:szCs w:val="28"/>
        </w:rPr>
        <w:t>.  It does not deal with the substance or merits</w:t>
      </w:r>
      <w:r w:rsidR="006F5A2D">
        <w:rPr>
          <w:sz w:val="28"/>
          <w:szCs w:val="28"/>
        </w:rPr>
        <w:t xml:space="preserve"> of the matter.  As such</w:t>
      </w:r>
      <w:r>
        <w:rPr>
          <w:sz w:val="28"/>
          <w:szCs w:val="28"/>
        </w:rPr>
        <w:t xml:space="preserve"> it should have been raised by way of </w:t>
      </w:r>
      <w:r>
        <w:rPr>
          <w:sz w:val="28"/>
          <w:szCs w:val="28"/>
          <w:u w:val="single"/>
        </w:rPr>
        <w:t>review.</w:t>
      </w:r>
      <w:r>
        <w:rPr>
          <w:sz w:val="28"/>
          <w:szCs w:val="28"/>
        </w:rPr>
        <w:t xml:space="preserve">  I hereby wish to remind litigants</w:t>
      </w:r>
      <w:r w:rsidR="006F5A2D">
        <w:rPr>
          <w:sz w:val="28"/>
          <w:szCs w:val="28"/>
        </w:rPr>
        <w:t>,</w:t>
      </w:r>
      <w:r>
        <w:rPr>
          <w:sz w:val="28"/>
          <w:szCs w:val="28"/>
        </w:rPr>
        <w:t xml:space="preserve"> including attorneys, that this Court now has powers of review.  Section 89 (1) (di) of the </w:t>
      </w:r>
      <w:r>
        <w:rPr>
          <w:sz w:val="28"/>
          <w:szCs w:val="28"/>
          <w:u w:val="single"/>
        </w:rPr>
        <w:t>Labour Court</w:t>
      </w:r>
      <w:r>
        <w:rPr>
          <w:sz w:val="28"/>
          <w:szCs w:val="28"/>
        </w:rPr>
        <w:t xml:space="preserve"> Chapter 28:01 empowers the Court to </w:t>
      </w:r>
    </w:p>
    <w:p w:rsidR="00D242D3" w:rsidRDefault="00D242D3" w:rsidP="00D242D3">
      <w:pPr>
        <w:spacing w:line="360" w:lineRule="auto"/>
        <w:ind w:left="720"/>
        <w:jc w:val="both"/>
        <w:rPr>
          <w:i/>
          <w:sz w:val="28"/>
          <w:szCs w:val="28"/>
        </w:rPr>
      </w:pPr>
      <w:r>
        <w:rPr>
          <w:i/>
          <w:sz w:val="28"/>
          <w:szCs w:val="28"/>
        </w:rPr>
        <w:t>“</w:t>
      </w:r>
      <w:proofErr w:type="gramStart"/>
      <w:r>
        <w:rPr>
          <w:i/>
          <w:sz w:val="28"/>
          <w:szCs w:val="28"/>
        </w:rPr>
        <w:t>exercise</w:t>
      </w:r>
      <w:proofErr w:type="gramEnd"/>
      <w:r>
        <w:rPr>
          <w:i/>
          <w:sz w:val="28"/>
          <w:szCs w:val="28"/>
        </w:rPr>
        <w:t xml:space="preserve"> the same powers of review as would be exercisable by the High Court in respect of labour matters,”</w:t>
      </w:r>
    </w:p>
    <w:p w:rsidR="00391098" w:rsidRDefault="00391098" w:rsidP="00391098">
      <w:pPr>
        <w:spacing w:after="0" w:line="360" w:lineRule="auto"/>
        <w:jc w:val="both"/>
        <w:rPr>
          <w:sz w:val="28"/>
          <w:szCs w:val="28"/>
        </w:rPr>
      </w:pPr>
      <w:r>
        <w:rPr>
          <w:sz w:val="28"/>
          <w:szCs w:val="28"/>
        </w:rPr>
        <w:t>As regards the 2</w:t>
      </w:r>
      <w:r w:rsidRPr="00391098">
        <w:rPr>
          <w:sz w:val="28"/>
          <w:szCs w:val="28"/>
          <w:vertAlign w:val="superscript"/>
        </w:rPr>
        <w:t>nd</w:t>
      </w:r>
      <w:r>
        <w:rPr>
          <w:sz w:val="28"/>
          <w:szCs w:val="28"/>
        </w:rPr>
        <w:t xml:space="preserve"> ground of appeal I consider that Appellant misunderstood the arbitration award.  It construed the award to affirm the guilty verdict but to reduce the dismissal penalty to a warning.  Hence the ground focused on the penalty alone.  A closer reading of the arbitrator’s analysis of evidence and findings shows otherwise.</w:t>
      </w:r>
    </w:p>
    <w:p w:rsidR="00391098" w:rsidRDefault="00391098" w:rsidP="00391098">
      <w:pPr>
        <w:spacing w:after="0" w:line="360" w:lineRule="auto"/>
        <w:jc w:val="both"/>
        <w:rPr>
          <w:sz w:val="28"/>
          <w:szCs w:val="28"/>
        </w:rPr>
      </w:pPr>
      <w:r>
        <w:rPr>
          <w:sz w:val="28"/>
          <w:szCs w:val="28"/>
        </w:rPr>
        <w:t>The arbitrator found as follows,</w:t>
      </w:r>
    </w:p>
    <w:p w:rsidR="00391098" w:rsidRDefault="00391098" w:rsidP="00391098">
      <w:pPr>
        <w:spacing w:after="0" w:line="360" w:lineRule="auto"/>
        <w:ind w:left="720"/>
        <w:jc w:val="both"/>
        <w:rPr>
          <w:i/>
          <w:sz w:val="28"/>
          <w:szCs w:val="28"/>
        </w:rPr>
      </w:pPr>
      <w:r>
        <w:rPr>
          <w:i/>
          <w:sz w:val="28"/>
          <w:szCs w:val="28"/>
        </w:rPr>
        <w:t>“A close analysis on the witnesses’ statement shows</w:t>
      </w:r>
      <w:r w:rsidR="00CD7A4E">
        <w:rPr>
          <w:i/>
          <w:sz w:val="28"/>
          <w:szCs w:val="28"/>
        </w:rPr>
        <w:t xml:space="preserve"> that even though they were on q</w:t>
      </w:r>
      <w:r>
        <w:rPr>
          <w:i/>
          <w:sz w:val="28"/>
          <w:szCs w:val="28"/>
        </w:rPr>
        <w:t>uite</w:t>
      </w:r>
      <w:r w:rsidR="003C7B88">
        <w:rPr>
          <w:i/>
          <w:sz w:val="28"/>
          <w:szCs w:val="28"/>
        </w:rPr>
        <w:t xml:space="preserve"> a</w:t>
      </w:r>
      <w:r>
        <w:rPr>
          <w:i/>
          <w:sz w:val="28"/>
          <w:szCs w:val="28"/>
        </w:rPr>
        <w:t xml:space="preserve"> close range to the hydrant valve, they did not see exactly what transpired hence they mention of several names instead of one.  I am of the view that Respondent erred, when he proceeded to reinstate 6 of the claimants and dismissing 2 of the claimant</w:t>
      </w:r>
      <w:r w:rsidR="00E437B5">
        <w:rPr>
          <w:i/>
          <w:sz w:val="28"/>
          <w:szCs w:val="28"/>
        </w:rPr>
        <w:t xml:space="preserve">s.  The Respondents due to lack of overwhelming evidence was supposed to be consistent in the application of his decisions to such offences of a similar nature…  The decision should have been the same for all claimants </w:t>
      </w:r>
      <w:r w:rsidR="00E437B5">
        <w:rPr>
          <w:i/>
          <w:sz w:val="28"/>
          <w:szCs w:val="28"/>
          <w:u w:val="single"/>
        </w:rPr>
        <w:t>due to lack of evidence</w:t>
      </w:r>
      <w:r w:rsidR="006F5A2D">
        <w:rPr>
          <w:i/>
          <w:sz w:val="28"/>
          <w:szCs w:val="28"/>
        </w:rPr>
        <w:t>.”</w:t>
      </w:r>
    </w:p>
    <w:p w:rsidR="00E437B5" w:rsidRDefault="00E437B5" w:rsidP="00E437B5">
      <w:pPr>
        <w:spacing w:after="0" w:line="360" w:lineRule="auto"/>
        <w:jc w:val="both"/>
        <w:rPr>
          <w:sz w:val="28"/>
          <w:szCs w:val="28"/>
        </w:rPr>
      </w:pPr>
      <w:r>
        <w:rPr>
          <w:sz w:val="28"/>
          <w:szCs w:val="28"/>
        </w:rPr>
        <w:lastRenderedPageBreak/>
        <w:t>As for the other charge the Arbitrator concluded as follows,</w:t>
      </w:r>
    </w:p>
    <w:p w:rsidR="00E437B5" w:rsidRDefault="00E437B5" w:rsidP="00E437B5">
      <w:pPr>
        <w:spacing w:after="0" w:line="360" w:lineRule="auto"/>
        <w:ind w:left="720"/>
        <w:jc w:val="both"/>
        <w:rPr>
          <w:sz w:val="28"/>
          <w:szCs w:val="28"/>
          <w:u w:val="single"/>
        </w:rPr>
      </w:pPr>
      <w:r>
        <w:rPr>
          <w:i/>
          <w:sz w:val="28"/>
          <w:szCs w:val="28"/>
        </w:rPr>
        <w:t xml:space="preserve">“The consistency of claimants’ answers to who told them to report to work early should show that they were under a lawful order from a contractor who they had been asked by their employer to help </w:t>
      </w:r>
      <w:r>
        <w:rPr>
          <w:i/>
          <w:sz w:val="28"/>
          <w:szCs w:val="28"/>
          <w:u w:val="single"/>
        </w:rPr>
        <w:t>therefore the second charge should not stand.”</w:t>
      </w:r>
    </w:p>
    <w:p w:rsidR="00E437B5" w:rsidRDefault="006F5A2D" w:rsidP="00E437B5">
      <w:pPr>
        <w:spacing w:after="0" w:line="360" w:lineRule="auto"/>
        <w:ind w:left="720"/>
        <w:jc w:val="both"/>
        <w:rPr>
          <w:sz w:val="28"/>
          <w:szCs w:val="28"/>
        </w:rPr>
      </w:pPr>
      <w:r>
        <w:rPr>
          <w:sz w:val="28"/>
          <w:szCs w:val="28"/>
        </w:rPr>
        <w:t>(</w:t>
      </w:r>
      <w:r w:rsidR="00E437B5">
        <w:rPr>
          <w:sz w:val="28"/>
          <w:szCs w:val="28"/>
        </w:rPr>
        <w:t>The underlining for emphasis in both quotations is mine.</w:t>
      </w:r>
      <w:r>
        <w:rPr>
          <w:sz w:val="28"/>
          <w:szCs w:val="28"/>
        </w:rPr>
        <w:t>)</w:t>
      </w:r>
    </w:p>
    <w:p w:rsidR="00E437B5" w:rsidRDefault="00E437B5" w:rsidP="00E437B5">
      <w:pPr>
        <w:spacing w:after="0" w:line="360" w:lineRule="auto"/>
        <w:jc w:val="both"/>
        <w:rPr>
          <w:sz w:val="28"/>
          <w:szCs w:val="28"/>
        </w:rPr>
      </w:pPr>
      <w:r>
        <w:rPr>
          <w:sz w:val="28"/>
          <w:szCs w:val="28"/>
        </w:rPr>
        <w:t xml:space="preserve">The Arbitrator basically found that Appellant failed to prove its case against Respondents.  However instead of </w:t>
      </w:r>
      <w:r w:rsidR="00A84EF6">
        <w:rPr>
          <w:sz w:val="28"/>
          <w:szCs w:val="28"/>
        </w:rPr>
        <w:t>subst</w:t>
      </w:r>
      <w:r w:rsidR="006F5A2D">
        <w:rPr>
          <w:sz w:val="28"/>
          <w:szCs w:val="28"/>
        </w:rPr>
        <w:t>ituting a verdict of not guilty, s</w:t>
      </w:r>
      <w:r w:rsidR="00A84EF6">
        <w:rPr>
          <w:sz w:val="28"/>
          <w:szCs w:val="28"/>
        </w:rPr>
        <w:t>he tampered with the penalty.  This</w:t>
      </w:r>
      <w:r w:rsidR="006F5A2D">
        <w:rPr>
          <w:sz w:val="28"/>
          <w:szCs w:val="28"/>
        </w:rPr>
        <w:t xml:space="preserve"> was</w:t>
      </w:r>
      <w:r w:rsidR="00A84EF6">
        <w:rPr>
          <w:sz w:val="28"/>
          <w:szCs w:val="28"/>
        </w:rPr>
        <w:t xml:space="preserve"> on the basis that all the accused employees faced the same case and therefore Respondents should have been given final warnings as happened to their colleagues.  Evidently the Arbitrator conflated the two phases of verdict and penalty.   I consider that what she intended to do</w:t>
      </w:r>
      <w:r w:rsidR="006F5A2D">
        <w:rPr>
          <w:sz w:val="28"/>
          <w:szCs w:val="28"/>
        </w:rPr>
        <w:t>,</w:t>
      </w:r>
      <w:r w:rsidR="00A84EF6">
        <w:rPr>
          <w:sz w:val="28"/>
          <w:szCs w:val="28"/>
        </w:rPr>
        <w:t xml:space="preserve"> which is consistent with her findings, was to say that in the alternative Respondents should have been</w:t>
      </w:r>
      <w:r w:rsidR="00062C8A">
        <w:rPr>
          <w:sz w:val="28"/>
          <w:szCs w:val="28"/>
        </w:rPr>
        <w:t xml:space="preserve"> penalised with final warnings.  That is the only logic</w:t>
      </w:r>
      <w:r w:rsidR="003C7B88">
        <w:rPr>
          <w:sz w:val="28"/>
          <w:szCs w:val="28"/>
        </w:rPr>
        <w:t>al</w:t>
      </w:r>
      <w:bookmarkStart w:id="0" w:name="_GoBack"/>
      <w:bookmarkEnd w:id="0"/>
      <w:r w:rsidR="00062C8A">
        <w:rPr>
          <w:sz w:val="28"/>
          <w:szCs w:val="28"/>
        </w:rPr>
        <w:t xml:space="preserve"> way of matching her findings to the award.  Appellant did no</w:t>
      </w:r>
      <w:r w:rsidR="006F5A2D">
        <w:rPr>
          <w:sz w:val="28"/>
          <w:szCs w:val="28"/>
        </w:rPr>
        <w:t>t</w:t>
      </w:r>
      <w:r w:rsidR="00062C8A">
        <w:rPr>
          <w:sz w:val="28"/>
          <w:szCs w:val="28"/>
        </w:rPr>
        <w:t xml:space="preserve"> challenge the findings pertaining to the </w:t>
      </w:r>
      <w:r w:rsidR="00062C8A">
        <w:rPr>
          <w:sz w:val="28"/>
          <w:szCs w:val="28"/>
          <w:u w:val="single"/>
        </w:rPr>
        <w:t>proof</w:t>
      </w:r>
      <w:r w:rsidR="006F5A2D">
        <w:rPr>
          <w:sz w:val="28"/>
          <w:szCs w:val="28"/>
        </w:rPr>
        <w:t xml:space="preserve"> of the charges. It confin</w:t>
      </w:r>
      <w:r w:rsidR="00062C8A">
        <w:rPr>
          <w:sz w:val="28"/>
          <w:szCs w:val="28"/>
        </w:rPr>
        <w:t>ed itself to the penalty.  Thus the findings having being unchallenged, there was no need to deal with the</w:t>
      </w:r>
      <w:r w:rsidR="006F5A2D">
        <w:rPr>
          <w:sz w:val="28"/>
          <w:szCs w:val="28"/>
        </w:rPr>
        <w:t xml:space="preserve"> arguments about the</w:t>
      </w:r>
      <w:r w:rsidR="00062C8A">
        <w:rPr>
          <w:sz w:val="28"/>
          <w:szCs w:val="28"/>
        </w:rPr>
        <w:t xml:space="preserve"> penalty.</w:t>
      </w:r>
    </w:p>
    <w:p w:rsidR="00062C8A" w:rsidRDefault="00062C8A" w:rsidP="00E437B5">
      <w:pPr>
        <w:spacing w:after="0" w:line="360" w:lineRule="auto"/>
        <w:jc w:val="both"/>
        <w:rPr>
          <w:sz w:val="28"/>
          <w:szCs w:val="28"/>
        </w:rPr>
      </w:pPr>
    </w:p>
    <w:p w:rsidR="00062C8A" w:rsidRPr="006F5A2D" w:rsidRDefault="00062C8A" w:rsidP="00E437B5">
      <w:pPr>
        <w:spacing w:after="0" w:line="360" w:lineRule="auto"/>
        <w:jc w:val="both"/>
        <w:rPr>
          <w:b/>
          <w:sz w:val="28"/>
          <w:szCs w:val="28"/>
        </w:rPr>
      </w:pPr>
      <w:r w:rsidRPr="006F5A2D">
        <w:rPr>
          <w:b/>
          <w:sz w:val="28"/>
          <w:szCs w:val="28"/>
        </w:rPr>
        <w:t>Wherefore it is ordered that,</w:t>
      </w:r>
    </w:p>
    <w:p w:rsidR="00062C8A" w:rsidRPr="006F5A2D" w:rsidRDefault="00062C8A" w:rsidP="00E437B5">
      <w:pPr>
        <w:spacing w:after="0" w:line="360" w:lineRule="auto"/>
        <w:jc w:val="both"/>
        <w:rPr>
          <w:b/>
          <w:sz w:val="28"/>
          <w:szCs w:val="28"/>
        </w:rPr>
      </w:pPr>
    </w:p>
    <w:p w:rsidR="00062C8A" w:rsidRPr="006F5A2D" w:rsidRDefault="00062C8A" w:rsidP="00062C8A">
      <w:pPr>
        <w:spacing w:after="0" w:line="360" w:lineRule="auto"/>
        <w:jc w:val="both"/>
        <w:rPr>
          <w:b/>
          <w:sz w:val="28"/>
          <w:szCs w:val="28"/>
        </w:rPr>
      </w:pPr>
      <w:r w:rsidRPr="006F5A2D">
        <w:rPr>
          <w:b/>
          <w:sz w:val="28"/>
          <w:szCs w:val="28"/>
        </w:rPr>
        <w:t>The appeal is hereby dismissed.</w:t>
      </w:r>
    </w:p>
    <w:p w:rsidR="00062C8A" w:rsidRDefault="00062C8A" w:rsidP="00062C8A">
      <w:pPr>
        <w:spacing w:after="0" w:line="360" w:lineRule="auto"/>
        <w:jc w:val="both"/>
        <w:rPr>
          <w:sz w:val="28"/>
          <w:szCs w:val="28"/>
        </w:rPr>
      </w:pPr>
    </w:p>
    <w:p w:rsidR="00062C8A" w:rsidRDefault="00062C8A" w:rsidP="00062C8A">
      <w:pPr>
        <w:spacing w:after="0" w:line="360" w:lineRule="auto"/>
        <w:jc w:val="both"/>
        <w:rPr>
          <w:sz w:val="28"/>
          <w:szCs w:val="28"/>
        </w:rPr>
      </w:pPr>
    </w:p>
    <w:p w:rsidR="00062C8A" w:rsidRDefault="00062C8A" w:rsidP="00062C8A">
      <w:pPr>
        <w:spacing w:after="0" w:line="360" w:lineRule="auto"/>
        <w:jc w:val="both"/>
        <w:rPr>
          <w:sz w:val="28"/>
          <w:szCs w:val="28"/>
        </w:rPr>
      </w:pPr>
    </w:p>
    <w:p w:rsidR="00062C8A" w:rsidRDefault="00062C8A" w:rsidP="00062C8A">
      <w:pPr>
        <w:spacing w:after="0" w:line="360" w:lineRule="auto"/>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G. MUSARIRI</w:t>
      </w:r>
    </w:p>
    <w:p w:rsidR="00062C8A" w:rsidRPr="00062C8A" w:rsidRDefault="00062C8A" w:rsidP="00062C8A">
      <w:pPr>
        <w:spacing w:after="0" w:line="360" w:lineRule="auto"/>
        <w:jc w:val="both"/>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PRESIDENT</w:t>
      </w:r>
    </w:p>
    <w:sectPr w:rsidR="00062C8A" w:rsidRPr="00062C8A" w:rsidSect="00D242D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F9C" w:rsidRDefault="001E0F9C" w:rsidP="00D242D3">
      <w:pPr>
        <w:spacing w:after="0" w:line="240" w:lineRule="auto"/>
      </w:pPr>
      <w:r>
        <w:separator/>
      </w:r>
    </w:p>
  </w:endnote>
  <w:endnote w:type="continuationSeparator" w:id="0">
    <w:p w:rsidR="001E0F9C" w:rsidRDefault="001E0F9C" w:rsidP="00D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745999"/>
      <w:docPartObj>
        <w:docPartGallery w:val="Page Numbers (Bottom of Page)"/>
        <w:docPartUnique/>
      </w:docPartObj>
    </w:sdtPr>
    <w:sdtEndPr>
      <w:rPr>
        <w:noProof/>
      </w:rPr>
    </w:sdtEndPr>
    <w:sdtContent>
      <w:p w:rsidR="00A84EF6" w:rsidRDefault="00A84EF6">
        <w:pPr>
          <w:pStyle w:val="Footer"/>
          <w:jc w:val="right"/>
        </w:pPr>
        <w:r>
          <w:fldChar w:fldCharType="begin"/>
        </w:r>
        <w:r>
          <w:instrText xml:space="preserve"> PAGE   \* MERGEFORMAT </w:instrText>
        </w:r>
        <w:r>
          <w:fldChar w:fldCharType="separate"/>
        </w:r>
        <w:r w:rsidR="003C7B88">
          <w:rPr>
            <w:noProof/>
          </w:rPr>
          <w:t>3</w:t>
        </w:r>
        <w:r>
          <w:rPr>
            <w:noProof/>
          </w:rPr>
          <w:fldChar w:fldCharType="end"/>
        </w:r>
      </w:p>
    </w:sdtContent>
  </w:sdt>
  <w:p w:rsidR="00A84EF6" w:rsidRDefault="00A84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F9C" w:rsidRDefault="001E0F9C" w:rsidP="00D242D3">
      <w:pPr>
        <w:spacing w:after="0" w:line="240" w:lineRule="auto"/>
      </w:pPr>
      <w:r>
        <w:separator/>
      </w:r>
    </w:p>
  </w:footnote>
  <w:footnote w:type="continuationSeparator" w:id="0">
    <w:p w:rsidR="001E0F9C" w:rsidRDefault="001E0F9C" w:rsidP="00D24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F6" w:rsidRDefault="00A84EF6">
    <w:pPr>
      <w:pStyle w:val="Header"/>
    </w:pPr>
    <w:r>
      <w:rPr>
        <w:b/>
        <w:sz w:val="28"/>
        <w:szCs w:val="28"/>
      </w:rPr>
      <w:tab/>
    </w:r>
    <w:r>
      <w:rPr>
        <w:b/>
        <w:sz w:val="28"/>
        <w:szCs w:val="28"/>
      </w:rPr>
      <w:tab/>
      <w:t>JUDGMENT NO LC/H/298/13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811F9"/>
    <w:multiLevelType w:val="hybridMultilevel"/>
    <w:tmpl w:val="EE84EA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9C1"/>
    <w:rsid w:val="00062C8A"/>
    <w:rsid w:val="000E19C1"/>
    <w:rsid w:val="001E0F9C"/>
    <w:rsid w:val="002E1136"/>
    <w:rsid w:val="00391098"/>
    <w:rsid w:val="003C7B88"/>
    <w:rsid w:val="004659A7"/>
    <w:rsid w:val="004E7941"/>
    <w:rsid w:val="006F5A2D"/>
    <w:rsid w:val="00783271"/>
    <w:rsid w:val="008E443F"/>
    <w:rsid w:val="00A5598F"/>
    <w:rsid w:val="00A84EF6"/>
    <w:rsid w:val="00CD7A4E"/>
    <w:rsid w:val="00D242D3"/>
    <w:rsid w:val="00E437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2D3"/>
  </w:style>
  <w:style w:type="paragraph" w:styleId="Footer">
    <w:name w:val="footer"/>
    <w:basedOn w:val="Normal"/>
    <w:link w:val="FooterChar"/>
    <w:uiPriority w:val="99"/>
    <w:unhideWhenUsed/>
    <w:rsid w:val="00D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2D3"/>
  </w:style>
  <w:style w:type="paragraph" w:styleId="ListParagraph">
    <w:name w:val="List Paragraph"/>
    <w:basedOn w:val="Normal"/>
    <w:uiPriority w:val="34"/>
    <w:qFormat/>
    <w:rsid w:val="00062C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2D3"/>
  </w:style>
  <w:style w:type="paragraph" w:styleId="Footer">
    <w:name w:val="footer"/>
    <w:basedOn w:val="Normal"/>
    <w:link w:val="FooterChar"/>
    <w:uiPriority w:val="99"/>
    <w:unhideWhenUsed/>
    <w:rsid w:val="00D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2D3"/>
  </w:style>
  <w:style w:type="paragraph" w:styleId="ListParagraph">
    <w:name w:val="List Paragraph"/>
    <w:basedOn w:val="Normal"/>
    <w:uiPriority w:val="34"/>
    <w:qFormat/>
    <w:rsid w:val="00062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dcterms:created xsi:type="dcterms:W3CDTF">2013-06-26T09:50:00Z</dcterms:created>
  <dcterms:modified xsi:type="dcterms:W3CDTF">2013-06-27T13:00:00Z</dcterms:modified>
</cp:coreProperties>
</file>