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0A" w:rsidRDefault="00617E48" w:rsidP="00545638">
      <w:pPr>
        <w:spacing w:after="0" w:line="240" w:lineRule="auto"/>
        <w:jc w:val="both"/>
        <w:rPr>
          <w:rFonts w:ascii="Times New Roman" w:hAnsi="Times New Roman" w:cs="Times New Roman"/>
          <w:b/>
          <w:sz w:val="24"/>
          <w:szCs w:val="24"/>
        </w:rPr>
      </w:pPr>
      <w:r w:rsidRPr="002D020D">
        <w:rPr>
          <w:rFonts w:ascii="Times New Roman" w:hAnsi="Times New Roman" w:cs="Times New Roman"/>
          <w:b/>
          <w:sz w:val="24"/>
          <w:szCs w:val="24"/>
        </w:rPr>
        <w:t>SUMMERGATE INVESTMENTS (PVT) LTD</w:t>
      </w:r>
    </w:p>
    <w:p w:rsidR="00617E48" w:rsidRPr="002D020D" w:rsidRDefault="00617E48" w:rsidP="00545638">
      <w:pPr>
        <w:spacing w:after="0" w:line="240" w:lineRule="auto"/>
        <w:jc w:val="both"/>
        <w:rPr>
          <w:rFonts w:ascii="Times New Roman" w:hAnsi="Times New Roman" w:cs="Times New Roman"/>
          <w:b/>
          <w:sz w:val="24"/>
          <w:szCs w:val="24"/>
        </w:rPr>
      </w:pPr>
      <w:r w:rsidRPr="002D020D">
        <w:rPr>
          <w:rFonts w:ascii="Times New Roman" w:hAnsi="Times New Roman" w:cs="Times New Roman"/>
          <w:b/>
          <w:sz w:val="24"/>
          <w:szCs w:val="24"/>
        </w:rPr>
        <w:t xml:space="preserve"> </w:t>
      </w:r>
    </w:p>
    <w:p w:rsidR="00617E48" w:rsidRDefault="00ED0D0A" w:rsidP="00545638">
      <w:pPr>
        <w:spacing w:after="0" w:line="240" w:lineRule="auto"/>
        <w:jc w:val="both"/>
        <w:rPr>
          <w:rFonts w:ascii="Times New Roman" w:hAnsi="Times New Roman" w:cs="Times New Roman"/>
          <w:b/>
          <w:sz w:val="24"/>
          <w:szCs w:val="24"/>
        </w:rPr>
      </w:pPr>
      <w:r w:rsidRPr="002D020D">
        <w:rPr>
          <w:rFonts w:ascii="Times New Roman" w:hAnsi="Times New Roman" w:cs="Times New Roman"/>
          <w:b/>
          <w:sz w:val="24"/>
          <w:szCs w:val="24"/>
        </w:rPr>
        <w:t>V</w:t>
      </w:r>
      <w:r w:rsidR="00617E48" w:rsidRPr="002D020D">
        <w:rPr>
          <w:rFonts w:ascii="Times New Roman" w:hAnsi="Times New Roman" w:cs="Times New Roman"/>
          <w:b/>
          <w:sz w:val="24"/>
          <w:szCs w:val="24"/>
        </w:rPr>
        <w:t>ersus</w:t>
      </w:r>
    </w:p>
    <w:p w:rsidR="00ED0D0A" w:rsidRPr="002D020D" w:rsidRDefault="00ED0D0A" w:rsidP="00545638">
      <w:pPr>
        <w:spacing w:after="0" w:line="240" w:lineRule="auto"/>
        <w:jc w:val="both"/>
        <w:rPr>
          <w:rFonts w:ascii="Times New Roman" w:hAnsi="Times New Roman" w:cs="Times New Roman"/>
          <w:b/>
          <w:sz w:val="24"/>
          <w:szCs w:val="24"/>
        </w:rPr>
      </w:pPr>
    </w:p>
    <w:p w:rsidR="00617E48" w:rsidRPr="002D020D" w:rsidRDefault="00617E48" w:rsidP="00545638">
      <w:pPr>
        <w:spacing w:after="0" w:line="240" w:lineRule="auto"/>
        <w:jc w:val="both"/>
        <w:rPr>
          <w:rFonts w:ascii="Times New Roman" w:hAnsi="Times New Roman" w:cs="Times New Roman"/>
          <w:b/>
          <w:sz w:val="24"/>
          <w:szCs w:val="24"/>
        </w:rPr>
      </w:pPr>
      <w:r w:rsidRPr="002D020D">
        <w:rPr>
          <w:rFonts w:ascii="Times New Roman" w:hAnsi="Times New Roman" w:cs="Times New Roman"/>
          <w:b/>
          <w:sz w:val="24"/>
          <w:szCs w:val="24"/>
        </w:rPr>
        <w:t xml:space="preserve">NAOME THAKATHAKA </w:t>
      </w:r>
    </w:p>
    <w:p w:rsidR="00545638" w:rsidRDefault="00545638" w:rsidP="00545638">
      <w:pPr>
        <w:spacing w:after="0" w:line="360" w:lineRule="auto"/>
        <w:jc w:val="both"/>
        <w:rPr>
          <w:rFonts w:ascii="Times New Roman" w:hAnsi="Times New Roman" w:cs="Times New Roman"/>
          <w:b/>
          <w:sz w:val="24"/>
          <w:szCs w:val="24"/>
        </w:rPr>
      </w:pPr>
    </w:p>
    <w:p w:rsidR="00617E48" w:rsidRPr="00926222" w:rsidRDefault="00617E48" w:rsidP="00926222">
      <w:pPr>
        <w:pStyle w:val="NoSpacing"/>
        <w:rPr>
          <w:rFonts w:ascii="Times New Roman" w:hAnsi="Times New Roman" w:cs="Times New Roman"/>
          <w:sz w:val="24"/>
          <w:szCs w:val="24"/>
        </w:rPr>
      </w:pPr>
      <w:r w:rsidRPr="00926222">
        <w:rPr>
          <w:rFonts w:ascii="Times New Roman" w:hAnsi="Times New Roman" w:cs="Times New Roman"/>
          <w:sz w:val="24"/>
          <w:szCs w:val="24"/>
        </w:rPr>
        <w:t>HIGH COURT OF ZIMBABWE</w:t>
      </w:r>
    </w:p>
    <w:p w:rsidR="00617E48" w:rsidRPr="00926222" w:rsidRDefault="00617E48" w:rsidP="00926222">
      <w:pPr>
        <w:pStyle w:val="NoSpacing"/>
        <w:rPr>
          <w:rFonts w:ascii="Times New Roman" w:hAnsi="Times New Roman" w:cs="Times New Roman"/>
          <w:sz w:val="24"/>
          <w:szCs w:val="24"/>
        </w:rPr>
      </w:pPr>
      <w:r w:rsidRPr="00926222">
        <w:rPr>
          <w:rFonts w:ascii="Times New Roman" w:hAnsi="Times New Roman" w:cs="Times New Roman"/>
          <w:sz w:val="24"/>
          <w:szCs w:val="24"/>
        </w:rPr>
        <w:t>MAKONESE J</w:t>
      </w:r>
    </w:p>
    <w:p w:rsidR="00545638" w:rsidRPr="00926222" w:rsidRDefault="005C1F1D" w:rsidP="00926222">
      <w:pPr>
        <w:pStyle w:val="NoSpacing"/>
        <w:rPr>
          <w:rFonts w:ascii="Times New Roman" w:hAnsi="Times New Roman" w:cs="Times New Roman"/>
          <w:sz w:val="24"/>
          <w:szCs w:val="24"/>
        </w:rPr>
      </w:pPr>
      <w:r w:rsidRPr="00926222">
        <w:rPr>
          <w:rFonts w:ascii="Times New Roman" w:hAnsi="Times New Roman" w:cs="Times New Roman"/>
          <w:sz w:val="24"/>
          <w:szCs w:val="24"/>
        </w:rPr>
        <w:t>BULAWAYO</w:t>
      </w:r>
      <w:r w:rsidR="00926222" w:rsidRPr="00926222">
        <w:rPr>
          <w:rFonts w:ascii="Times New Roman" w:hAnsi="Times New Roman" w:cs="Times New Roman"/>
          <w:sz w:val="24"/>
          <w:szCs w:val="24"/>
        </w:rPr>
        <w:t xml:space="preserve"> 26 MAY &amp;</w:t>
      </w:r>
      <w:r w:rsidR="004C3F11">
        <w:rPr>
          <w:rFonts w:ascii="Times New Roman" w:hAnsi="Times New Roman" w:cs="Times New Roman"/>
          <w:sz w:val="24"/>
          <w:szCs w:val="24"/>
        </w:rPr>
        <w:t xml:space="preserve"> 9</w:t>
      </w:r>
      <w:r w:rsidR="00926222" w:rsidRPr="00926222">
        <w:rPr>
          <w:rFonts w:ascii="Times New Roman" w:hAnsi="Times New Roman" w:cs="Times New Roman"/>
          <w:sz w:val="24"/>
          <w:szCs w:val="24"/>
        </w:rPr>
        <w:t xml:space="preserve"> JULY 2020</w:t>
      </w:r>
      <w:r w:rsidRPr="00926222">
        <w:rPr>
          <w:rFonts w:ascii="Times New Roman" w:hAnsi="Times New Roman" w:cs="Times New Roman"/>
          <w:sz w:val="24"/>
          <w:szCs w:val="24"/>
        </w:rPr>
        <w:t xml:space="preserve"> </w:t>
      </w:r>
      <w:r w:rsidR="002D020D" w:rsidRPr="00926222">
        <w:rPr>
          <w:rFonts w:ascii="Times New Roman" w:hAnsi="Times New Roman" w:cs="Times New Roman"/>
          <w:sz w:val="24"/>
          <w:szCs w:val="24"/>
        </w:rPr>
        <w:t xml:space="preserve"> </w:t>
      </w:r>
    </w:p>
    <w:p w:rsidR="00545638" w:rsidRDefault="00545638" w:rsidP="00545638">
      <w:pPr>
        <w:spacing w:after="0" w:line="360" w:lineRule="auto"/>
        <w:jc w:val="both"/>
        <w:rPr>
          <w:rFonts w:ascii="Times New Roman" w:hAnsi="Times New Roman" w:cs="Times New Roman"/>
          <w:b/>
          <w:sz w:val="24"/>
          <w:szCs w:val="24"/>
        </w:rPr>
      </w:pPr>
    </w:p>
    <w:p w:rsidR="00617E48" w:rsidRDefault="00617E48" w:rsidP="00545638">
      <w:pPr>
        <w:spacing w:after="0" w:line="360" w:lineRule="auto"/>
        <w:jc w:val="both"/>
        <w:rPr>
          <w:rFonts w:ascii="Times New Roman" w:hAnsi="Times New Roman" w:cs="Times New Roman"/>
          <w:b/>
          <w:sz w:val="24"/>
          <w:szCs w:val="24"/>
        </w:rPr>
      </w:pPr>
      <w:r w:rsidRPr="002D020D">
        <w:rPr>
          <w:rFonts w:ascii="Times New Roman" w:hAnsi="Times New Roman" w:cs="Times New Roman"/>
          <w:b/>
          <w:sz w:val="24"/>
          <w:szCs w:val="24"/>
        </w:rPr>
        <w:t>Opposed application</w:t>
      </w:r>
    </w:p>
    <w:p w:rsidR="00545638" w:rsidRPr="002D020D" w:rsidRDefault="00545638" w:rsidP="00545638">
      <w:pPr>
        <w:spacing w:after="0" w:line="360" w:lineRule="auto"/>
        <w:jc w:val="both"/>
        <w:rPr>
          <w:rFonts w:ascii="Times New Roman" w:hAnsi="Times New Roman" w:cs="Times New Roman"/>
          <w:b/>
          <w:sz w:val="24"/>
          <w:szCs w:val="24"/>
        </w:rPr>
      </w:pPr>
    </w:p>
    <w:p w:rsidR="00617E48" w:rsidRPr="00617E48" w:rsidRDefault="00926222" w:rsidP="005456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w:t>
      </w:r>
      <w:r w:rsidR="002D020D" w:rsidRPr="00ED0D0A">
        <w:rPr>
          <w:rFonts w:ascii="Times New Roman" w:hAnsi="Times New Roman" w:cs="Times New Roman"/>
          <w:i/>
          <w:sz w:val="24"/>
          <w:szCs w:val="24"/>
        </w:rPr>
        <w:t xml:space="preserve"> </w:t>
      </w:r>
      <w:r w:rsidR="002D020D" w:rsidRPr="00545638">
        <w:rPr>
          <w:rFonts w:ascii="Times New Roman" w:hAnsi="Times New Roman" w:cs="Times New Roman"/>
          <w:i/>
          <w:sz w:val="24"/>
          <w:szCs w:val="24"/>
        </w:rPr>
        <w:t>Nyoni</w:t>
      </w:r>
      <w:r w:rsidR="00D44465">
        <w:rPr>
          <w:rFonts w:ascii="Times New Roman" w:hAnsi="Times New Roman" w:cs="Times New Roman"/>
          <w:i/>
          <w:sz w:val="24"/>
          <w:szCs w:val="24"/>
        </w:rPr>
        <w:t xml:space="preserve"> </w:t>
      </w:r>
      <w:r w:rsidR="00617E48" w:rsidRPr="00617E48">
        <w:rPr>
          <w:rFonts w:ascii="Times New Roman" w:hAnsi="Times New Roman" w:cs="Times New Roman"/>
          <w:sz w:val="24"/>
          <w:szCs w:val="24"/>
        </w:rPr>
        <w:t>for the applicant</w:t>
      </w:r>
    </w:p>
    <w:p w:rsidR="00617E48" w:rsidRDefault="002D020D" w:rsidP="00545638">
      <w:pPr>
        <w:spacing w:after="0" w:line="240" w:lineRule="auto"/>
        <w:jc w:val="both"/>
        <w:rPr>
          <w:rFonts w:ascii="Times New Roman" w:hAnsi="Times New Roman" w:cs="Times New Roman"/>
          <w:sz w:val="24"/>
          <w:szCs w:val="24"/>
        </w:rPr>
      </w:pPr>
      <w:r w:rsidRPr="00ED0D0A">
        <w:rPr>
          <w:rFonts w:ascii="Times New Roman" w:hAnsi="Times New Roman" w:cs="Times New Roman"/>
          <w:i/>
          <w:sz w:val="24"/>
          <w:szCs w:val="24"/>
        </w:rPr>
        <w:t>Adv</w:t>
      </w:r>
      <w:r>
        <w:rPr>
          <w:rFonts w:ascii="Times New Roman" w:hAnsi="Times New Roman" w:cs="Times New Roman"/>
          <w:sz w:val="24"/>
          <w:szCs w:val="24"/>
        </w:rPr>
        <w:t xml:space="preserve"> </w:t>
      </w:r>
      <w:r w:rsidRPr="00545638">
        <w:rPr>
          <w:rFonts w:ascii="Times New Roman" w:hAnsi="Times New Roman" w:cs="Times New Roman"/>
          <w:i/>
          <w:sz w:val="24"/>
          <w:szCs w:val="24"/>
        </w:rPr>
        <w:t xml:space="preserve">Phulu </w:t>
      </w:r>
      <w:r w:rsidR="00617E48" w:rsidRPr="00617E48">
        <w:rPr>
          <w:rFonts w:ascii="Times New Roman" w:hAnsi="Times New Roman" w:cs="Times New Roman"/>
          <w:sz w:val="24"/>
          <w:szCs w:val="24"/>
        </w:rPr>
        <w:t>for the respondent</w:t>
      </w:r>
    </w:p>
    <w:p w:rsidR="00545638" w:rsidRPr="00617E48" w:rsidRDefault="00545638" w:rsidP="00545638">
      <w:pPr>
        <w:spacing w:after="0" w:line="240" w:lineRule="auto"/>
        <w:jc w:val="both"/>
        <w:rPr>
          <w:rFonts w:ascii="Times New Roman" w:hAnsi="Times New Roman" w:cs="Times New Roman"/>
          <w:sz w:val="24"/>
          <w:szCs w:val="24"/>
        </w:rPr>
      </w:pPr>
    </w:p>
    <w:p w:rsidR="00545638" w:rsidRDefault="00617E48" w:rsidP="002D020D">
      <w:pPr>
        <w:ind w:firstLine="720"/>
        <w:jc w:val="both"/>
        <w:rPr>
          <w:rFonts w:ascii="Times New Roman" w:hAnsi="Times New Roman" w:cs="Times New Roman"/>
          <w:sz w:val="24"/>
          <w:szCs w:val="24"/>
        </w:rPr>
      </w:pPr>
      <w:r w:rsidRPr="00545638">
        <w:rPr>
          <w:rFonts w:ascii="Times New Roman" w:hAnsi="Times New Roman" w:cs="Times New Roman"/>
          <w:b/>
          <w:sz w:val="24"/>
          <w:szCs w:val="24"/>
        </w:rPr>
        <w:t>MAKONESE J</w:t>
      </w:r>
      <w:r w:rsidRPr="00617E48">
        <w:rPr>
          <w:rFonts w:ascii="Times New Roman" w:hAnsi="Times New Roman" w:cs="Times New Roman"/>
          <w:sz w:val="24"/>
          <w:szCs w:val="24"/>
        </w:rPr>
        <w:t>:</w:t>
      </w:r>
      <w:r w:rsidR="00545638">
        <w:rPr>
          <w:rFonts w:ascii="Times New Roman" w:hAnsi="Times New Roman" w:cs="Times New Roman"/>
          <w:sz w:val="24"/>
          <w:szCs w:val="24"/>
        </w:rPr>
        <w:t xml:space="preserve"> This is an application for a summary </w:t>
      </w:r>
      <w:r w:rsidR="004E0CCD">
        <w:rPr>
          <w:rFonts w:ascii="Times New Roman" w:hAnsi="Times New Roman" w:cs="Times New Roman"/>
          <w:sz w:val="24"/>
          <w:szCs w:val="24"/>
        </w:rPr>
        <w:t xml:space="preserve">judgment against the respondent. The applicant seeks the relief of </w:t>
      </w:r>
      <w:r w:rsidR="00545638" w:rsidRPr="0051077C">
        <w:rPr>
          <w:rFonts w:ascii="Times New Roman" w:hAnsi="Times New Roman" w:cs="Times New Roman"/>
          <w:i/>
          <w:sz w:val="24"/>
          <w:szCs w:val="24"/>
        </w:rPr>
        <w:t xml:space="preserve">rei </w:t>
      </w:r>
      <w:r w:rsidR="00B11ECF">
        <w:rPr>
          <w:rFonts w:ascii="Times New Roman" w:hAnsi="Times New Roman" w:cs="Times New Roman"/>
          <w:i/>
          <w:sz w:val="24"/>
          <w:szCs w:val="24"/>
        </w:rPr>
        <w:t>vindicatio</w:t>
      </w:r>
      <w:r w:rsidR="00B11ECF">
        <w:rPr>
          <w:rFonts w:ascii="Times New Roman" w:hAnsi="Times New Roman" w:cs="Times New Roman"/>
          <w:sz w:val="24"/>
          <w:szCs w:val="24"/>
        </w:rPr>
        <w:t xml:space="preserve"> in the</w:t>
      </w:r>
      <w:r w:rsidR="00F32B01">
        <w:rPr>
          <w:rFonts w:ascii="Times New Roman" w:hAnsi="Times New Roman" w:cs="Times New Roman"/>
          <w:sz w:val="24"/>
          <w:szCs w:val="24"/>
        </w:rPr>
        <w:t xml:space="preserve"> following terms;</w:t>
      </w:r>
    </w:p>
    <w:p w:rsidR="00617E48" w:rsidRDefault="00370296" w:rsidP="00370296">
      <w:pPr>
        <w:ind w:left="720"/>
        <w:jc w:val="both"/>
        <w:rPr>
          <w:rFonts w:ascii="Times New Roman" w:hAnsi="Times New Roman" w:cs="Times New Roman"/>
          <w:sz w:val="24"/>
          <w:szCs w:val="24"/>
        </w:rPr>
      </w:pPr>
      <w:r>
        <w:rPr>
          <w:rFonts w:ascii="Times New Roman" w:hAnsi="Times New Roman" w:cs="Times New Roman"/>
          <w:sz w:val="24"/>
          <w:szCs w:val="24"/>
        </w:rPr>
        <w:t>“Respondent and all those claiming through her be and are hereby ordered to forthwith vacate House Number 54a Leander Ave, Hillside, Bulawayo also known as the Remaining Extent of Subdivision 2 of Lot 63A Hillside situate in the district of Bulawayo.”</w:t>
      </w:r>
    </w:p>
    <w:p w:rsidR="004C6563" w:rsidRDefault="004C6563" w:rsidP="0092622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4E0CCD">
        <w:rPr>
          <w:rFonts w:ascii="Times New Roman" w:hAnsi="Times New Roman" w:cs="Times New Roman"/>
          <w:sz w:val="24"/>
          <w:szCs w:val="24"/>
        </w:rPr>
        <w:t>also prays for an</w:t>
      </w:r>
      <w:r w:rsidR="00F7501A">
        <w:rPr>
          <w:rFonts w:ascii="Times New Roman" w:hAnsi="Times New Roman" w:cs="Times New Roman"/>
          <w:sz w:val="24"/>
          <w:szCs w:val="24"/>
        </w:rPr>
        <w:t xml:space="preserve"> order with</w:t>
      </w:r>
      <w:r>
        <w:rPr>
          <w:rFonts w:ascii="Times New Roman" w:hAnsi="Times New Roman" w:cs="Times New Roman"/>
          <w:sz w:val="24"/>
          <w:szCs w:val="24"/>
        </w:rPr>
        <w:t xml:space="preserve"> costs.</w:t>
      </w:r>
    </w:p>
    <w:p w:rsidR="004C6563" w:rsidRDefault="004C6563" w:rsidP="004C656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filed a Notice of Opposition arguing that the applicant had not satisfied the requirements for the granting of a summary judgment. The respondent alleged that it was not established that applicant was the </w:t>
      </w:r>
      <w:r w:rsidRPr="00853972">
        <w:rPr>
          <w:rFonts w:ascii="Times New Roman" w:hAnsi="Times New Roman" w:cs="Times New Roman"/>
          <w:i/>
          <w:sz w:val="24"/>
          <w:szCs w:val="24"/>
        </w:rPr>
        <w:t xml:space="preserve">bona fide </w:t>
      </w:r>
      <w:r>
        <w:rPr>
          <w:rFonts w:ascii="Times New Roman" w:hAnsi="Times New Roman" w:cs="Times New Roman"/>
          <w:sz w:val="24"/>
          <w:szCs w:val="24"/>
        </w:rPr>
        <w:t xml:space="preserve">purchaser of the of House Number  </w:t>
      </w:r>
      <w:r w:rsidRPr="004C6563">
        <w:rPr>
          <w:rFonts w:ascii="Times New Roman" w:hAnsi="Times New Roman" w:cs="Times New Roman"/>
          <w:sz w:val="24"/>
          <w:szCs w:val="24"/>
        </w:rPr>
        <w:t>54a Leander Ave, Hillside, Bulawayo also known as the Remaining Extent of Subdivision 2 of Lot 63A Hillside situate in the district of Bulawayo</w:t>
      </w:r>
      <w:r>
        <w:rPr>
          <w:rFonts w:ascii="Times New Roman" w:hAnsi="Times New Roman" w:cs="Times New Roman"/>
          <w:sz w:val="24"/>
          <w:szCs w:val="24"/>
        </w:rPr>
        <w:t xml:space="preserve"> (hereinafter referred to as ‘the property’).</w:t>
      </w:r>
      <w:r w:rsidR="00D43191">
        <w:rPr>
          <w:rFonts w:ascii="Times New Roman" w:hAnsi="Times New Roman" w:cs="Times New Roman"/>
          <w:sz w:val="24"/>
          <w:szCs w:val="24"/>
        </w:rPr>
        <w:t xml:space="preserve"> The respondent essentially disputes the title that the applicant holds to the property.</w:t>
      </w:r>
    </w:p>
    <w:p w:rsidR="003271D9" w:rsidRPr="00926222" w:rsidRDefault="003271D9" w:rsidP="00B32F07">
      <w:pPr>
        <w:jc w:val="both"/>
        <w:rPr>
          <w:rFonts w:ascii="Times New Roman" w:hAnsi="Times New Roman" w:cs="Times New Roman"/>
          <w:b/>
          <w:sz w:val="24"/>
          <w:szCs w:val="24"/>
          <w:u w:val="single"/>
        </w:rPr>
      </w:pPr>
      <w:r w:rsidRPr="00926222">
        <w:rPr>
          <w:rFonts w:ascii="Times New Roman" w:hAnsi="Times New Roman" w:cs="Times New Roman"/>
          <w:b/>
          <w:sz w:val="24"/>
          <w:szCs w:val="24"/>
          <w:u w:val="single"/>
        </w:rPr>
        <w:t>Background</w:t>
      </w:r>
    </w:p>
    <w:p w:rsidR="00B32F07" w:rsidRDefault="00B32F07" w:rsidP="00926222">
      <w:pPr>
        <w:ind w:firstLine="720"/>
        <w:jc w:val="both"/>
        <w:rPr>
          <w:rFonts w:ascii="Times New Roman" w:hAnsi="Times New Roman" w:cs="Times New Roman"/>
          <w:sz w:val="24"/>
          <w:szCs w:val="24"/>
        </w:rPr>
      </w:pPr>
      <w:r>
        <w:rPr>
          <w:rFonts w:ascii="Times New Roman" w:hAnsi="Times New Roman" w:cs="Times New Roman"/>
          <w:sz w:val="24"/>
          <w:szCs w:val="24"/>
        </w:rPr>
        <w:t xml:space="preserve"> Solusi University obtained a judgment in the Hi</w:t>
      </w:r>
      <w:r w:rsidR="00FF2C96">
        <w:rPr>
          <w:rFonts w:ascii="Times New Roman" w:hAnsi="Times New Roman" w:cs="Times New Roman"/>
          <w:sz w:val="24"/>
          <w:szCs w:val="24"/>
        </w:rPr>
        <w:t>gh Court of Zimbabwe against a company, known</w:t>
      </w:r>
      <w:r w:rsidR="002712B2">
        <w:rPr>
          <w:rFonts w:ascii="Times New Roman" w:hAnsi="Times New Roman" w:cs="Times New Roman"/>
          <w:sz w:val="24"/>
          <w:szCs w:val="24"/>
        </w:rPr>
        <w:t xml:space="preserve"> as</w:t>
      </w:r>
      <w:r>
        <w:rPr>
          <w:rFonts w:ascii="Times New Roman" w:hAnsi="Times New Roman" w:cs="Times New Roman"/>
          <w:sz w:val="24"/>
          <w:szCs w:val="24"/>
        </w:rPr>
        <w:t xml:space="preserve"> Auction Intermarket Floors (Private) Limited to which the respondent was a director. The property in question which bel</w:t>
      </w:r>
      <w:r w:rsidR="00BC7E77">
        <w:rPr>
          <w:rFonts w:ascii="Times New Roman" w:hAnsi="Times New Roman" w:cs="Times New Roman"/>
          <w:sz w:val="24"/>
          <w:szCs w:val="24"/>
        </w:rPr>
        <w:t>onged to the respondent</w:t>
      </w:r>
      <w:r>
        <w:rPr>
          <w:rFonts w:ascii="Times New Roman" w:hAnsi="Times New Roman" w:cs="Times New Roman"/>
          <w:sz w:val="24"/>
          <w:szCs w:val="24"/>
        </w:rPr>
        <w:t xml:space="preserve"> was attached by the sheriff pursuant </w:t>
      </w:r>
      <w:r w:rsidR="005E1B4F">
        <w:rPr>
          <w:rFonts w:ascii="Times New Roman" w:hAnsi="Times New Roman" w:cs="Times New Roman"/>
          <w:sz w:val="24"/>
          <w:szCs w:val="24"/>
        </w:rPr>
        <w:t>to a warrant of execution dated 6 August 2014.</w:t>
      </w:r>
    </w:p>
    <w:p w:rsidR="001C362F" w:rsidRDefault="009E7082" w:rsidP="00064D65">
      <w:pPr>
        <w:ind w:firstLine="720"/>
        <w:jc w:val="both"/>
        <w:rPr>
          <w:rFonts w:ascii="Times New Roman" w:hAnsi="Times New Roman" w:cs="Times New Roman"/>
          <w:sz w:val="24"/>
          <w:szCs w:val="24"/>
        </w:rPr>
      </w:pPr>
      <w:r>
        <w:rPr>
          <w:rFonts w:ascii="Times New Roman" w:hAnsi="Times New Roman" w:cs="Times New Roman"/>
          <w:sz w:val="24"/>
          <w:szCs w:val="24"/>
        </w:rPr>
        <w:t xml:space="preserve">On 26 March 2018 the said property was sold by way of public auction by the sheriff. </w:t>
      </w:r>
      <w:r w:rsidR="00B04954">
        <w:rPr>
          <w:rFonts w:ascii="Times New Roman" w:hAnsi="Times New Roman" w:cs="Times New Roman"/>
          <w:sz w:val="24"/>
          <w:szCs w:val="24"/>
        </w:rPr>
        <w:t>Mr</w:t>
      </w:r>
      <w:r w:rsidR="00EE4ED0">
        <w:rPr>
          <w:rFonts w:ascii="Times New Roman" w:hAnsi="Times New Roman" w:cs="Times New Roman"/>
          <w:sz w:val="24"/>
          <w:szCs w:val="24"/>
        </w:rPr>
        <w:t xml:space="preserve"> Mohamed Zakariya</w:t>
      </w:r>
      <w:r w:rsidR="00B04954">
        <w:rPr>
          <w:rFonts w:ascii="Times New Roman" w:hAnsi="Times New Roman" w:cs="Times New Roman"/>
          <w:sz w:val="24"/>
          <w:szCs w:val="24"/>
        </w:rPr>
        <w:t xml:space="preserve"> </w:t>
      </w:r>
      <w:r>
        <w:rPr>
          <w:rFonts w:ascii="Times New Roman" w:hAnsi="Times New Roman" w:cs="Times New Roman"/>
          <w:sz w:val="24"/>
          <w:szCs w:val="24"/>
        </w:rPr>
        <w:t>Patel</w:t>
      </w:r>
      <w:r w:rsidR="00EE4ED0">
        <w:rPr>
          <w:rFonts w:ascii="Times New Roman" w:hAnsi="Times New Roman" w:cs="Times New Roman"/>
          <w:sz w:val="24"/>
          <w:szCs w:val="24"/>
        </w:rPr>
        <w:t xml:space="preserve"> </w:t>
      </w:r>
      <w:r>
        <w:rPr>
          <w:rFonts w:ascii="Times New Roman" w:hAnsi="Times New Roman" w:cs="Times New Roman"/>
          <w:sz w:val="24"/>
          <w:szCs w:val="24"/>
        </w:rPr>
        <w:t xml:space="preserve">was declared the highest bidder and the </w:t>
      </w:r>
      <w:r w:rsidR="00A5553E">
        <w:rPr>
          <w:rFonts w:ascii="Times New Roman" w:hAnsi="Times New Roman" w:cs="Times New Roman"/>
          <w:sz w:val="24"/>
          <w:szCs w:val="24"/>
        </w:rPr>
        <w:t>“</w:t>
      </w:r>
      <w:r>
        <w:rPr>
          <w:rFonts w:ascii="Times New Roman" w:hAnsi="Times New Roman" w:cs="Times New Roman"/>
          <w:sz w:val="24"/>
          <w:szCs w:val="24"/>
        </w:rPr>
        <w:t>to be</w:t>
      </w:r>
      <w:r w:rsidR="00A5553E">
        <w:rPr>
          <w:rFonts w:ascii="Times New Roman" w:hAnsi="Times New Roman" w:cs="Times New Roman"/>
          <w:sz w:val="24"/>
          <w:szCs w:val="24"/>
        </w:rPr>
        <w:t>”</w:t>
      </w:r>
      <w:r>
        <w:rPr>
          <w:rFonts w:ascii="Times New Roman" w:hAnsi="Times New Roman" w:cs="Times New Roman"/>
          <w:sz w:val="24"/>
          <w:szCs w:val="24"/>
        </w:rPr>
        <w:t xml:space="preserve"> purchaser </w:t>
      </w:r>
      <w:r w:rsidR="0002603C">
        <w:rPr>
          <w:rFonts w:ascii="Times New Roman" w:hAnsi="Times New Roman" w:cs="Times New Roman"/>
          <w:sz w:val="24"/>
          <w:szCs w:val="24"/>
        </w:rPr>
        <w:t xml:space="preserve">of the property </w:t>
      </w:r>
      <w:r>
        <w:rPr>
          <w:rFonts w:ascii="Times New Roman" w:hAnsi="Times New Roman" w:cs="Times New Roman"/>
          <w:sz w:val="24"/>
          <w:szCs w:val="24"/>
        </w:rPr>
        <w:t xml:space="preserve">at the sum of $76 000,00 </w:t>
      </w:r>
      <w:r w:rsidR="00D76A2C">
        <w:rPr>
          <w:rFonts w:ascii="Times New Roman" w:hAnsi="Times New Roman" w:cs="Times New Roman"/>
          <w:sz w:val="24"/>
          <w:szCs w:val="24"/>
        </w:rPr>
        <w:t xml:space="preserve">in terms of Rule 356 of the High Court Rules 1979. </w:t>
      </w:r>
    </w:p>
    <w:p w:rsidR="00341287" w:rsidRDefault="00EE4ED0" w:rsidP="001C362F">
      <w:pPr>
        <w:jc w:val="both"/>
        <w:rPr>
          <w:rFonts w:ascii="Times New Roman" w:hAnsi="Times New Roman" w:cs="Times New Roman"/>
          <w:sz w:val="24"/>
          <w:szCs w:val="24"/>
        </w:rPr>
      </w:pPr>
      <w:r>
        <w:rPr>
          <w:rFonts w:ascii="Times New Roman" w:hAnsi="Times New Roman" w:cs="Times New Roman"/>
          <w:sz w:val="24"/>
          <w:szCs w:val="24"/>
        </w:rPr>
        <w:t>Rule 356</w:t>
      </w:r>
      <w:r w:rsidR="00341287">
        <w:rPr>
          <w:rFonts w:ascii="Times New Roman" w:hAnsi="Times New Roman" w:cs="Times New Roman"/>
          <w:sz w:val="24"/>
          <w:szCs w:val="24"/>
        </w:rPr>
        <w:t xml:space="preserve"> Reads:</w:t>
      </w:r>
    </w:p>
    <w:p w:rsidR="00341287" w:rsidRDefault="00341287" w:rsidP="00341287">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1C362F" w:rsidRPr="001C362F">
        <w:rPr>
          <w:rFonts w:ascii="Times New Roman" w:hAnsi="Times New Roman" w:cs="Times New Roman"/>
          <w:sz w:val="24"/>
          <w:szCs w:val="24"/>
        </w:rPr>
        <w:t>Declaration of purchaser by sheriff</w:t>
      </w:r>
    </w:p>
    <w:p w:rsidR="001C362F" w:rsidRDefault="001C362F" w:rsidP="00341287">
      <w:pPr>
        <w:ind w:left="720"/>
        <w:jc w:val="both"/>
        <w:rPr>
          <w:rFonts w:ascii="Times New Roman" w:hAnsi="Times New Roman" w:cs="Times New Roman"/>
          <w:sz w:val="24"/>
          <w:szCs w:val="24"/>
        </w:rPr>
      </w:pPr>
      <w:r w:rsidRPr="001C362F">
        <w:rPr>
          <w:rFonts w:ascii="Times New Roman" w:hAnsi="Times New Roman" w:cs="Times New Roman"/>
          <w:sz w:val="24"/>
          <w:szCs w:val="24"/>
        </w:rPr>
        <w:t>If the sheriff is satisfied that the highest price offered is reasonable, having regard to the circumstances of time and place and to the state of the property market and that the sale was properly conducted, he shall declare the highest bidder to be the purchaser, subject to confirmation as hereinafter prescribed.</w:t>
      </w:r>
      <w:r w:rsidR="00341287">
        <w:rPr>
          <w:rFonts w:ascii="Times New Roman" w:hAnsi="Times New Roman" w:cs="Times New Roman"/>
          <w:sz w:val="24"/>
          <w:szCs w:val="24"/>
        </w:rPr>
        <w:t>”</w:t>
      </w:r>
    </w:p>
    <w:p w:rsidR="005E1B4F" w:rsidRDefault="00D76A2C" w:rsidP="000E2E8D">
      <w:pPr>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9E7082">
        <w:rPr>
          <w:rFonts w:ascii="Times New Roman" w:hAnsi="Times New Roman" w:cs="Times New Roman"/>
          <w:sz w:val="24"/>
          <w:szCs w:val="24"/>
        </w:rPr>
        <w:t xml:space="preserve">on the usual </w:t>
      </w:r>
      <w:r w:rsidR="00CE3084">
        <w:rPr>
          <w:rFonts w:ascii="Times New Roman" w:hAnsi="Times New Roman" w:cs="Times New Roman"/>
          <w:sz w:val="24"/>
          <w:szCs w:val="24"/>
        </w:rPr>
        <w:t>condition</w:t>
      </w:r>
      <w:r w:rsidR="000C0809">
        <w:rPr>
          <w:rFonts w:ascii="Times New Roman" w:hAnsi="Times New Roman" w:cs="Times New Roman"/>
          <w:sz w:val="24"/>
          <w:szCs w:val="24"/>
        </w:rPr>
        <w:t xml:space="preserve"> in terms</w:t>
      </w:r>
      <w:r w:rsidR="00CE3084">
        <w:rPr>
          <w:rFonts w:ascii="Times New Roman" w:hAnsi="Times New Roman" w:cs="Times New Roman"/>
          <w:sz w:val="24"/>
          <w:szCs w:val="24"/>
        </w:rPr>
        <w:t xml:space="preserve"> of</w:t>
      </w:r>
      <w:r>
        <w:rPr>
          <w:rFonts w:ascii="Times New Roman" w:hAnsi="Times New Roman" w:cs="Times New Roman"/>
          <w:sz w:val="24"/>
          <w:szCs w:val="24"/>
        </w:rPr>
        <w:t xml:space="preserve"> Rule 359 </w:t>
      </w:r>
      <w:r w:rsidR="009E7082">
        <w:rPr>
          <w:rFonts w:ascii="Times New Roman" w:hAnsi="Times New Roman" w:cs="Times New Roman"/>
          <w:sz w:val="24"/>
          <w:szCs w:val="24"/>
        </w:rPr>
        <w:t>that</w:t>
      </w:r>
      <w:r w:rsidR="001D1534">
        <w:rPr>
          <w:rFonts w:ascii="Times New Roman" w:hAnsi="Times New Roman" w:cs="Times New Roman"/>
          <w:sz w:val="24"/>
          <w:szCs w:val="24"/>
        </w:rPr>
        <w:t xml:space="preserve"> if</w:t>
      </w:r>
      <w:r w:rsidR="009E7082">
        <w:rPr>
          <w:rFonts w:ascii="Times New Roman" w:hAnsi="Times New Roman" w:cs="Times New Roman"/>
          <w:sz w:val="24"/>
          <w:szCs w:val="24"/>
        </w:rPr>
        <w:t xml:space="preserve"> there</w:t>
      </w:r>
      <w:r>
        <w:rPr>
          <w:rFonts w:ascii="Times New Roman" w:hAnsi="Times New Roman" w:cs="Times New Roman"/>
          <w:sz w:val="24"/>
          <w:szCs w:val="24"/>
        </w:rPr>
        <w:t xml:space="preserve"> were</w:t>
      </w:r>
      <w:r w:rsidR="001D1534">
        <w:rPr>
          <w:rFonts w:ascii="Times New Roman" w:hAnsi="Times New Roman" w:cs="Times New Roman"/>
          <w:sz w:val="24"/>
          <w:szCs w:val="24"/>
        </w:rPr>
        <w:t xml:space="preserve"> no objections the sheriff would </w:t>
      </w:r>
      <w:r>
        <w:rPr>
          <w:rFonts w:ascii="Times New Roman" w:hAnsi="Times New Roman" w:cs="Times New Roman"/>
          <w:sz w:val="24"/>
          <w:szCs w:val="24"/>
        </w:rPr>
        <w:t xml:space="preserve">proceed to confirm </w:t>
      </w:r>
      <w:r w:rsidR="001D1534">
        <w:rPr>
          <w:rFonts w:ascii="Times New Roman" w:hAnsi="Times New Roman" w:cs="Times New Roman"/>
          <w:sz w:val="24"/>
          <w:szCs w:val="24"/>
        </w:rPr>
        <w:t>the sale.</w:t>
      </w:r>
      <w:r w:rsidR="000C0809">
        <w:rPr>
          <w:rFonts w:ascii="Times New Roman" w:hAnsi="Times New Roman" w:cs="Times New Roman"/>
          <w:sz w:val="24"/>
          <w:szCs w:val="24"/>
        </w:rPr>
        <w:t xml:space="preserve"> </w:t>
      </w:r>
      <w:r w:rsidR="005165FB">
        <w:rPr>
          <w:rFonts w:ascii="Times New Roman" w:hAnsi="Times New Roman" w:cs="Times New Roman"/>
          <w:sz w:val="24"/>
          <w:szCs w:val="24"/>
        </w:rPr>
        <w:t>An objection to the sale was filed</w:t>
      </w:r>
      <w:r w:rsidR="000E2E8D">
        <w:rPr>
          <w:rFonts w:ascii="Times New Roman" w:hAnsi="Times New Roman" w:cs="Times New Roman"/>
          <w:sz w:val="24"/>
          <w:szCs w:val="24"/>
        </w:rPr>
        <w:t xml:space="preserve"> by the </w:t>
      </w:r>
      <w:r w:rsidR="00B76FA6">
        <w:rPr>
          <w:rFonts w:ascii="Times New Roman" w:hAnsi="Times New Roman" w:cs="Times New Roman"/>
          <w:sz w:val="24"/>
          <w:szCs w:val="24"/>
        </w:rPr>
        <w:t>respondent necessitating</w:t>
      </w:r>
      <w:r w:rsidR="000C0809">
        <w:rPr>
          <w:rFonts w:ascii="Times New Roman" w:hAnsi="Times New Roman" w:cs="Times New Roman"/>
          <w:sz w:val="24"/>
          <w:szCs w:val="24"/>
        </w:rPr>
        <w:t xml:space="preserve"> </w:t>
      </w:r>
      <w:r w:rsidR="005165FB">
        <w:rPr>
          <w:rFonts w:ascii="Times New Roman" w:hAnsi="Times New Roman" w:cs="Times New Roman"/>
          <w:sz w:val="24"/>
          <w:szCs w:val="24"/>
        </w:rPr>
        <w:t>a hearin</w:t>
      </w:r>
      <w:r w:rsidR="006247E9">
        <w:rPr>
          <w:rFonts w:ascii="Times New Roman" w:hAnsi="Times New Roman" w:cs="Times New Roman"/>
          <w:sz w:val="24"/>
          <w:szCs w:val="24"/>
        </w:rPr>
        <w:t>g</w:t>
      </w:r>
      <w:r w:rsidR="00A8636D">
        <w:rPr>
          <w:rFonts w:ascii="Times New Roman" w:hAnsi="Times New Roman" w:cs="Times New Roman"/>
          <w:sz w:val="24"/>
          <w:szCs w:val="24"/>
        </w:rPr>
        <w:t xml:space="preserve"> conducted by the sheriff </w:t>
      </w:r>
      <w:r w:rsidR="005165FB">
        <w:rPr>
          <w:rFonts w:ascii="Times New Roman" w:hAnsi="Times New Roman" w:cs="Times New Roman"/>
          <w:sz w:val="24"/>
          <w:szCs w:val="24"/>
        </w:rPr>
        <w:t>on 22 May 2018.</w:t>
      </w:r>
      <w:r w:rsidR="001C19E8">
        <w:rPr>
          <w:rFonts w:ascii="Times New Roman" w:hAnsi="Times New Roman" w:cs="Times New Roman"/>
          <w:sz w:val="24"/>
          <w:szCs w:val="24"/>
        </w:rPr>
        <w:t>The sheriff ruled against setting aside the sale and confirmed the sale of the property through a confirmation letter dated 31 May 2018.</w:t>
      </w:r>
      <w:r w:rsidR="00F16560">
        <w:rPr>
          <w:rFonts w:ascii="Times New Roman" w:hAnsi="Times New Roman" w:cs="Times New Roman"/>
          <w:sz w:val="24"/>
          <w:szCs w:val="24"/>
        </w:rPr>
        <w:t xml:space="preserve"> The confirmation of sale referred to </w:t>
      </w:r>
      <w:r w:rsidR="000E2E8D">
        <w:rPr>
          <w:rFonts w:ascii="Times New Roman" w:hAnsi="Times New Roman" w:cs="Times New Roman"/>
          <w:sz w:val="24"/>
          <w:szCs w:val="24"/>
        </w:rPr>
        <w:t>the purchaser as Mr Patel (the h</w:t>
      </w:r>
      <w:r w:rsidR="00F16560">
        <w:rPr>
          <w:rFonts w:ascii="Times New Roman" w:hAnsi="Times New Roman" w:cs="Times New Roman"/>
          <w:sz w:val="24"/>
          <w:szCs w:val="24"/>
        </w:rPr>
        <w:t>ighest bidder the sum of $76 000, 00</w:t>
      </w:r>
      <w:r w:rsidR="001F67A4">
        <w:rPr>
          <w:rFonts w:ascii="Times New Roman" w:hAnsi="Times New Roman" w:cs="Times New Roman"/>
          <w:sz w:val="24"/>
          <w:szCs w:val="24"/>
        </w:rPr>
        <w:t>)</w:t>
      </w:r>
      <w:r w:rsidR="001B5548">
        <w:rPr>
          <w:rFonts w:ascii="Times New Roman" w:hAnsi="Times New Roman" w:cs="Times New Roman"/>
          <w:sz w:val="24"/>
          <w:szCs w:val="24"/>
        </w:rPr>
        <w:t>.</w:t>
      </w:r>
      <w:r w:rsidR="001F67A4">
        <w:rPr>
          <w:rFonts w:ascii="Times New Roman" w:hAnsi="Times New Roman" w:cs="Times New Roman"/>
          <w:sz w:val="24"/>
          <w:szCs w:val="24"/>
        </w:rPr>
        <w:t xml:space="preserve">  </w:t>
      </w:r>
      <w:r w:rsidR="001B5548">
        <w:rPr>
          <w:rFonts w:ascii="Times New Roman" w:hAnsi="Times New Roman" w:cs="Times New Roman"/>
          <w:sz w:val="24"/>
          <w:szCs w:val="24"/>
        </w:rPr>
        <w:t>It is pertinent to point out that the full purchase price was to be paid into the sheri</w:t>
      </w:r>
      <w:r w:rsidR="0047042E">
        <w:rPr>
          <w:rFonts w:ascii="Times New Roman" w:hAnsi="Times New Roman" w:cs="Times New Roman"/>
          <w:sz w:val="24"/>
          <w:szCs w:val="24"/>
        </w:rPr>
        <w:t>ff’s account within 7 days, failing which</w:t>
      </w:r>
      <w:r w:rsidR="001B5548">
        <w:rPr>
          <w:rFonts w:ascii="Times New Roman" w:hAnsi="Times New Roman" w:cs="Times New Roman"/>
          <w:sz w:val="24"/>
          <w:szCs w:val="24"/>
        </w:rPr>
        <w:t xml:space="preserve"> the sale would be deemed to have been cancelled.</w:t>
      </w:r>
    </w:p>
    <w:p w:rsidR="00C83A5F" w:rsidRDefault="00E91E95" w:rsidP="0056766B">
      <w:pPr>
        <w:ind w:firstLine="720"/>
        <w:jc w:val="both"/>
        <w:rPr>
          <w:rFonts w:ascii="Times New Roman" w:hAnsi="Times New Roman" w:cs="Times New Roman"/>
          <w:color w:val="FF0000"/>
          <w:sz w:val="24"/>
          <w:szCs w:val="24"/>
        </w:rPr>
      </w:pPr>
      <w:r>
        <w:rPr>
          <w:rFonts w:ascii="Times New Roman" w:hAnsi="Times New Roman" w:cs="Times New Roman"/>
          <w:sz w:val="24"/>
          <w:szCs w:val="24"/>
        </w:rPr>
        <w:t>It ap</w:t>
      </w:r>
      <w:r w:rsidR="00DC64C9">
        <w:rPr>
          <w:rFonts w:ascii="Times New Roman" w:hAnsi="Times New Roman" w:cs="Times New Roman"/>
          <w:sz w:val="24"/>
          <w:szCs w:val="24"/>
        </w:rPr>
        <w:t>pears the Sheriff issued what he</w:t>
      </w:r>
      <w:r w:rsidR="00E40902">
        <w:rPr>
          <w:rFonts w:ascii="Times New Roman" w:hAnsi="Times New Roman" w:cs="Times New Roman"/>
          <w:sz w:val="24"/>
          <w:szCs w:val="24"/>
        </w:rPr>
        <w:tab/>
      </w:r>
      <w:r>
        <w:rPr>
          <w:rFonts w:ascii="Times New Roman" w:hAnsi="Times New Roman" w:cs="Times New Roman"/>
          <w:sz w:val="24"/>
          <w:szCs w:val="24"/>
        </w:rPr>
        <w:t xml:space="preserve"> titled </w:t>
      </w:r>
      <w:r w:rsidR="00B76FA6">
        <w:rPr>
          <w:rFonts w:ascii="Times New Roman" w:hAnsi="Times New Roman" w:cs="Times New Roman"/>
          <w:sz w:val="24"/>
          <w:szCs w:val="24"/>
        </w:rPr>
        <w:t>‘</w:t>
      </w:r>
      <w:r>
        <w:rPr>
          <w:rFonts w:ascii="Times New Roman" w:hAnsi="Times New Roman" w:cs="Times New Roman"/>
          <w:sz w:val="24"/>
          <w:szCs w:val="24"/>
        </w:rPr>
        <w:t>Amended Confirmation letter</w:t>
      </w:r>
      <w:r w:rsidR="00B76FA6">
        <w:rPr>
          <w:rFonts w:ascii="Times New Roman" w:hAnsi="Times New Roman" w:cs="Times New Roman"/>
          <w:sz w:val="24"/>
          <w:szCs w:val="24"/>
        </w:rPr>
        <w:t>’</w:t>
      </w:r>
      <w:r>
        <w:rPr>
          <w:rFonts w:ascii="Times New Roman" w:hAnsi="Times New Roman" w:cs="Times New Roman"/>
          <w:sz w:val="24"/>
          <w:szCs w:val="24"/>
        </w:rPr>
        <w:t xml:space="preserve"> dated 31 May 2020. T</w:t>
      </w:r>
      <w:r w:rsidR="0056766B">
        <w:rPr>
          <w:rFonts w:ascii="Times New Roman" w:hAnsi="Times New Roman" w:cs="Times New Roman"/>
          <w:sz w:val="24"/>
          <w:szCs w:val="24"/>
        </w:rPr>
        <w:t>he only amendment being a</w:t>
      </w:r>
      <w:r>
        <w:rPr>
          <w:rFonts w:ascii="Times New Roman" w:hAnsi="Times New Roman" w:cs="Times New Roman"/>
          <w:sz w:val="24"/>
          <w:szCs w:val="24"/>
        </w:rPr>
        <w:t xml:space="preserve"> reference to the purchaser as Summergate Investment (Pvt) Limited represented by Mr Patel the highest bidder.</w:t>
      </w:r>
      <w:r w:rsidR="00714562" w:rsidRPr="0056766B">
        <w:rPr>
          <w:rFonts w:ascii="Times New Roman" w:hAnsi="Times New Roman" w:cs="Times New Roman"/>
          <w:sz w:val="24"/>
          <w:szCs w:val="24"/>
        </w:rPr>
        <w:t xml:space="preserve"> </w:t>
      </w:r>
      <w:r w:rsidR="0018296E" w:rsidRPr="0056766B">
        <w:rPr>
          <w:rFonts w:ascii="Times New Roman" w:hAnsi="Times New Roman" w:cs="Times New Roman"/>
          <w:sz w:val="24"/>
          <w:szCs w:val="24"/>
        </w:rPr>
        <w:t xml:space="preserve">An agreement of sale was entered into between the Sheriff as the respondent’s representative and the applicant dated 21 June </w:t>
      </w:r>
      <w:r w:rsidR="00764D65" w:rsidRPr="0056766B">
        <w:rPr>
          <w:rFonts w:ascii="Times New Roman" w:hAnsi="Times New Roman" w:cs="Times New Roman"/>
          <w:sz w:val="24"/>
          <w:szCs w:val="24"/>
        </w:rPr>
        <w:t xml:space="preserve">2018 </w:t>
      </w:r>
      <w:r w:rsidR="0018296E" w:rsidRPr="0056766B">
        <w:rPr>
          <w:rFonts w:ascii="Times New Roman" w:hAnsi="Times New Roman" w:cs="Times New Roman"/>
          <w:sz w:val="24"/>
          <w:szCs w:val="24"/>
        </w:rPr>
        <w:t>in respect of the property</w:t>
      </w:r>
      <w:r w:rsidR="006A12FC" w:rsidRPr="0056766B">
        <w:rPr>
          <w:rFonts w:ascii="Times New Roman" w:hAnsi="Times New Roman" w:cs="Times New Roman"/>
          <w:sz w:val="24"/>
          <w:szCs w:val="24"/>
        </w:rPr>
        <w:t>.</w:t>
      </w:r>
      <w:r w:rsidR="00E61F63" w:rsidRPr="0056766B">
        <w:rPr>
          <w:rFonts w:ascii="Times New Roman" w:hAnsi="Times New Roman" w:cs="Times New Roman"/>
          <w:sz w:val="24"/>
          <w:szCs w:val="24"/>
        </w:rPr>
        <w:t xml:space="preserve"> The</w:t>
      </w:r>
      <w:r w:rsidR="00C83A5F" w:rsidRPr="0056766B">
        <w:rPr>
          <w:rFonts w:ascii="Times New Roman" w:hAnsi="Times New Roman" w:cs="Times New Roman"/>
          <w:sz w:val="24"/>
          <w:szCs w:val="24"/>
        </w:rPr>
        <w:t xml:space="preserve"> deposit was paid </w:t>
      </w:r>
      <w:r w:rsidR="00E61F63" w:rsidRPr="0056766B">
        <w:rPr>
          <w:rFonts w:ascii="Times New Roman" w:hAnsi="Times New Roman" w:cs="Times New Roman"/>
          <w:sz w:val="24"/>
          <w:szCs w:val="24"/>
        </w:rPr>
        <w:t xml:space="preserve">to the sheriff’s account </w:t>
      </w:r>
      <w:r w:rsidR="00D76E18">
        <w:rPr>
          <w:rFonts w:ascii="Times New Roman" w:hAnsi="Times New Roman" w:cs="Times New Roman"/>
          <w:sz w:val="24"/>
          <w:szCs w:val="24"/>
        </w:rPr>
        <w:t xml:space="preserve">as per the agreement through </w:t>
      </w:r>
      <w:r w:rsidR="00E61F63" w:rsidRPr="0056766B">
        <w:rPr>
          <w:rFonts w:ascii="Times New Roman" w:hAnsi="Times New Roman" w:cs="Times New Roman"/>
          <w:sz w:val="24"/>
          <w:szCs w:val="24"/>
        </w:rPr>
        <w:t>Toppers Uniforms a company owned by Mr Patel.</w:t>
      </w:r>
    </w:p>
    <w:p w:rsidR="001C362F" w:rsidRPr="00CE38A4" w:rsidRDefault="00C83A5F" w:rsidP="001D2459">
      <w:pPr>
        <w:ind w:firstLine="720"/>
        <w:jc w:val="both"/>
        <w:rPr>
          <w:rFonts w:ascii="Times New Roman" w:hAnsi="Times New Roman" w:cs="Times New Roman"/>
          <w:sz w:val="24"/>
          <w:szCs w:val="24"/>
        </w:rPr>
      </w:pPr>
      <w:r w:rsidRPr="00CE38A4">
        <w:rPr>
          <w:rFonts w:ascii="Times New Roman" w:hAnsi="Times New Roman" w:cs="Times New Roman"/>
          <w:sz w:val="24"/>
          <w:szCs w:val="24"/>
        </w:rPr>
        <w:t>It appears all this while</w:t>
      </w:r>
      <w:r w:rsidR="00CE38A4">
        <w:rPr>
          <w:rFonts w:ascii="Times New Roman" w:hAnsi="Times New Roman" w:cs="Times New Roman"/>
          <w:sz w:val="24"/>
          <w:szCs w:val="24"/>
        </w:rPr>
        <w:t>,</w:t>
      </w:r>
      <w:r w:rsidRPr="00CE38A4">
        <w:rPr>
          <w:rFonts w:ascii="Times New Roman" w:hAnsi="Times New Roman" w:cs="Times New Roman"/>
          <w:sz w:val="24"/>
          <w:szCs w:val="24"/>
        </w:rPr>
        <w:t xml:space="preserve"> the respondent remained dissatisfied with the Sheriff’s </w:t>
      </w:r>
      <w:r w:rsidR="00EC4341">
        <w:rPr>
          <w:rFonts w:ascii="Times New Roman" w:hAnsi="Times New Roman" w:cs="Times New Roman"/>
          <w:sz w:val="24"/>
          <w:szCs w:val="24"/>
        </w:rPr>
        <w:t>ruling. This led to the respondent</w:t>
      </w:r>
      <w:r w:rsidRPr="00CE38A4">
        <w:rPr>
          <w:rFonts w:ascii="Times New Roman" w:hAnsi="Times New Roman" w:cs="Times New Roman"/>
          <w:sz w:val="24"/>
          <w:szCs w:val="24"/>
        </w:rPr>
        <w:t xml:space="preserve"> making an application to this court under case number HC 1664/18 seeking the cancellation of the sale. The application was dismissed on 28 October 2019. </w:t>
      </w:r>
      <w:r w:rsidR="00764D65" w:rsidRPr="00CE38A4">
        <w:rPr>
          <w:rFonts w:ascii="Times New Roman" w:hAnsi="Times New Roman" w:cs="Times New Roman"/>
          <w:sz w:val="24"/>
          <w:szCs w:val="24"/>
        </w:rPr>
        <w:t xml:space="preserve"> The property was subsequently transferred to the applicant through a deed of transfer dated 19 December 2019.</w:t>
      </w:r>
    </w:p>
    <w:p w:rsidR="00E61F63" w:rsidRDefault="00B32F07" w:rsidP="00CE38A4">
      <w:pPr>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D25BA4">
        <w:rPr>
          <w:rFonts w:ascii="Times New Roman" w:hAnsi="Times New Roman" w:cs="Times New Roman"/>
          <w:sz w:val="24"/>
          <w:szCs w:val="24"/>
        </w:rPr>
        <w:t xml:space="preserve"> then</w:t>
      </w:r>
      <w:r>
        <w:rPr>
          <w:rFonts w:ascii="Times New Roman" w:hAnsi="Times New Roman" w:cs="Times New Roman"/>
          <w:sz w:val="24"/>
          <w:szCs w:val="24"/>
        </w:rPr>
        <w:t xml:space="preserve"> </w:t>
      </w:r>
      <w:r w:rsidR="00C83A5F">
        <w:rPr>
          <w:rFonts w:ascii="Times New Roman" w:hAnsi="Times New Roman" w:cs="Times New Roman"/>
          <w:sz w:val="24"/>
          <w:szCs w:val="24"/>
        </w:rPr>
        <w:t>proceeded to issue</w:t>
      </w:r>
      <w:r>
        <w:rPr>
          <w:rFonts w:ascii="Times New Roman" w:hAnsi="Times New Roman" w:cs="Times New Roman"/>
          <w:sz w:val="24"/>
          <w:szCs w:val="24"/>
        </w:rPr>
        <w:t xml:space="preserve"> summons f</w:t>
      </w:r>
      <w:r w:rsidR="00D25BA4">
        <w:rPr>
          <w:rFonts w:ascii="Times New Roman" w:hAnsi="Times New Roman" w:cs="Times New Roman"/>
          <w:sz w:val="24"/>
          <w:szCs w:val="24"/>
        </w:rPr>
        <w:t>or the eviction of the respondent</w:t>
      </w:r>
      <w:r>
        <w:rPr>
          <w:rFonts w:ascii="Times New Roman" w:hAnsi="Times New Roman" w:cs="Times New Roman"/>
          <w:sz w:val="24"/>
          <w:szCs w:val="24"/>
        </w:rPr>
        <w:t xml:space="preserve"> and all those claiming through her </w:t>
      </w:r>
      <w:r w:rsidR="00D25BA4">
        <w:rPr>
          <w:rFonts w:ascii="Times New Roman" w:hAnsi="Times New Roman" w:cs="Times New Roman"/>
          <w:sz w:val="24"/>
          <w:szCs w:val="24"/>
        </w:rPr>
        <w:t>any rights in the</w:t>
      </w:r>
      <w:r>
        <w:rPr>
          <w:rFonts w:ascii="Times New Roman" w:hAnsi="Times New Roman" w:cs="Times New Roman"/>
          <w:sz w:val="24"/>
          <w:szCs w:val="24"/>
        </w:rPr>
        <w:t xml:space="preserve"> </w:t>
      </w:r>
      <w:r w:rsidR="00D25BA4">
        <w:rPr>
          <w:rFonts w:ascii="Times New Roman" w:hAnsi="Times New Roman" w:cs="Times New Roman"/>
          <w:sz w:val="24"/>
          <w:szCs w:val="24"/>
        </w:rPr>
        <w:t>property. S</w:t>
      </w:r>
      <w:r>
        <w:rPr>
          <w:rFonts w:ascii="Times New Roman" w:hAnsi="Times New Roman" w:cs="Times New Roman"/>
          <w:sz w:val="24"/>
          <w:szCs w:val="24"/>
        </w:rPr>
        <w:t>ummons</w:t>
      </w:r>
      <w:r w:rsidR="00D25BA4">
        <w:rPr>
          <w:rFonts w:ascii="Times New Roman" w:hAnsi="Times New Roman" w:cs="Times New Roman"/>
          <w:sz w:val="24"/>
          <w:szCs w:val="24"/>
        </w:rPr>
        <w:t xml:space="preserve"> was</w:t>
      </w:r>
      <w:r>
        <w:rPr>
          <w:rFonts w:ascii="Times New Roman" w:hAnsi="Times New Roman" w:cs="Times New Roman"/>
          <w:sz w:val="24"/>
          <w:szCs w:val="24"/>
        </w:rPr>
        <w:t xml:space="preserve"> served on the defendant on 17 January 2020. On 22 January the respondent filed an appearance to de</w:t>
      </w:r>
      <w:r w:rsidR="00E61F63">
        <w:rPr>
          <w:rFonts w:ascii="Times New Roman" w:hAnsi="Times New Roman" w:cs="Times New Roman"/>
          <w:sz w:val="24"/>
          <w:szCs w:val="24"/>
        </w:rPr>
        <w:t>fend.</w:t>
      </w:r>
      <w:r w:rsidR="00C83A5F">
        <w:rPr>
          <w:rFonts w:ascii="Times New Roman" w:hAnsi="Times New Roman" w:cs="Times New Roman"/>
          <w:sz w:val="24"/>
          <w:szCs w:val="24"/>
        </w:rPr>
        <w:t xml:space="preserve"> The applicant takes the view that</w:t>
      </w:r>
      <w:r w:rsidR="009B2864">
        <w:rPr>
          <w:rFonts w:ascii="Times New Roman" w:hAnsi="Times New Roman" w:cs="Times New Roman"/>
          <w:sz w:val="24"/>
          <w:szCs w:val="24"/>
        </w:rPr>
        <w:t xml:space="preserve"> with the subsequent </w:t>
      </w:r>
      <w:r w:rsidR="001F67A4">
        <w:rPr>
          <w:rFonts w:ascii="Times New Roman" w:hAnsi="Times New Roman" w:cs="Times New Roman"/>
          <w:sz w:val="24"/>
          <w:szCs w:val="24"/>
        </w:rPr>
        <w:t xml:space="preserve">sale </w:t>
      </w:r>
      <w:r w:rsidR="009B2864">
        <w:rPr>
          <w:rFonts w:ascii="Times New Roman" w:hAnsi="Times New Roman" w:cs="Times New Roman"/>
          <w:sz w:val="24"/>
          <w:szCs w:val="24"/>
        </w:rPr>
        <w:t>of</w:t>
      </w:r>
      <w:r w:rsidR="00C83A5F">
        <w:rPr>
          <w:rFonts w:ascii="Times New Roman" w:hAnsi="Times New Roman" w:cs="Times New Roman"/>
          <w:sz w:val="24"/>
          <w:szCs w:val="24"/>
        </w:rPr>
        <w:t xml:space="preserve"> the property, the respondent is neither the owner of the house nor the applicant’s tenant</w:t>
      </w:r>
      <w:r w:rsidR="00AB6A05">
        <w:rPr>
          <w:rFonts w:ascii="Times New Roman" w:hAnsi="Times New Roman" w:cs="Times New Roman"/>
          <w:sz w:val="24"/>
          <w:szCs w:val="24"/>
        </w:rPr>
        <w:t>. That the respond</w:t>
      </w:r>
      <w:r w:rsidR="005F4A95">
        <w:rPr>
          <w:rFonts w:ascii="Times New Roman" w:hAnsi="Times New Roman" w:cs="Times New Roman"/>
          <w:sz w:val="24"/>
          <w:szCs w:val="24"/>
        </w:rPr>
        <w:t>ent has no claim to the propert</w:t>
      </w:r>
      <w:r w:rsidR="00926222">
        <w:rPr>
          <w:rFonts w:ascii="Times New Roman" w:hAnsi="Times New Roman" w:cs="Times New Roman"/>
          <w:sz w:val="24"/>
          <w:szCs w:val="24"/>
        </w:rPr>
        <w:t>y</w:t>
      </w:r>
      <w:r w:rsidR="00AB6A05">
        <w:rPr>
          <w:rFonts w:ascii="Times New Roman" w:hAnsi="Times New Roman" w:cs="Times New Roman"/>
          <w:sz w:val="24"/>
          <w:szCs w:val="24"/>
        </w:rPr>
        <w:t xml:space="preserve"> that in fact now belongs to the applicant and should therefore vacate the property for the applicant’s benefit. It is further the applicant’s view that the respondent has no </w:t>
      </w:r>
      <w:r w:rsidR="00AB6A05" w:rsidRPr="00D25BA4">
        <w:rPr>
          <w:rFonts w:ascii="Times New Roman" w:hAnsi="Times New Roman" w:cs="Times New Roman"/>
          <w:i/>
          <w:sz w:val="24"/>
          <w:szCs w:val="24"/>
        </w:rPr>
        <w:t xml:space="preserve">bona </w:t>
      </w:r>
      <w:r w:rsidR="00AB6A05">
        <w:rPr>
          <w:rFonts w:ascii="Times New Roman" w:hAnsi="Times New Roman" w:cs="Times New Roman"/>
          <w:sz w:val="24"/>
          <w:szCs w:val="24"/>
        </w:rPr>
        <w:t xml:space="preserve">fide defence to the applicant’s claim and is therefore resisting the application out of malice. The respondent is of the view that it is well within its rights in mounting a defence to the application. Respondent argues that applicant was only incorporated after the sale had been concluded, that </w:t>
      </w:r>
      <w:r w:rsidR="00A54BF5">
        <w:rPr>
          <w:rFonts w:ascii="Times New Roman" w:hAnsi="Times New Roman" w:cs="Times New Roman"/>
          <w:sz w:val="24"/>
          <w:szCs w:val="24"/>
        </w:rPr>
        <w:t>the applicant was not the purchaser of the property at auction. Respondent alleges fraud perpetuated by the sheriff and applicant in cahoots.</w:t>
      </w:r>
    </w:p>
    <w:p w:rsidR="00A54BF5" w:rsidRDefault="003626BF" w:rsidP="0092622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for determination is therefore whether a former owner of a property that was sold in execution is entitled to resist eviction by way of </w:t>
      </w:r>
      <w:r w:rsidRPr="003626BF">
        <w:rPr>
          <w:rFonts w:ascii="Times New Roman" w:hAnsi="Times New Roman" w:cs="Times New Roman"/>
          <w:i/>
          <w:sz w:val="24"/>
          <w:szCs w:val="24"/>
        </w:rPr>
        <w:t xml:space="preserve">rei </w:t>
      </w:r>
      <w:r>
        <w:rPr>
          <w:rFonts w:ascii="Times New Roman" w:hAnsi="Times New Roman" w:cs="Times New Roman"/>
          <w:i/>
          <w:sz w:val="24"/>
          <w:szCs w:val="24"/>
        </w:rPr>
        <w:t xml:space="preserve">vindicatio </w:t>
      </w:r>
      <w:r>
        <w:rPr>
          <w:rFonts w:ascii="Times New Roman" w:hAnsi="Times New Roman" w:cs="Times New Roman"/>
          <w:sz w:val="24"/>
          <w:szCs w:val="24"/>
        </w:rPr>
        <w:t>o</w:t>
      </w:r>
      <w:r w:rsidR="007968F0">
        <w:rPr>
          <w:rFonts w:ascii="Times New Roman" w:hAnsi="Times New Roman" w:cs="Times New Roman"/>
          <w:sz w:val="24"/>
          <w:szCs w:val="24"/>
        </w:rPr>
        <w:t xml:space="preserve">n the basis of an </w:t>
      </w:r>
      <w:r w:rsidR="007968F0">
        <w:rPr>
          <w:rFonts w:ascii="Times New Roman" w:hAnsi="Times New Roman" w:cs="Times New Roman"/>
          <w:sz w:val="24"/>
          <w:szCs w:val="24"/>
        </w:rPr>
        <w:lastRenderedPageBreak/>
        <w:t>allegation  that the property  purchased at an auction was transferred to a third party by the purchaser of such property.</w:t>
      </w:r>
    </w:p>
    <w:p w:rsidR="009B4EBC" w:rsidRPr="00DF4657" w:rsidRDefault="00B04F4B" w:rsidP="00AB4D06">
      <w:pPr>
        <w:jc w:val="both"/>
        <w:rPr>
          <w:rFonts w:ascii="Times New Roman" w:hAnsi="Times New Roman" w:cs="Times New Roman"/>
          <w:b/>
          <w:sz w:val="24"/>
          <w:szCs w:val="24"/>
        </w:rPr>
      </w:pPr>
      <w:r w:rsidRPr="00DF4657">
        <w:rPr>
          <w:rFonts w:ascii="Times New Roman" w:hAnsi="Times New Roman" w:cs="Times New Roman"/>
          <w:b/>
          <w:sz w:val="24"/>
          <w:szCs w:val="24"/>
        </w:rPr>
        <w:t>The Law</w:t>
      </w:r>
    </w:p>
    <w:p w:rsidR="00784BA1" w:rsidRPr="00AB4D06" w:rsidRDefault="00784BA1" w:rsidP="00926222">
      <w:pPr>
        <w:ind w:firstLine="720"/>
        <w:jc w:val="both"/>
        <w:rPr>
          <w:rFonts w:ascii="Times New Roman" w:hAnsi="Times New Roman" w:cs="Times New Roman"/>
          <w:sz w:val="24"/>
          <w:szCs w:val="24"/>
        </w:rPr>
      </w:pPr>
      <w:r>
        <w:rPr>
          <w:rFonts w:ascii="Times New Roman" w:hAnsi="Times New Roman" w:cs="Times New Roman"/>
          <w:sz w:val="24"/>
          <w:szCs w:val="24"/>
        </w:rPr>
        <w:t>The la</w:t>
      </w:r>
      <w:r w:rsidR="00DF4657">
        <w:rPr>
          <w:rFonts w:ascii="Times New Roman" w:hAnsi="Times New Roman" w:cs="Times New Roman"/>
          <w:sz w:val="24"/>
          <w:szCs w:val="24"/>
        </w:rPr>
        <w:t>w in regard to summary judgment</w:t>
      </w:r>
      <w:r>
        <w:rPr>
          <w:rFonts w:ascii="Times New Roman" w:hAnsi="Times New Roman" w:cs="Times New Roman"/>
          <w:sz w:val="24"/>
          <w:szCs w:val="24"/>
        </w:rPr>
        <w:t xml:space="preserve"> is well settled, and the requirements to be met by the applicant and the respondent respectively have been crystallised through case law.</w:t>
      </w:r>
    </w:p>
    <w:p w:rsidR="00AB4D06" w:rsidRPr="00AB4D06" w:rsidRDefault="009B4EBC" w:rsidP="00926222">
      <w:pPr>
        <w:ind w:firstLine="720"/>
        <w:jc w:val="both"/>
        <w:rPr>
          <w:rFonts w:ascii="Times New Roman" w:hAnsi="Times New Roman" w:cs="Times New Roman"/>
          <w:sz w:val="24"/>
          <w:szCs w:val="24"/>
        </w:rPr>
      </w:pPr>
      <w:r>
        <w:rPr>
          <w:rFonts w:ascii="Times New Roman" w:hAnsi="Times New Roman" w:cs="Times New Roman"/>
          <w:sz w:val="24"/>
          <w:szCs w:val="24"/>
        </w:rPr>
        <w:t>What the applicant has to establish in an a</w:t>
      </w:r>
      <w:r w:rsidR="002E5187">
        <w:rPr>
          <w:rFonts w:ascii="Times New Roman" w:hAnsi="Times New Roman" w:cs="Times New Roman"/>
          <w:sz w:val="24"/>
          <w:szCs w:val="24"/>
        </w:rPr>
        <w:t>pplication for summary judgment</w:t>
      </w:r>
      <w:r w:rsidR="00784BA1">
        <w:rPr>
          <w:rFonts w:ascii="Times New Roman" w:hAnsi="Times New Roman" w:cs="Times New Roman"/>
          <w:sz w:val="24"/>
          <w:szCs w:val="24"/>
        </w:rPr>
        <w:t xml:space="preserve"> was captured by the court i</w:t>
      </w:r>
      <w:r w:rsidR="00AB4D06" w:rsidRPr="00AB4D06">
        <w:rPr>
          <w:rFonts w:ascii="Times New Roman" w:hAnsi="Times New Roman" w:cs="Times New Roman"/>
          <w:sz w:val="24"/>
          <w:szCs w:val="24"/>
        </w:rPr>
        <w:t xml:space="preserve">n </w:t>
      </w:r>
      <w:r w:rsidR="00AB4D06" w:rsidRPr="00784BA1">
        <w:rPr>
          <w:rFonts w:ascii="Times New Roman" w:hAnsi="Times New Roman" w:cs="Times New Roman"/>
          <w:i/>
          <w:sz w:val="24"/>
          <w:szCs w:val="24"/>
        </w:rPr>
        <w:t>Majoni v Ministry of Local Government And National Housing</w:t>
      </w:r>
      <w:r w:rsidR="00AB4D06" w:rsidRPr="00AB4D06">
        <w:rPr>
          <w:rFonts w:ascii="Times New Roman" w:hAnsi="Times New Roman" w:cs="Times New Roman"/>
          <w:sz w:val="24"/>
          <w:szCs w:val="24"/>
        </w:rPr>
        <w:t xml:space="preserve"> 2001 (1) ZLR 148 (S), the Court stated that;</w:t>
      </w:r>
    </w:p>
    <w:p w:rsidR="00AB4D06" w:rsidRDefault="00AB4D06" w:rsidP="009B4EBC">
      <w:pPr>
        <w:ind w:left="720"/>
        <w:jc w:val="both"/>
        <w:rPr>
          <w:rFonts w:ascii="Times New Roman" w:hAnsi="Times New Roman" w:cs="Times New Roman"/>
          <w:sz w:val="24"/>
          <w:szCs w:val="24"/>
        </w:rPr>
      </w:pPr>
      <w:r w:rsidRPr="002E5187">
        <w:rPr>
          <w:rFonts w:ascii="Times New Roman" w:hAnsi="Times New Roman" w:cs="Times New Roman"/>
          <w:i/>
          <w:sz w:val="24"/>
          <w:szCs w:val="24"/>
        </w:rPr>
        <w:t>“The principles applicable in a summary judgment application have been well documented.  The quintessence of this drastic remedy is that the plaintiff whose</w:t>
      </w:r>
      <w:r w:rsidRPr="00AB4D06">
        <w:rPr>
          <w:rFonts w:ascii="Times New Roman" w:hAnsi="Times New Roman" w:cs="Times New Roman"/>
          <w:sz w:val="24"/>
          <w:szCs w:val="24"/>
        </w:rPr>
        <w:t xml:space="preserve"> </w:t>
      </w:r>
      <w:r w:rsidRPr="002E5187">
        <w:rPr>
          <w:rFonts w:ascii="Times New Roman" w:hAnsi="Times New Roman" w:cs="Times New Roman"/>
          <w:i/>
          <w:sz w:val="24"/>
          <w:szCs w:val="24"/>
        </w:rPr>
        <w:t>belief it is that the defence is not bona fide and entered solely for dilatory purposes should</w:t>
      </w:r>
      <w:r w:rsidRPr="00AB4D06">
        <w:rPr>
          <w:rFonts w:ascii="Times New Roman" w:hAnsi="Times New Roman" w:cs="Times New Roman"/>
          <w:sz w:val="24"/>
          <w:szCs w:val="24"/>
        </w:rPr>
        <w:t xml:space="preserve"> </w:t>
      </w:r>
      <w:r w:rsidRPr="002E5187">
        <w:rPr>
          <w:rFonts w:ascii="Times New Roman" w:hAnsi="Times New Roman" w:cs="Times New Roman"/>
          <w:i/>
          <w:sz w:val="24"/>
          <w:szCs w:val="24"/>
        </w:rPr>
        <w:t xml:space="preserve">be granted immediate relief without the expenses and delay of trial …” </w:t>
      </w:r>
    </w:p>
    <w:p w:rsidR="009B4EBC" w:rsidRDefault="009A6897" w:rsidP="0092622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in </w:t>
      </w:r>
      <w:r w:rsidRPr="009A6897">
        <w:rPr>
          <w:rFonts w:ascii="Times New Roman" w:hAnsi="Times New Roman" w:cs="Times New Roman"/>
          <w:i/>
          <w:sz w:val="24"/>
          <w:szCs w:val="24"/>
        </w:rPr>
        <w:t>Mbundire &amp; Anor v Dalso Properties (Pvt) Ltd &amp; Others</w:t>
      </w:r>
      <w:r w:rsidR="002E5187">
        <w:rPr>
          <w:rFonts w:ascii="Times New Roman" w:hAnsi="Times New Roman" w:cs="Times New Roman"/>
          <w:sz w:val="24"/>
          <w:szCs w:val="24"/>
        </w:rPr>
        <w:t xml:space="preserve"> [2017] ZWHHC 15 held</w:t>
      </w:r>
      <w:r>
        <w:rPr>
          <w:rFonts w:ascii="Times New Roman" w:hAnsi="Times New Roman" w:cs="Times New Roman"/>
          <w:sz w:val="24"/>
          <w:szCs w:val="24"/>
        </w:rPr>
        <w:t xml:space="preserve"> that s</w:t>
      </w:r>
      <w:r w:rsidR="00784BA1" w:rsidRPr="00784BA1">
        <w:rPr>
          <w:rFonts w:ascii="Times New Roman" w:hAnsi="Times New Roman" w:cs="Times New Roman"/>
          <w:sz w:val="24"/>
          <w:szCs w:val="24"/>
        </w:rPr>
        <w:t>umm</w:t>
      </w:r>
      <w:r w:rsidR="002E5187">
        <w:rPr>
          <w:rFonts w:ascii="Times New Roman" w:hAnsi="Times New Roman" w:cs="Times New Roman"/>
          <w:sz w:val="24"/>
          <w:szCs w:val="24"/>
        </w:rPr>
        <w:t>ary judgment may be granted where</w:t>
      </w:r>
      <w:r w:rsidR="00784BA1" w:rsidRPr="00784BA1">
        <w:rPr>
          <w:rFonts w:ascii="Times New Roman" w:hAnsi="Times New Roman" w:cs="Times New Roman"/>
          <w:sz w:val="24"/>
          <w:szCs w:val="24"/>
        </w:rPr>
        <w:t xml:space="preserve"> the plaintiff proves that it has a clear and unassailable case against the defendant and that the defence raised, if any, is without substance in law and in fact.</w:t>
      </w:r>
    </w:p>
    <w:p w:rsidR="00AB4D06" w:rsidRDefault="00B04F4B" w:rsidP="00E74869">
      <w:pPr>
        <w:ind w:firstLine="720"/>
        <w:jc w:val="both"/>
        <w:rPr>
          <w:rFonts w:ascii="Times New Roman" w:hAnsi="Times New Roman" w:cs="Times New Roman"/>
          <w:sz w:val="24"/>
          <w:szCs w:val="24"/>
        </w:rPr>
      </w:pPr>
      <w:r>
        <w:rPr>
          <w:rFonts w:ascii="Times New Roman" w:hAnsi="Times New Roman" w:cs="Times New Roman"/>
          <w:sz w:val="24"/>
          <w:szCs w:val="24"/>
        </w:rPr>
        <w:t>On the other hand what the respondent</w:t>
      </w:r>
      <w:r w:rsidR="00E74869">
        <w:rPr>
          <w:rFonts w:ascii="Times New Roman" w:hAnsi="Times New Roman" w:cs="Times New Roman"/>
          <w:sz w:val="24"/>
          <w:szCs w:val="24"/>
        </w:rPr>
        <w:t xml:space="preserve"> is called to establish</w:t>
      </w:r>
      <w:r w:rsidR="00F95DD1">
        <w:rPr>
          <w:rFonts w:ascii="Times New Roman" w:hAnsi="Times New Roman" w:cs="Times New Roman"/>
          <w:sz w:val="24"/>
          <w:szCs w:val="24"/>
        </w:rPr>
        <w:t xml:space="preserve"> was enunciated</w:t>
      </w:r>
      <w:r w:rsidR="009A6897">
        <w:rPr>
          <w:rFonts w:ascii="Times New Roman" w:hAnsi="Times New Roman" w:cs="Times New Roman"/>
          <w:sz w:val="24"/>
          <w:szCs w:val="24"/>
        </w:rPr>
        <w:t xml:space="preserve"> by the court in </w:t>
      </w:r>
      <w:r w:rsidR="009A6897" w:rsidRPr="009A6897">
        <w:rPr>
          <w:rFonts w:ascii="Times New Roman" w:hAnsi="Times New Roman" w:cs="Times New Roman"/>
          <w:i/>
          <w:sz w:val="24"/>
          <w:szCs w:val="24"/>
        </w:rPr>
        <w:t>African Banking Corporation of Zimbabwe Limited v Magurira</w:t>
      </w:r>
      <w:r w:rsidR="0081394D">
        <w:rPr>
          <w:rFonts w:ascii="Times New Roman" w:hAnsi="Times New Roman" w:cs="Times New Roman"/>
          <w:sz w:val="24"/>
          <w:szCs w:val="24"/>
        </w:rPr>
        <w:t xml:space="preserve"> </w:t>
      </w:r>
      <w:r w:rsidR="009A6897" w:rsidRPr="009A6897">
        <w:rPr>
          <w:rFonts w:ascii="Times New Roman" w:hAnsi="Times New Roman" w:cs="Times New Roman"/>
          <w:sz w:val="24"/>
          <w:szCs w:val="24"/>
        </w:rPr>
        <w:t>HH 451-19, HC 10958/18 Ref Case HC 8591/18) [2019] ZWHHC 451</w:t>
      </w:r>
      <w:r w:rsidR="009A6897">
        <w:rPr>
          <w:rFonts w:ascii="Times New Roman" w:hAnsi="Times New Roman" w:cs="Times New Roman"/>
          <w:sz w:val="24"/>
          <w:szCs w:val="24"/>
        </w:rPr>
        <w:t xml:space="preserve"> where it was stated that:</w:t>
      </w:r>
    </w:p>
    <w:p w:rsidR="00B04F4B" w:rsidRPr="00AB4D06" w:rsidRDefault="00B04F4B" w:rsidP="00B04F4B">
      <w:pPr>
        <w:ind w:left="720"/>
        <w:jc w:val="both"/>
        <w:rPr>
          <w:rFonts w:ascii="Times New Roman" w:hAnsi="Times New Roman" w:cs="Times New Roman"/>
          <w:sz w:val="24"/>
          <w:szCs w:val="24"/>
        </w:rPr>
      </w:pPr>
      <w:r>
        <w:rPr>
          <w:rFonts w:ascii="Times New Roman" w:hAnsi="Times New Roman" w:cs="Times New Roman"/>
          <w:sz w:val="24"/>
          <w:szCs w:val="24"/>
        </w:rPr>
        <w:t>“</w:t>
      </w:r>
      <w:r w:rsidRPr="00B04F4B">
        <w:rPr>
          <w:rFonts w:ascii="Times New Roman" w:hAnsi="Times New Roman" w:cs="Times New Roman"/>
          <w:sz w:val="24"/>
          <w:szCs w:val="24"/>
        </w:rPr>
        <w:t xml:space="preserve">In order to successfully resist an application for summary judgment a respondent in his opposing affidavit would be required to fully disclose the nature and grounds of his defence as well as the material facts on which it is based in a way that would satisfy the court that he has good </w:t>
      </w:r>
      <w:r w:rsidRPr="001F67A4">
        <w:rPr>
          <w:rFonts w:ascii="Times New Roman" w:hAnsi="Times New Roman" w:cs="Times New Roman"/>
          <w:i/>
          <w:sz w:val="24"/>
          <w:szCs w:val="24"/>
        </w:rPr>
        <w:t>prima facie</w:t>
      </w:r>
      <w:r w:rsidRPr="00B04F4B">
        <w:rPr>
          <w:rFonts w:ascii="Times New Roman" w:hAnsi="Times New Roman" w:cs="Times New Roman"/>
          <w:sz w:val="24"/>
          <w:szCs w:val="24"/>
        </w:rPr>
        <w:t xml:space="preserve"> defence to the action; see De Villiers v Human and Another [2016] ZAECGHC 85. However, not every defence raised by a respondent will succeed in defeating an applicant’s claim. See</w:t>
      </w:r>
      <w:r w:rsidR="00FA2ABE">
        <w:rPr>
          <w:rFonts w:ascii="Times New Roman" w:hAnsi="Times New Roman" w:cs="Times New Roman"/>
          <w:sz w:val="24"/>
          <w:szCs w:val="24"/>
        </w:rPr>
        <w:t>;</w:t>
      </w:r>
      <w:r w:rsidR="008F309F">
        <w:rPr>
          <w:rFonts w:ascii="Times New Roman" w:hAnsi="Times New Roman" w:cs="Times New Roman"/>
          <w:sz w:val="24"/>
          <w:szCs w:val="24"/>
        </w:rPr>
        <w:t xml:space="preserve"> </w:t>
      </w:r>
      <w:r w:rsidRPr="00FA2ABE">
        <w:rPr>
          <w:rFonts w:ascii="Times New Roman" w:hAnsi="Times New Roman" w:cs="Times New Roman"/>
          <w:i/>
          <w:sz w:val="24"/>
          <w:szCs w:val="24"/>
        </w:rPr>
        <w:t>Bulawayo City</w:t>
      </w:r>
      <w:r w:rsidRPr="00B04F4B">
        <w:rPr>
          <w:rFonts w:ascii="Times New Roman" w:hAnsi="Times New Roman" w:cs="Times New Roman"/>
          <w:sz w:val="24"/>
          <w:szCs w:val="24"/>
        </w:rPr>
        <w:t xml:space="preserve"> </w:t>
      </w:r>
      <w:r w:rsidRPr="00FA2ABE">
        <w:rPr>
          <w:rFonts w:ascii="Times New Roman" w:hAnsi="Times New Roman" w:cs="Times New Roman"/>
          <w:i/>
          <w:sz w:val="24"/>
          <w:szCs w:val="24"/>
        </w:rPr>
        <w:t>Council v</w:t>
      </w:r>
      <w:r w:rsidR="008F309F">
        <w:rPr>
          <w:rFonts w:ascii="Times New Roman" w:hAnsi="Times New Roman" w:cs="Times New Roman"/>
          <w:i/>
          <w:sz w:val="24"/>
          <w:szCs w:val="24"/>
        </w:rPr>
        <w:t xml:space="preserve"> </w:t>
      </w:r>
      <w:r w:rsidRPr="00FA2ABE">
        <w:rPr>
          <w:rFonts w:ascii="Times New Roman" w:hAnsi="Times New Roman" w:cs="Times New Roman"/>
          <w:i/>
          <w:sz w:val="24"/>
          <w:szCs w:val="24"/>
        </w:rPr>
        <w:t xml:space="preserve"> Trishul Properties</w:t>
      </w:r>
      <w:r w:rsidR="00FA2ABE">
        <w:rPr>
          <w:rFonts w:ascii="Times New Roman" w:hAnsi="Times New Roman" w:cs="Times New Roman"/>
          <w:sz w:val="24"/>
          <w:szCs w:val="24"/>
        </w:rPr>
        <w:t xml:space="preserve"> </w:t>
      </w:r>
      <w:r w:rsidRPr="00B04F4B">
        <w:rPr>
          <w:rFonts w:ascii="Times New Roman" w:hAnsi="Times New Roman" w:cs="Times New Roman"/>
          <w:sz w:val="24"/>
          <w:szCs w:val="24"/>
        </w:rPr>
        <w:t>[2015] ZWBHC 04.</w:t>
      </w:r>
    </w:p>
    <w:p w:rsidR="00AB4D06" w:rsidRPr="00AB4D06" w:rsidRDefault="009A6897" w:rsidP="00926222">
      <w:pPr>
        <w:ind w:firstLine="720"/>
        <w:jc w:val="both"/>
        <w:rPr>
          <w:rFonts w:ascii="Times New Roman" w:hAnsi="Times New Roman" w:cs="Times New Roman"/>
          <w:sz w:val="24"/>
          <w:szCs w:val="24"/>
        </w:rPr>
      </w:pPr>
      <w:r>
        <w:rPr>
          <w:rFonts w:ascii="Times New Roman" w:hAnsi="Times New Roman" w:cs="Times New Roman"/>
          <w:sz w:val="24"/>
          <w:szCs w:val="24"/>
        </w:rPr>
        <w:t>The court in</w:t>
      </w:r>
      <w:r w:rsidR="008F309F">
        <w:rPr>
          <w:rFonts w:ascii="Times New Roman" w:hAnsi="Times New Roman" w:cs="Times New Roman"/>
          <w:sz w:val="24"/>
          <w:szCs w:val="24"/>
        </w:rPr>
        <w:t xml:space="preserve">; </w:t>
      </w:r>
      <w:r w:rsidR="00AB4D06" w:rsidRPr="009A6897">
        <w:rPr>
          <w:rFonts w:ascii="Times New Roman" w:hAnsi="Times New Roman" w:cs="Times New Roman"/>
          <w:i/>
          <w:sz w:val="24"/>
          <w:szCs w:val="24"/>
        </w:rPr>
        <w:t>Hales v Daverick Investments (Pvt) Ltd 1998</w:t>
      </w:r>
      <w:r w:rsidR="00AB4D06" w:rsidRPr="00AB4D06">
        <w:rPr>
          <w:rFonts w:ascii="Times New Roman" w:hAnsi="Times New Roman" w:cs="Times New Roman"/>
          <w:sz w:val="24"/>
          <w:szCs w:val="24"/>
        </w:rPr>
        <w:t xml:space="preserve"> (2</w:t>
      </w:r>
      <w:r>
        <w:rPr>
          <w:rFonts w:ascii="Times New Roman" w:hAnsi="Times New Roman" w:cs="Times New Roman"/>
          <w:sz w:val="24"/>
          <w:szCs w:val="24"/>
        </w:rPr>
        <w:t>) ZLR 234 (H), it was held that:</w:t>
      </w:r>
    </w:p>
    <w:p w:rsidR="009A6897" w:rsidRDefault="00AB4D06" w:rsidP="009A6897">
      <w:pPr>
        <w:ind w:left="720"/>
        <w:jc w:val="both"/>
        <w:rPr>
          <w:rFonts w:ascii="Times New Roman" w:hAnsi="Times New Roman" w:cs="Times New Roman"/>
          <w:sz w:val="24"/>
          <w:szCs w:val="24"/>
        </w:rPr>
      </w:pPr>
      <w:r w:rsidRPr="00AB4D06">
        <w:rPr>
          <w:rFonts w:ascii="Times New Roman" w:hAnsi="Times New Roman" w:cs="Times New Roman"/>
          <w:sz w:val="24"/>
          <w:szCs w:val="24"/>
        </w:rPr>
        <w:t>“</w:t>
      </w:r>
      <w:r w:rsidRPr="0042760A">
        <w:rPr>
          <w:rFonts w:ascii="Times New Roman" w:hAnsi="Times New Roman" w:cs="Times New Roman"/>
          <w:i/>
          <w:sz w:val="24"/>
          <w:szCs w:val="24"/>
        </w:rPr>
        <w:t>Where a plaintiff applies for summary judgment against the defendant</w:t>
      </w:r>
      <w:r w:rsidRPr="00AB4D06">
        <w:rPr>
          <w:rFonts w:ascii="Times New Roman" w:hAnsi="Times New Roman" w:cs="Times New Roman"/>
          <w:sz w:val="24"/>
          <w:szCs w:val="24"/>
        </w:rPr>
        <w:t xml:space="preserve"> </w:t>
      </w:r>
      <w:r w:rsidRPr="0042760A">
        <w:rPr>
          <w:rFonts w:ascii="Times New Roman" w:hAnsi="Times New Roman" w:cs="Times New Roman"/>
          <w:i/>
          <w:sz w:val="24"/>
          <w:szCs w:val="24"/>
        </w:rPr>
        <w:t>and the</w:t>
      </w:r>
      <w:r w:rsidRPr="00AB4D06">
        <w:rPr>
          <w:rFonts w:ascii="Times New Roman" w:hAnsi="Times New Roman" w:cs="Times New Roman"/>
          <w:sz w:val="24"/>
          <w:szCs w:val="24"/>
        </w:rPr>
        <w:t xml:space="preserve"> </w:t>
      </w:r>
      <w:r w:rsidRPr="0042760A">
        <w:rPr>
          <w:rFonts w:ascii="Times New Roman" w:hAnsi="Times New Roman" w:cs="Times New Roman"/>
          <w:i/>
          <w:sz w:val="24"/>
          <w:szCs w:val="24"/>
        </w:rPr>
        <w:t>defendant raises a defence, the onus is on the defendant to satisfy the court that he has a good prima facie defence.  He must allege facts which if proved at the trial would entitle him to succeed in his defence at the trial.  He does not have to set out the facts exhaustively but he must set out the material facts upon which he bases his defence with sufficient clarity and in-sufficient detail to allow the court to decide whether, if these facts are proved at the trial, this will constitute a valid defence to the plaintiff’s claim.  It is not sufficient for the defendant to make vague generalizations or to provide bald and sketchy facts</w:t>
      </w:r>
      <w:r w:rsidRPr="00AB4D06">
        <w:rPr>
          <w:rFonts w:ascii="Times New Roman" w:hAnsi="Times New Roman" w:cs="Times New Roman"/>
          <w:sz w:val="24"/>
          <w:szCs w:val="24"/>
        </w:rPr>
        <w:t xml:space="preserve">.” </w:t>
      </w:r>
    </w:p>
    <w:p w:rsidR="00D12B21" w:rsidRDefault="00D12B21" w:rsidP="00926222">
      <w:pPr>
        <w:ind w:firstLine="720"/>
        <w:jc w:val="both"/>
        <w:rPr>
          <w:rFonts w:ascii="Times New Roman" w:hAnsi="Times New Roman" w:cs="Times New Roman"/>
          <w:sz w:val="24"/>
          <w:szCs w:val="24"/>
        </w:rPr>
      </w:pPr>
      <w:r w:rsidRPr="00D12B21">
        <w:rPr>
          <w:rFonts w:ascii="Times New Roman" w:hAnsi="Times New Roman" w:cs="Times New Roman"/>
          <w:sz w:val="24"/>
          <w:szCs w:val="24"/>
        </w:rPr>
        <w:lastRenderedPageBreak/>
        <w:t xml:space="preserve">The above set law is what stands between the respective parties </w:t>
      </w:r>
      <w:r w:rsidRPr="00737174">
        <w:rPr>
          <w:rFonts w:ascii="Times New Roman" w:hAnsi="Times New Roman" w:cs="Times New Roman"/>
          <w:i/>
          <w:sz w:val="24"/>
          <w:szCs w:val="24"/>
        </w:rPr>
        <w:t>in casu.</w:t>
      </w:r>
    </w:p>
    <w:p w:rsidR="009A6897" w:rsidRPr="00093FAE" w:rsidRDefault="00093FAE" w:rsidP="00D12B21">
      <w:pPr>
        <w:jc w:val="both"/>
        <w:rPr>
          <w:rFonts w:ascii="Times New Roman" w:hAnsi="Times New Roman" w:cs="Times New Roman"/>
          <w:b/>
          <w:sz w:val="24"/>
          <w:szCs w:val="24"/>
        </w:rPr>
      </w:pPr>
      <w:r>
        <w:rPr>
          <w:rFonts w:ascii="Times New Roman" w:hAnsi="Times New Roman" w:cs="Times New Roman"/>
          <w:b/>
          <w:sz w:val="24"/>
          <w:szCs w:val="24"/>
        </w:rPr>
        <w:t>Application of the l</w:t>
      </w:r>
      <w:r w:rsidR="009A6897" w:rsidRPr="00093FAE">
        <w:rPr>
          <w:rFonts w:ascii="Times New Roman" w:hAnsi="Times New Roman" w:cs="Times New Roman"/>
          <w:b/>
          <w:sz w:val="24"/>
          <w:szCs w:val="24"/>
        </w:rPr>
        <w:t>aw to</w:t>
      </w:r>
      <w:r w:rsidRPr="00093FAE">
        <w:rPr>
          <w:rFonts w:ascii="Times New Roman" w:hAnsi="Times New Roman" w:cs="Times New Roman"/>
          <w:b/>
          <w:sz w:val="24"/>
          <w:szCs w:val="24"/>
        </w:rPr>
        <w:t xml:space="preserve"> the</w:t>
      </w:r>
      <w:r>
        <w:rPr>
          <w:rFonts w:ascii="Times New Roman" w:hAnsi="Times New Roman" w:cs="Times New Roman"/>
          <w:b/>
          <w:sz w:val="24"/>
          <w:szCs w:val="24"/>
        </w:rPr>
        <w:t xml:space="preserve"> f</w:t>
      </w:r>
      <w:r w:rsidR="00B264C7">
        <w:rPr>
          <w:rFonts w:ascii="Times New Roman" w:hAnsi="Times New Roman" w:cs="Times New Roman"/>
          <w:b/>
          <w:sz w:val="24"/>
          <w:szCs w:val="24"/>
        </w:rPr>
        <w:t>acts</w:t>
      </w:r>
    </w:p>
    <w:p w:rsidR="009A6897" w:rsidRDefault="009A6897" w:rsidP="00926222">
      <w:pPr>
        <w:ind w:firstLine="720"/>
        <w:jc w:val="both"/>
        <w:rPr>
          <w:rFonts w:ascii="Times New Roman" w:hAnsi="Times New Roman" w:cs="Times New Roman"/>
          <w:sz w:val="24"/>
          <w:szCs w:val="24"/>
        </w:rPr>
      </w:pPr>
      <w:r>
        <w:rPr>
          <w:rFonts w:ascii="Times New Roman" w:hAnsi="Times New Roman" w:cs="Times New Roman"/>
          <w:sz w:val="24"/>
          <w:szCs w:val="24"/>
        </w:rPr>
        <w:t>It is with the above that I shall set out to deal with the merits of the present application.</w:t>
      </w:r>
    </w:p>
    <w:p w:rsidR="009C7E79" w:rsidRDefault="004E52F1" w:rsidP="0092622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C7E79">
        <w:rPr>
          <w:rFonts w:ascii="Times New Roman" w:hAnsi="Times New Roman" w:cs="Times New Roman"/>
          <w:sz w:val="24"/>
          <w:szCs w:val="24"/>
        </w:rPr>
        <w:t xml:space="preserve">case of </w:t>
      </w:r>
      <w:r w:rsidR="009C7E79" w:rsidRPr="00BC72D0">
        <w:rPr>
          <w:rFonts w:ascii="Times New Roman" w:hAnsi="Times New Roman" w:cs="Times New Roman"/>
          <w:i/>
          <w:sz w:val="24"/>
          <w:szCs w:val="24"/>
        </w:rPr>
        <w:t>Larfage Cement (Zim) v Chatizembwa</w:t>
      </w:r>
      <w:r w:rsidR="009C7E79">
        <w:rPr>
          <w:rFonts w:ascii="Times New Roman" w:hAnsi="Times New Roman" w:cs="Times New Roman"/>
          <w:sz w:val="24"/>
          <w:szCs w:val="24"/>
        </w:rPr>
        <w:t xml:space="preserve"> HH 413/18 cited in the applicant’s heads of argument aptly captures the law in </w:t>
      </w:r>
      <w:r w:rsidR="00BC72D0">
        <w:rPr>
          <w:rFonts w:ascii="Times New Roman" w:hAnsi="Times New Roman" w:cs="Times New Roman"/>
          <w:sz w:val="24"/>
          <w:szCs w:val="24"/>
        </w:rPr>
        <w:t>relation</w:t>
      </w:r>
      <w:r w:rsidR="009C7E79">
        <w:rPr>
          <w:rFonts w:ascii="Times New Roman" w:hAnsi="Times New Roman" w:cs="Times New Roman"/>
          <w:sz w:val="24"/>
          <w:szCs w:val="24"/>
        </w:rPr>
        <w:t xml:space="preserve"> to the principle of </w:t>
      </w:r>
      <w:r w:rsidR="009C7E79" w:rsidRPr="009C7E79">
        <w:rPr>
          <w:rFonts w:ascii="Times New Roman" w:hAnsi="Times New Roman" w:cs="Times New Roman"/>
          <w:i/>
          <w:sz w:val="24"/>
          <w:szCs w:val="24"/>
        </w:rPr>
        <w:t>rei vindicatio</w:t>
      </w:r>
      <w:r w:rsidR="009C7E79">
        <w:rPr>
          <w:rFonts w:ascii="Times New Roman" w:hAnsi="Times New Roman" w:cs="Times New Roman"/>
          <w:sz w:val="24"/>
          <w:szCs w:val="24"/>
        </w:rPr>
        <w:t xml:space="preserve">. The court in </w:t>
      </w:r>
      <w:r w:rsidR="009C7E79" w:rsidRPr="00556CA5">
        <w:rPr>
          <w:rFonts w:ascii="Times New Roman" w:hAnsi="Times New Roman" w:cs="Times New Roman"/>
          <w:i/>
          <w:sz w:val="24"/>
          <w:szCs w:val="24"/>
        </w:rPr>
        <w:t>Larfage Cement</w:t>
      </w:r>
      <w:r w:rsidR="009C7E79">
        <w:rPr>
          <w:rFonts w:ascii="Times New Roman" w:hAnsi="Times New Roman" w:cs="Times New Roman"/>
          <w:sz w:val="24"/>
          <w:szCs w:val="24"/>
        </w:rPr>
        <w:t xml:space="preserve"> </w:t>
      </w:r>
      <w:r w:rsidR="009C7E79" w:rsidRPr="004C3F11">
        <w:rPr>
          <w:rFonts w:ascii="Times New Roman" w:hAnsi="Times New Roman" w:cs="Times New Roman"/>
          <w:i/>
          <w:sz w:val="24"/>
          <w:szCs w:val="24"/>
        </w:rPr>
        <w:t>supra</w:t>
      </w:r>
      <w:r w:rsidR="00B264C7" w:rsidRPr="004C3F11">
        <w:rPr>
          <w:rFonts w:ascii="Times New Roman" w:hAnsi="Times New Roman" w:cs="Times New Roman"/>
          <w:i/>
          <w:sz w:val="24"/>
          <w:szCs w:val="24"/>
        </w:rPr>
        <w:t>,</w:t>
      </w:r>
      <w:r w:rsidR="009C7E79">
        <w:rPr>
          <w:rFonts w:ascii="Times New Roman" w:hAnsi="Times New Roman" w:cs="Times New Roman"/>
          <w:sz w:val="24"/>
          <w:szCs w:val="24"/>
        </w:rPr>
        <w:t xml:space="preserve"> </w:t>
      </w:r>
      <w:r w:rsidR="00BC72D0">
        <w:rPr>
          <w:rFonts w:ascii="Times New Roman" w:hAnsi="Times New Roman" w:cs="Times New Roman"/>
          <w:sz w:val="24"/>
          <w:szCs w:val="24"/>
        </w:rPr>
        <w:t>stated the</w:t>
      </w:r>
      <w:r w:rsidR="009C7E79">
        <w:rPr>
          <w:rFonts w:ascii="Times New Roman" w:hAnsi="Times New Roman" w:cs="Times New Roman"/>
          <w:sz w:val="24"/>
          <w:szCs w:val="24"/>
        </w:rPr>
        <w:t xml:space="preserve"> following:</w:t>
      </w:r>
    </w:p>
    <w:p w:rsidR="004E52F1" w:rsidRPr="004E52F1" w:rsidRDefault="009C7E79" w:rsidP="00926222">
      <w:pPr>
        <w:ind w:left="720"/>
        <w:jc w:val="both"/>
        <w:rPr>
          <w:rFonts w:ascii="Times New Roman" w:hAnsi="Times New Roman" w:cs="Times New Roman"/>
          <w:sz w:val="24"/>
          <w:szCs w:val="24"/>
        </w:rPr>
      </w:pPr>
      <w:r>
        <w:rPr>
          <w:rFonts w:ascii="Times New Roman" w:hAnsi="Times New Roman" w:cs="Times New Roman"/>
          <w:sz w:val="24"/>
          <w:szCs w:val="24"/>
        </w:rPr>
        <w:t>“</w:t>
      </w:r>
      <w:r w:rsidR="004E52F1" w:rsidRPr="006D4AD3">
        <w:rPr>
          <w:rFonts w:ascii="Times New Roman" w:hAnsi="Times New Roman" w:cs="Times New Roman"/>
          <w:i/>
          <w:sz w:val="24"/>
          <w:szCs w:val="24"/>
        </w:rPr>
        <w:t>The owner of property has a vindicatory right against the whole world. It is</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a</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remedy available to the owner whose property is in the possession of another</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without his or her consent. Roman-Dutch law has always protected the right of</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an owner of property to vindicate his or her property as a matter of policy</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even against an innocent occupier or innocent purchaser, where the property</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would have been sold. The occupier would only have the defence of estoppel.</w:t>
      </w:r>
      <w:r w:rsidR="004E52F1" w:rsidRPr="004E52F1">
        <w:rPr>
          <w:rFonts w:ascii="Times New Roman" w:hAnsi="Times New Roman" w:cs="Times New Roman"/>
          <w:sz w:val="24"/>
          <w:szCs w:val="24"/>
        </w:rPr>
        <w:t xml:space="preserve"> </w:t>
      </w:r>
      <w:r w:rsidR="004E52F1" w:rsidRPr="006D4AD3">
        <w:rPr>
          <w:rFonts w:ascii="Times New Roman" w:hAnsi="Times New Roman" w:cs="Times New Roman"/>
          <w:i/>
          <w:sz w:val="24"/>
          <w:szCs w:val="24"/>
        </w:rPr>
        <w:t xml:space="preserve">See Mashave v Standard Bank of South Africa Ltd 1998 (1) ZLR </w:t>
      </w:r>
      <w:r w:rsidR="006D4AD3">
        <w:rPr>
          <w:rFonts w:ascii="Times New Roman" w:hAnsi="Times New Roman" w:cs="Times New Roman"/>
          <w:i/>
          <w:sz w:val="24"/>
          <w:szCs w:val="24"/>
        </w:rPr>
        <w:t xml:space="preserve"> </w:t>
      </w:r>
      <w:r w:rsidR="004E52F1" w:rsidRPr="006D4AD3">
        <w:rPr>
          <w:rFonts w:ascii="Times New Roman" w:hAnsi="Times New Roman" w:cs="Times New Roman"/>
          <w:i/>
          <w:sz w:val="24"/>
          <w:szCs w:val="24"/>
        </w:rPr>
        <w:t>436 (S) at</w:t>
      </w:r>
      <w:r w:rsidR="004E52F1" w:rsidRPr="004E52F1">
        <w:rPr>
          <w:rFonts w:ascii="Times New Roman" w:hAnsi="Times New Roman" w:cs="Times New Roman"/>
          <w:sz w:val="24"/>
          <w:szCs w:val="24"/>
        </w:rPr>
        <w:t xml:space="preserve"> 438 C; </w:t>
      </w:r>
      <w:r w:rsidR="004E52F1" w:rsidRPr="00BC72D0">
        <w:rPr>
          <w:rFonts w:ascii="Times New Roman" w:hAnsi="Times New Roman" w:cs="Times New Roman"/>
          <w:i/>
          <w:sz w:val="24"/>
          <w:szCs w:val="24"/>
        </w:rPr>
        <w:t>Chetty v Naidoo</w:t>
      </w:r>
      <w:r w:rsidR="004E52F1" w:rsidRPr="004E52F1">
        <w:rPr>
          <w:rFonts w:ascii="Times New Roman" w:hAnsi="Times New Roman" w:cs="Times New Roman"/>
          <w:sz w:val="24"/>
          <w:szCs w:val="24"/>
        </w:rPr>
        <w:t xml:space="preserve"> 1974 (3) SA 13 (A) at 20 A-C; </w:t>
      </w:r>
      <w:r w:rsidR="004E52F1" w:rsidRPr="00BC72D0">
        <w:rPr>
          <w:rFonts w:ascii="Times New Roman" w:hAnsi="Times New Roman" w:cs="Times New Roman"/>
          <w:i/>
          <w:sz w:val="24"/>
          <w:szCs w:val="24"/>
        </w:rPr>
        <w:t>Oakland F Nominees (Pty) Ltd v Gelria Mining and Investment</w:t>
      </w:r>
      <w:r w:rsidR="004C3F11">
        <w:rPr>
          <w:rFonts w:ascii="Times New Roman" w:hAnsi="Times New Roman" w:cs="Times New Roman"/>
          <w:i/>
          <w:sz w:val="24"/>
          <w:szCs w:val="24"/>
        </w:rPr>
        <w:t xml:space="preserve"> </w:t>
      </w:r>
      <w:r w:rsidR="004E52F1" w:rsidRPr="004E52F1">
        <w:rPr>
          <w:rFonts w:ascii="Times New Roman" w:hAnsi="Times New Roman" w:cs="Times New Roman"/>
          <w:sz w:val="24"/>
          <w:szCs w:val="24"/>
        </w:rPr>
        <w:t>Co Ltd 1976 (1) SA 441 (A) at 452A.</w:t>
      </w:r>
    </w:p>
    <w:p w:rsidR="004E52F1" w:rsidRDefault="004E52F1" w:rsidP="009C7E79">
      <w:pPr>
        <w:ind w:left="1440"/>
        <w:jc w:val="both"/>
        <w:rPr>
          <w:rFonts w:ascii="Times New Roman" w:hAnsi="Times New Roman" w:cs="Times New Roman"/>
          <w:sz w:val="24"/>
          <w:szCs w:val="24"/>
        </w:rPr>
      </w:pPr>
      <w:r w:rsidRPr="00051AF7">
        <w:rPr>
          <w:rFonts w:ascii="Times New Roman" w:hAnsi="Times New Roman" w:cs="Times New Roman"/>
          <w:i/>
          <w:sz w:val="24"/>
          <w:szCs w:val="24"/>
        </w:rPr>
        <w:t>Indeed the principle of the actio rei vindicatio is that an owner cannot be</w:t>
      </w:r>
      <w:r w:rsidRPr="004E52F1">
        <w:rPr>
          <w:rFonts w:ascii="Times New Roman" w:hAnsi="Times New Roman" w:cs="Times New Roman"/>
          <w:sz w:val="24"/>
          <w:szCs w:val="24"/>
        </w:rPr>
        <w:t xml:space="preserve"> </w:t>
      </w:r>
      <w:r w:rsidRPr="00051AF7">
        <w:rPr>
          <w:rFonts w:ascii="Times New Roman" w:hAnsi="Times New Roman" w:cs="Times New Roman"/>
          <w:i/>
          <w:sz w:val="24"/>
          <w:szCs w:val="24"/>
        </w:rPr>
        <w:t>deprived of his or her property against his or her will. All the owner is</w:t>
      </w:r>
      <w:r w:rsidRPr="004E52F1">
        <w:rPr>
          <w:rFonts w:ascii="Times New Roman" w:hAnsi="Times New Roman" w:cs="Times New Roman"/>
          <w:sz w:val="24"/>
          <w:szCs w:val="24"/>
        </w:rPr>
        <w:t xml:space="preserve"> </w:t>
      </w:r>
      <w:r w:rsidRPr="00051AF7">
        <w:rPr>
          <w:rFonts w:ascii="Times New Roman" w:hAnsi="Times New Roman" w:cs="Times New Roman"/>
          <w:i/>
          <w:sz w:val="24"/>
          <w:szCs w:val="24"/>
        </w:rPr>
        <w:t>required to prove is that he or she is the owner and that the property is in the</w:t>
      </w:r>
      <w:r w:rsidRPr="004E52F1">
        <w:rPr>
          <w:rFonts w:ascii="Times New Roman" w:hAnsi="Times New Roman" w:cs="Times New Roman"/>
          <w:sz w:val="24"/>
          <w:szCs w:val="24"/>
        </w:rPr>
        <w:t xml:space="preserve"> </w:t>
      </w:r>
      <w:r w:rsidRPr="00051AF7">
        <w:rPr>
          <w:rFonts w:ascii="Times New Roman" w:hAnsi="Times New Roman" w:cs="Times New Roman"/>
          <w:i/>
          <w:sz w:val="24"/>
          <w:szCs w:val="24"/>
        </w:rPr>
        <w:t>po</w:t>
      </w:r>
      <w:r w:rsidRPr="004E52F1">
        <w:rPr>
          <w:rFonts w:ascii="Times New Roman" w:hAnsi="Times New Roman" w:cs="Times New Roman"/>
          <w:sz w:val="24"/>
          <w:szCs w:val="24"/>
        </w:rPr>
        <w:t>sse</w:t>
      </w:r>
      <w:r w:rsidRPr="00051AF7">
        <w:rPr>
          <w:rFonts w:ascii="Times New Roman" w:hAnsi="Times New Roman" w:cs="Times New Roman"/>
          <w:i/>
          <w:sz w:val="24"/>
          <w:szCs w:val="24"/>
        </w:rPr>
        <w:t>ssion of another at the commencement of the action. Proof of ownership shifts the onus to the possessor to prove a right to retention.</w:t>
      </w:r>
      <w:r w:rsidRPr="004E52F1">
        <w:rPr>
          <w:rFonts w:ascii="Times New Roman" w:hAnsi="Times New Roman" w:cs="Times New Roman"/>
          <w:sz w:val="24"/>
          <w:szCs w:val="24"/>
        </w:rPr>
        <w:t xml:space="preserve"> See </w:t>
      </w:r>
      <w:r w:rsidRPr="00BC72D0">
        <w:rPr>
          <w:rFonts w:ascii="Times New Roman" w:hAnsi="Times New Roman" w:cs="Times New Roman"/>
          <w:i/>
          <w:sz w:val="24"/>
          <w:szCs w:val="24"/>
        </w:rPr>
        <w:t xml:space="preserve">Jolly v Shannon and Anor </w:t>
      </w:r>
      <w:r w:rsidRPr="004E52F1">
        <w:rPr>
          <w:rFonts w:ascii="Times New Roman" w:hAnsi="Times New Roman" w:cs="Times New Roman"/>
          <w:sz w:val="24"/>
          <w:szCs w:val="24"/>
        </w:rPr>
        <w:t xml:space="preserve">1998 (1) ZLR 78 (H) at 88 A-B; </w:t>
      </w:r>
      <w:r w:rsidRPr="00BC72D0">
        <w:rPr>
          <w:rFonts w:ascii="Times New Roman" w:hAnsi="Times New Roman" w:cs="Times New Roman"/>
          <w:i/>
          <w:sz w:val="24"/>
          <w:szCs w:val="24"/>
        </w:rPr>
        <w:t>Stanbic Finance Zimbabwe Ltd v Chivhungwa</w:t>
      </w:r>
      <w:r w:rsidRPr="004E52F1">
        <w:rPr>
          <w:rFonts w:ascii="Times New Roman" w:hAnsi="Times New Roman" w:cs="Times New Roman"/>
          <w:sz w:val="24"/>
          <w:szCs w:val="24"/>
        </w:rPr>
        <w:t xml:space="preserve"> 1999 (1) ZLR 262 (H); </w:t>
      </w:r>
      <w:r w:rsidRPr="00BC72D0">
        <w:rPr>
          <w:rFonts w:ascii="Times New Roman" w:hAnsi="Times New Roman" w:cs="Times New Roman"/>
          <w:i/>
          <w:sz w:val="24"/>
          <w:szCs w:val="24"/>
        </w:rPr>
        <w:t>Zavazava &amp; Anor v Tendere</w:t>
      </w:r>
      <w:r w:rsidRPr="004E52F1">
        <w:rPr>
          <w:rFonts w:ascii="Times New Roman" w:hAnsi="Times New Roman" w:cs="Times New Roman"/>
          <w:sz w:val="24"/>
          <w:szCs w:val="24"/>
        </w:rPr>
        <w:t xml:space="preserve"> 2015 (2) ZLR 394 (H)</w:t>
      </w:r>
      <w:r w:rsidR="00834D85">
        <w:rPr>
          <w:rFonts w:ascii="Times New Roman" w:hAnsi="Times New Roman" w:cs="Times New Roman"/>
          <w:sz w:val="24"/>
          <w:szCs w:val="24"/>
        </w:rPr>
        <w:t xml:space="preserve"> </w:t>
      </w:r>
      <w:r w:rsidRPr="004E52F1">
        <w:rPr>
          <w:rFonts w:ascii="Times New Roman" w:hAnsi="Times New Roman" w:cs="Times New Roman"/>
          <w:sz w:val="24"/>
          <w:szCs w:val="24"/>
        </w:rPr>
        <w:t xml:space="preserve"> at 398 G.</w:t>
      </w:r>
      <w:r w:rsidR="009C7E79">
        <w:rPr>
          <w:rFonts w:ascii="Times New Roman" w:hAnsi="Times New Roman" w:cs="Times New Roman"/>
          <w:sz w:val="24"/>
          <w:szCs w:val="24"/>
        </w:rPr>
        <w:t>”</w:t>
      </w:r>
    </w:p>
    <w:p w:rsidR="00BC72D0" w:rsidRDefault="007A10C4" w:rsidP="00641645">
      <w:pPr>
        <w:ind w:firstLine="720"/>
        <w:jc w:val="both"/>
        <w:rPr>
          <w:rFonts w:ascii="Times New Roman" w:hAnsi="Times New Roman" w:cs="Times New Roman"/>
          <w:sz w:val="24"/>
          <w:szCs w:val="24"/>
        </w:rPr>
      </w:pPr>
      <w:r>
        <w:rPr>
          <w:rFonts w:ascii="Times New Roman" w:hAnsi="Times New Roman" w:cs="Times New Roman"/>
          <w:sz w:val="24"/>
          <w:szCs w:val="24"/>
        </w:rPr>
        <w:t>What is abundantly clear is that the applicant in whose name the proper</w:t>
      </w:r>
      <w:r w:rsidR="00864039">
        <w:rPr>
          <w:rFonts w:ascii="Times New Roman" w:hAnsi="Times New Roman" w:cs="Times New Roman"/>
          <w:sz w:val="24"/>
          <w:szCs w:val="24"/>
        </w:rPr>
        <w:t>ty</w:t>
      </w:r>
      <w:r>
        <w:rPr>
          <w:rFonts w:ascii="Times New Roman" w:hAnsi="Times New Roman" w:cs="Times New Roman"/>
          <w:sz w:val="24"/>
          <w:szCs w:val="24"/>
        </w:rPr>
        <w:t xml:space="preserve"> was transferred </w:t>
      </w:r>
      <w:r w:rsidR="00073B71">
        <w:rPr>
          <w:rFonts w:ascii="Times New Roman" w:hAnsi="Times New Roman" w:cs="Times New Roman"/>
          <w:sz w:val="24"/>
          <w:szCs w:val="24"/>
        </w:rPr>
        <w:t xml:space="preserve">through the deed of transfer is the owner of the property. This </w:t>
      </w:r>
      <w:r w:rsidR="00073B71" w:rsidRPr="0086380F">
        <w:rPr>
          <w:rFonts w:ascii="Times New Roman" w:hAnsi="Times New Roman" w:cs="Times New Roman"/>
          <w:i/>
          <w:sz w:val="24"/>
          <w:szCs w:val="24"/>
        </w:rPr>
        <w:t>prima facie</w:t>
      </w:r>
      <w:r w:rsidR="00073B71">
        <w:rPr>
          <w:rFonts w:ascii="Times New Roman" w:hAnsi="Times New Roman" w:cs="Times New Roman"/>
          <w:sz w:val="24"/>
          <w:szCs w:val="24"/>
        </w:rPr>
        <w:t xml:space="preserve"> makes the applicant the owner of the property thereby entitling him to the remedy of </w:t>
      </w:r>
      <w:r w:rsidR="00073B71" w:rsidRPr="00864039">
        <w:rPr>
          <w:rFonts w:ascii="Times New Roman" w:hAnsi="Times New Roman" w:cs="Times New Roman"/>
          <w:i/>
          <w:sz w:val="24"/>
          <w:szCs w:val="24"/>
        </w:rPr>
        <w:t>rei vindicatio</w:t>
      </w:r>
      <w:r w:rsidR="00073B71">
        <w:rPr>
          <w:rFonts w:ascii="Times New Roman" w:hAnsi="Times New Roman" w:cs="Times New Roman"/>
          <w:sz w:val="24"/>
          <w:szCs w:val="24"/>
        </w:rPr>
        <w:t xml:space="preserve">. What is also clear is that the respondent is on the face of it no longer the owner of the property that was sold to another in execution. The respondent’s efforts at cancellation of the sale have been futile and thus the status </w:t>
      </w:r>
      <w:r w:rsidR="00073B71" w:rsidRPr="00073B71">
        <w:rPr>
          <w:rFonts w:ascii="Times New Roman" w:hAnsi="Times New Roman" w:cs="Times New Roman"/>
          <w:i/>
          <w:sz w:val="24"/>
          <w:szCs w:val="24"/>
        </w:rPr>
        <w:t xml:space="preserve">quo </w:t>
      </w:r>
      <w:r w:rsidR="00073B71">
        <w:rPr>
          <w:rFonts w:ascii="Times New Roman" w:hAnsi="Times New Roman" w:cs="Times New Roman"/>
          <w:sz w:val="24"/>
          <w:szCs w:val="24"/>
        </w:rPr>
        <w:t>persists.</w:t>
      </w:r>
      <w:r w:rsidR="0067714F">
        <w:rPr>
          <w:rFonts w:ascii="Times New Roman" w:hAnsi="Times New Roman" w:cs="Times New Roman"/>
          <w:sz w:val="24"/>
          <w:szCs w:val="24"/>
        </w:rPr>
        <w:t xml:space="preserve"> The respondent is desperately trying to invent a defence where there is none.</w:t>
      </w:r>
      <w:r w:rsidR="00073B71">
        <w:rPr>
          <w:rFonts w:ascii="Times New Roman" w:hAnsi="Times New Roman" w:cs="Times New Roman"/>
          <w:sz w:val="24"/>
          <w:szCs w:val="24"/>
        </w:rPr>
        <w:t xml:space="preserve"> </w:t>
      </w:r>
    </w:p>
    <w:p w:rsidR="00073B71" w:rsidRDefault="00073B71" w:rsidP="00641645">
      <w:pPr>
        <w:ind w:firstLine="720"/>
        <w:jc w:val="both"/>
        <w:rPr>
          <w:rFonts w:ascii="Times New Roman" w:hAnsi="Times New Roman" w:cs="Times New Roman"/>
          <w:sz w:val="24"/>
          <w:szCs w:val="24"/>
        </w:rPr>
      </w:pPr>
      <w:r>
        <w:rPr>
          <w:rFonts w:ascii="Times New Roman" w:hAnsi="Times New Roman" w:cs="Times New Roman"/>
          <w:sz w:val="24"/>
          <w:szCs w:val="24"/>
        </w:rPr>
        <w:t>I</w:t>
      </w:r>
      <w:r w:rsidR="0086380F">
        <w:rPr>
          <w:rFonts w:ascii="Times New Roman" w:hAnsi="Times New Roman" w:cs="Times New Roman"/>
          <w:sz w:val="24"/>
          <w:szCs w:val="24"/>
        </w:rPr>
        <w:t>t</w:t>
      </w:r>
      <w:r>
        <w:rPr>
          <w:rFonts w:ascii="Times New Roman" w:hAnsi="Times New Roman" w:cs="Times New Roman"/>
          <w:sz w:val="24"/>
          <w:szCs w:val="24"/>
        </w:rPr>
        <w:t xml:space="preserve"> can be noted that the respondent did not have to wait for an application for </w:t>
      </w:r>
      <w:r w:rsidRPr="00073B71">
        <w:rPr>
          <w:rFonts w:ascii="Times New Roman" w:hAnsi="Times New Roman" w:cs="Times New Roman"/>
          <w:i/>
          <w:sz w:val="24"/>
          <w:szCs w:val="24"/>
        </w:rPr>
        <w:t>rei vindica</w:t>
      </w:r>
      <w:r w:rsidR="0059062C">
        <w:rPr>
          <w:rFonts w:ascii="Times New Roman" w:hAnsi="Times New Roman" w:cs="Times New Roman"/>
          <w:i/>
          <w:sz w:val="24"/>
          <w:szCs w:val="24"/>
        </w:rPr>
        <w:t>tio</w:t>
      </w:r>
      <w:r w:rsidRPr="00073B71">
        <w:rPr>
          <w:rFonts w:ascii="Times New Roman" w:hAnsi="Times New Roman" w:cs="Times New Roman"/>
          <w:i/>
          <w:sz w:val="24"/>
          <w:szCs w:val="24"/>
        </w:rPr>
        <w:t xml:space="preserve"> </w:t>
      </w:r>
      <w:r>
        <w:rPr>
          <w:rFonts w:ascii="Times New Roman" w:hAnsi="Times New Roman" w:cs="Times New Roman"/>
          <w:sz w:val="24"/>
          <w:szCs w:val="24"/>
        </w:rPr>
        <w:t>to contest what in respondent’s view is fraud on the part of the sheriff in sale of the property.</w:t>
      </w:r>
      <w:r w:rsidR="000E4C74">
        <w:rPr>
          <w:rFonts w:ascii="Times New Roman" w:hAnsi="Times New Roman" w:cs="Times New Roman"/>
          <w:sz w:val="24"/>
          <w:szCs w:val="24"/>
        </w:rPr>
        <w:t xml:space="preserve"> The respondent was clearly unable to articulate the nature of the fraud allegedly perpetrated  and against whom it committed.</w:t>
      </w:r>
      <w:r w:rsidR="004C3F11">
        <w:rPr>
          <w:rFonts w:ascii="Times New Roman" w:hAnsi="Times New Roman" w:cs="Times New Roman"/>
          <w:sz w:val="24"/>
          <w:szCs w:val="24"/>
        </w:rPr>
        <w:t xml:space="preserve"> </w:t>
      </w:r>
      <w:r>
        <w:rPr>
          <w:rFonts w:ascii="Times New Roman" w:hAnsi="Times New Roman" w:cs="Times New Roman"/>
          <w:sz w:val="24"/>
          <w:szCs w:val="24"/>
        </w:rPr>
        <w:t>It remains open to the respondent to challenge the sale an</w:t>
      </w:r>
      <w:r w:rsidR="00B976C8">
        <w:rPr>
          <w:rFonts w:ascii="Times New Roman" w:hAnsi="Times New Roman" w:cs="Times New Roman"/>
          <w:sz w:val="24"/>
          <w:szCs w:val="24"/>
        </w:rPr>
        <w:t xml:space="preserve">d prove its allegations. </w:t>
      </w:r>
      <w:r w:rsidR="00DC0D1D">
        <w:rPr>
          <w:rFonts w:ascii="Times New Roman" w:hAnsi="Times New Roman" w:cs="Times New Roman"/>
          <w:sz w:val="24"/>
          <w:szCs w:val="24"/>
        </w:rPr>
        <w:t>Until then, the applicant is well within its rights to seek vindication.</w:t>
      </w:r>
    </w:p>
    <w:p w:rsidR="00C85E28" w:rsidRDefault="000159A2" w:rsidP="0064164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w:t>
      </w:r>
      <w:r w:rsidR="00B121B2">
        <w:rPr>
          <w:rFonts w:ascii="Times New Roman" w:hAnsi="Times New Roman" w:cs="Times New Roman"/>
          <w:sz w:val="24"/>
          <w:szCs w:val="24"/>
        </w:rPr>
        <w:t>,</w:t>
      </w:r>
      <w:r>
        <w:rPr>
          <w:rFonts w:ascii="Times New Roman" w:hAnsi="Times New Roman" w:cs="Times New Roman"/>
          <w:sz w:val="24"/>
          <w:szCs w:val="24"/>
        </w:rPr>
        <w:t xml:space="preserve"> the respondent has not raised a </w:t>
      </w:r>
      <w:r w:rsidRPr="00B121B2">
        <w:rPr>
          <w:rFonts w:ascii="Times New Roman" w:hAnsi="Times New Roman" w:cs="Times New Roman"/>
          <w:i/>
          <w:sz w:val="24"/>
          <w:szCs w:val="24"/>
        </w:rPr>
        <w:t>bona fide</w:t>
      </w:r>
      <w:r>
        <w:rPr>
          <w:rFonts w:ascii="Times New Roman" w:hAnsi="Times New Roman" w:cs="Times New Roman"/>
          <w:sz w:val="24"/>
          <w:szCs w:val="24"/>
        </w:rPr>
        <w:t xml:space="preserve"> defence. The respondent </w:t>
      </w:r>
      <w:r w:rsidR="00080BE0">
        <w:rPr>
          <w:rFonts w:ascii="Times New Roman" w:hAnsi="Times New Roman" w:cs="Times New Roman"/>
          <w:sz w:val="24"/>
          <w:szCs w:val="24"/>
        </w:rPr>
        <w:t>allegations of fraud are not supported by evide</w:t>
      </w:r>
      <w:r w:rsidR="008A78DC">
        <w:rPr>
          <w:rFonts w:ascii="Times New Roman" w:hAnsi="Times New Roman" w:cs="Times New Roman"/>
          <w:sz w:val="24"/>
          <w:szCs w:val="24"/>
        </w:rPr>
        <w:t xml:space="preserve">nce. The date of the applicant’s incorporation is not disputed, and the fact that Mr Patel was the bidder at the auction is also not disputed. It is my view that any qualms with such issues cannot be relied on </w:t>
      </w:r>
      <w:r w:rsidR="0086380F">
        <w:rPr>
          <w:rFonts w:ascii="Times New Roman" w:hAnsi="Times New Roman" w:cs="Times New Roman"/>
          <w:sz w:val="24"/>
          <w:szCs w:val="24"/>
        </w:rPr>
        <w:t>b</w:t>
      </w:r>
      <w:r w:rsidR="008A78DC">
        <w:rPr>
          <w:rFonts w:ascii="Times New Roman" w:hAnsi="Times New Roman" w:cs="Times New Roman"/>
          <w:sz w:val="24"/>
          <w:szCs w:val="24"/>
        </w:rPr>
        <w:t xml:space="preserve">y the respondent in circumstances where the sale has been confirmed and transfer has </w:t>
      </w:r>
      <w:r w:rsidR="00B121B2">
        <w:rPr>
          <w:rFonts w:ascii="Times New Roman" w:hAnsi="Times New Roman" w:cs="Times New Roman"/>
          <w:sz w:val="24"/>
          <w:szCs w:val="24"/>
        </w:rPr>
        <w:t xml:space="preserve"> already </w:t>
      </w:r>
      <w:r w:rsidR="008A78DC">
        <w:rPr>
          <w:rFonts w:ascii="Times New Roman" w:hAnsi="Times New Roman" w:cs="Times New Roman"/>
          <w:sz w:val="24"/>
          <w:szCs w:val="24"/>
        </w:rPr>
        <w:t xml:space="preserve">been </w:t>
      </w:r>
      <w:r w:rsidR="0086380F">
        <w:rPr>
          <w:rFonts w:ascii="Times New Roman" w:hAnsi="Times New Roman" w:cs="Times New Roman"/>
          <w:sz w:val="24"/>
          <w:szCs w:val="24"/>
        </w:rPr>
        <w:t>effected</w:t>
      </w:r>
      <w:r w:rsidR="008A78DC">
        <w:rPr>
          <w:rFonts w:ascii="Times New Roman" w:hAnsi="Times New Roman" w:cs="Times New Roman"/>
          <w:sz w:val="24"/>
          <w:szCs w:val="24"/>
        </w:rPr>
        <w:t xml:space="preserve">. </w:t>
      </w:r>
    </w:p>
    <w:p w:rsidR="009C61C1" w:rsidRPr="009C61C1" w:rsidRDefault="009C61C1" w:rsidP="009C61C1">
      <w:pPr>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C61C1">
        <w:rPr>
          <w:rFonts w:ascii="Times New Roman" w:hAnsi="Times New Roman" w:cs="Times New Roman"/>
          <w:i/>
          <w:sz w:val="24"/>
          <w:szCs w:val="24"/>
        </w:rPr>
        <w:t>Alspite Investments (Pvt) Ltd v Westerhoff</w:t>
      </w:r>
      <w:r w:rsidRPr="009C61C1">
        <w:rPr>
          <w:rFonts w:ascii="Times New Roman" w:hAnsi="Times New Roman" w:cs="Times New Roman"/>
          <w:sz w:val="24"/>
          <w:szCs w:val="24"/>
        </w:rPr>
        <w:t xml:space="preserve"> 2009 (2) ZLR 236 where M</w:t>
      </w:r>
      <w:r w:rsidRPr="004C3F11">
        <w:rPr>
          <w:rFonts w:ascii="Times New Roman" w:hAnsi="Times New Roman" w:cs="Times New Roman"/>
          <w:sz w:val="20"/>
          <w:szCs w:val="20"/>
        </w:rPr>
        <w:t xml:space="preserve">AKARAU </w:t>
      </w:r>
      <w:r>
        <w:rPr>
          <w:rFonts w:ascii="Times New Roman" w:hAnsi="Times New Roman" w:cs="Times New Roman"/>
          <w:sz w:val="24"/>
          <w:szCs w:val="24"/>
        </w:rPr>
        <w:t>JP, as she then was, had this to say about applications of this nature</w:t>
      </w:r>
      <w:r w:rsidRPr="009C61C1">
        <w:rPr>
          <w:rFonts w:ascii="Times New Roman" w:hAnsi="Times New Roman" w:cs="Times New Roman"/>
          <w:sz w:val="24"/>
          <w:szCs w:val="24"/>
        </w:rPr>
        <w:t>:</w:t>
      </w:r>
    </w:p>
    <w:p w:rsidR="009C61C1" w:rsidRDefault="009C61C1" w:rsidP="009C61C1">
      <w:pPr>
        <w:ind w:left="720"/>
        <w:jc w:val="both"/>
        <w:rPr>
          <w:rFonts w:ascii="Times New Roman" w:hAnsi="Times New Roman" w:cs="Times New Roman"/>
          <w:sz w:val="24"/>
          <w:szCs w:val="24"/>
        </w:rPr>
      </w:pPr>
      <w:r w:rsidRPr="009C61C1">
        <w:rPr>
          <w:rFonts w:ascii="Times New Roman" w:hAnsi="Times New Roman" w:cs="Times New Roman"/>
          <w:sz w:val="24"/>
          <w:szCs w:val="24"/>
        </w:rPr>
        <w:t>“</w:t>
      </w:r>
      <w:r w:rsidRPr="009F7C7C">
        <w:rPr>
          <w:rFonts w:ascii="Times New Roman" w:hAnsi="Times New Roman" w:cs="Times New Roman"/>
          <w:i/>
          <w:sz w:val="24"/>
          <w:szCs w:val="24"/>
        </w:rPr>
        <w:t>There are no equities in the application of the rei vindicatio</w:t>
      </w:r>
      <w:r w:rsidRPr="009C61C1">
        <w:rPr>
          <w:rFonts w:ascii="Times New Roman" w:hAnsi="Times New Roman" w:cs="Times New Roman"/>
          <w:sz w:val="24"/>
          <w:szCs w:val="24"/>
        </w:rPr>
        <w:t xml:space="preserve">. Thus in applying the </w:t>
      </w:r>
      <w:r w:rsidRPr="009F7C7C">
        <w:rPr>
          <w:rFonts w:ascii="Times New Roman" w:hAnsi="Times New Roman" w:cs="Times New Roman"/>
          <w:i/>
          <w:sz w:val="24"/>
          <w:szCs w:val="24"/>
        </w:rPr>
        <w:t>principle, the court may not accept and grant pleas of mercy or for extension of possession of the property by the defendant against an owner for the convenience or comfort of the possessor once it is accepted that the plaintiff is the owner of the property and does not consent to the defendant holding it. It is a rule or principle of law that admits no discretion on the part of the court. It is a legal principle heavily weighted in favour of property owners against the world at large and is used to ruthlessly protect ownership.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owner-child or the number of lollipops that the owner child may be clutching at the time. It matters not that the possessor child may not have had a lollipop in a long time or is unlikely to have one in the foreseeable future. If the lollipop is not his or hers, he or she cannot have i</w:t>
      </w:r>
      <w:r w:rsidRPr="009C61C1">
        <w:rPr>
          <w:rFonts w:ascii="Times New Roman" w:hAnsi="Times New Roman" w:cs="Times New Roman"/>
          <w:sz w:val="24"/>
          <w:szCs w:val="24"/>
        </w:rPr>
        <w:t>t.</w:t>
      </w:r>
      <w:r>
        <w:rPr>
          <w:rFonts w:ascii="Times New Roman" w:hAnsi="Times New Roman" w:cs="Times New Roman"/>
          <w:sz w:val="24"/>
          <w:szCs w:val="24"/>
        </w:rPr>
        <w:t>”</w:t>
      </w:r>
    </w:p>
    <w:p w:rsidR="00710772" w:rsidRDefault="00DE1DF8" w:rsidP="00926222">
      <w:pPr>
        <w:ind w:firstLine="720"/>
        <w:jc w:val="both"/>
        <w:rPr>
          <w:rFonts w:ascii="Times New Roman" w:hAnsi="Times New Roman" w:cs="Times New Roman"/>
          <w:sz w:val="24"/>
          <w:szCs w:val="24"/>
        </w:rPr>
      </w:pPr>
      <w:r>
        <w:rPr>
          <w:rFonts w:ascii="Times New Roman" w:hAnsi="Times New Roman" w:cs="Times New Roman"/>
          <w:sz w:val="24"/>
          <w:szCs w:val="24"/>
        </w:rPr>
        <w:t>The</w:t>
      </w:r>
      <w:r w:rsidR="009C61C1">
        <w:rPr>
          <w:rFonts w:ascii="Times New Roman" w:hAnsi="Times New Roman" w:cs="Times New Roman"/>
          <w:sz w:val="24"/>
          <w:szCs w:val="24"/>
        </w:rPr>
        <w:t xml:space="preserve"> </w:t>
      </w:r>
      <w:r w:rsidR="009C61C1" w:rsidRPr="009C61C1">
        <w:rPr>
          <w:rFonts w:ascii="Times New Roman" w:hAnsi="Times New Roman" w:cs="Times New Roman"/>
          <w:sz w:val="24"/>
          <w:szCs w:val="24"/>
        </w:rPr>
        <w:t>above applies</w:t>
      </w:r>
      <w:r w:rsidR="009C61C1">
        <w:rPr>
          <w:rFonts w:ascii="Times New Roman" w:hAnsi="Times New Roman" w:cs="Times New Roman"/>
          <w:sz w:val="24"/>
          <w:szCs w:val="24"/>
        </w:rPr>
        <w:t xml:space="preserve"> with equal force in </w:t>
      </w:r>
      <w:r w:rsidR="009C61C1" w:rsidRPr="009C61C1">
        <w:rPr>
          <w:rFonts w:ascii="Times New Roman" w:hAnsi="Times New Roman" w:cs="Times New Roman"/>
          <w:i/>
          <w:sz w:val="24"/>
          <w:szCs w:val="24"/>
        </w:rPr>
        <w:t>casu</w:t>
      </w:r>
      <w:r w:rsidR="00741549">
        <w:rPr>
          <w:rFonts w:ascii="Times New Roman" w:hAnsi="Times New Roman" w:cs="Times New Roman"/>
          <w:sz w:val="24"/>
          <w:szCs w:val="24"/>
        </w:rPr>
        <w:t>. The application for summary judgement is merited</w:t>
      </w:r>
      <w:r w:rsidR="00710772">
        <w:rPr>
          <w:rFonts w:ascii="Times New Roman" w:hAnsi="Times New Roman" w:cs="Times New Roman"/>
          <w:sz w:val="24"/>
          <w:szCs w:val="24"/>
        </w:rPr>
        <w:t>.</w:t>
      </w:r>
    </w:p>
    <w:p w:rsidR="00677DA2" w:rsidRDefault="00710772" w:rsidP="00926222">
      <w:pPr>
        <w:ind w:firstLine="720"/>
        <w:jc w:val="both"/>
        <w:rPr>
          <w:rFonts w:ascii="Times New Roman" w:hAnsi="Times New Roman" w:cs="Times New Roman"/>
          <w:sz w:val="24"/>
          <w:szCs w:val="24"/>
        </w:rPr>
      </w:pPr>
      <w:r>
        <w:rPr>
          <w:rFonts w:ascii="Times New Roman" w:hAnsi="Times New Roman" w:cs="Times New Roman"/>
          <w:sz w:val="24"/>
          <w:szCs w:val="24"/>
        </w:rPr>
        <w:t>In the circumstances, I would accordingly grant the application with costs.</w:t>
      </w:r>
    </w:p>
    <w:p w:rsidR="0032781B" w:rsidRDefault="0032781B" w:rsidP="009C61C1">
      <w:pPr>
        <w:jc w:val="both"/>
        <w:rPr>
          <w:rFonts w:ascii="Times New Roman" w:hAnsi="Times New Roman" w:cs="Times New Roman"/>
          <w:sz w:val="24"/>
          <w:szCs w:val="24"/>
        </w:rPr>
      </w:pPr>
      <w:bookmarkStart w:id="0" w:name="_GoBack"/>
      <w:bookmarkEnd w:id="0"/>
    </w:p>
    <w:p w:rsidR="00926222" w:rsidRDefault="00926222" w:rsidP="009C61C1">
      <w:pPr>
        <w:jc w:val="both"/>
        <w:rPr>
          <w:rFonts w:ascii="Times New Roman" w:hAnsi="Times New Roman" w:cs="Times New Roman"/>
          <w:sz w:val="24"/>
          <w:szCs w:val="24"/>
        </w:rPr>
      </w:pPr>
    </w:p>
    <w:p w:rsidR="00926222" w:rsidRDefault="00926222" w:rsidP="009C61C1">
      <w:pPr>
        <w:jc w:val="both"/>
        <w:rPr>
          <w:rFonts w:ascii="Times New Roman" w:hAnsi="Times New Roman" w:cs="Times New Roman"/>
          <w:sz w:val="24"/>
          <w:szCs w:val="24"/>
        </w:rPr>
      </w:pPr>
    </w:p>
    <w:p w:rsidR="0032781B" w:rsidRPr="00926222" w:rsidRDefault="0032781B" w:rsidP="00926222">
      <w:pPr>
        <w:pStyle w:val="NoSpacing"/>
        <w:rPr>
          <w:sz w:val="24"/>
          <w:szCs w:val="24"/>
        </w:rPr>
      </w:pPr>
      <w:r w:rsidRPr="00926222">
        <w:rPr>
          <w:i/>
          <w:sz w:val="24"/>
          <w:szCs w:val="24"/>
        </w:rPr>
        <w:t>Moyo &amp; Nyoni Legal Practitioner</w:t>
      </w:r>
      <w:r w:rsidRPr="00926222">
        <w:rPr>
          <w:sz w:val="24"/>
          <w:szCs w:val="24"/>
        </w:rPr>
        <w:t>, applicant’s legal practitioners</w:t>
      </w:r>
    </w:p>
    <w:p w:rsidR="0032781B" w:rsidRPr="00926222" w:rsidRDefault="0032781B" w:rsidP="00926222">
      <w:pPr>
        <w:pStyle w:val="NoSpacing"/>
        <w:rPr>
          <w:sz w:val="24"/>
          <w:szCs w:val="24"/>
        </w:rPr>
      </w:pPr>
      <w:r w:rsidRPr="00926222">
        <w:rPr>
          <w:i/>
          <w:sz w:val="24"/>
          <w:szCs w:val="24"/>
        </w:rPr>
        <w:t>Mathonsi Ncube Law Chambers,</w:t>
      </w:r>
      <w:r w:rsidRPr="00926222">
        <w:rPr>
          <w:sz w:val="24"/>
          <w:szCs w:val="24"/>
        </w:rPr>
        <w:t xml:space="preserve"> respondent’s legal practitioners</w:t>
      </w:r>
    </w:p>
    <w:p w:rsidR="009A6897" w:rsidRDefault="009A6897" w:rsidP="009A6897">
      <w:pPr>
        <w:ind w:left="720"/>
        <w:jc w:val="both"/>
        <w:rPr>
          <w:rFonts w:ascii="Times New Roman" w:hAnsi="Times New Roman" w:cs="Times New Roman"/>
          <w:sz w:val="24"/>
          <w:szCs w:val="24"/>
        </w:rPr>
      </w:pPr>
    </w:p>
    <w:p w:rsidR="009A6897" w:rsidRDefault="009A6897" w:rsidP="009A6897">
      <w:pPr>
        <w:ind w:left="720"/>
        <w:jc w:val="both"/>
        <w:rPr>
          <w:rFonts w:ascii="Times New Roman" w:hAnsi="Times New Roman" w:cs="Times New Roman"/>
          <w:sz w:val="24"/>
          <w:szCs w:val="24"/>
        </w:rPr>
      </w:pPr>
    </w:p>
    <w:p w:rsidR="00B32F07" w:rsidRPr="00B32F07" w:rsidRDefault="00B32F07" w:rsidP="00B32F07">
      <w:pPr>
        <w:jc w:val="both"/>
        <w:rPr>
          <w:rFonts w:ascii="Times New Roman" w:hAnsi="Times New Roman" w:cs="Times New Roman"/>
          <w:sz w:val="24"/>
          <w:szCs w:val="24"/>
        </w:rPr>
      </w:pPr>
    </w:p>
    <w:p w:rsidR="007D2FA7" w:rsidRPr="003271D9" w:rsidRDefault="007D2FA7" w:rsidP="004C6563">
      <w:pPr>
        <w:ind w:firstLine="720"/>
        <w:jc w:val="both"/>
        <w:rPr>
          <w:rFonts w:ascii="Times New Roman" w:hAnsi="Times New Roman" w:cs="Times New Roman"/>
          <w:sz w:val="24"/>
          <w:szCs w:val="24"/>
          <w:u w:val="single"/>
        </w:rPr>
      </w:pPr>
    </w:p>
    <w:sectPr w:rsidR="007D2FA7" w:rsidRPr="003271D9" w:rsidSect="00220D80">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5EB" w:rsidRDefault="00D375EB" w:rsidP="007120FC">
      <w:pPr>
        <w:spacing w:after="0" w:line="240" w:lineRule="auto"/>
      </w:pPr>
      <w:r>
        <w:separator/>
      </w:r>
    </w:p>
  </w:endnote>
  <w:endnote w:type="continuationSeparator" w:id="1">
    <w:p w:rsidR="00D375EB" w:rsidRDefault="00D375EB" w:rsidP="00712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5EB" w:rsidRDefault="00D375EB" w:rsidP="007120FC">
      <w:pPr>
        <w:spacing w:after="0" w:line="240" w:lineRule="auto"/>
      </w:pPr>
      <w:r>
        <w:separator/>
      </w:r>
    </w:p>
  </w:footnote>
  <w:footnote w:type="continuationSeparator" w:id="1">
    <w:p w:rsidR="00D375EB" w:rsidRDefault="00D375EB" w:rsidP="00712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3678"/>
      <w:docPartObj>
        <w:docPartGallery w:val="Page Numbers (Top of Page)"/>
        <w:docPartUnique/>
      </w:docPartObj>
    </w:sdtPr>
    <w:sdtContent>
      <w:p w:rsidR="00926222" w:rsidRDefault="00B7029D">
        <w:pPr>
          <w:pStyle w:val="Header"/>
          <w:jc w:val="right"/>
        </w:pPr>
        <w:fldSimple w:instr=" PAGE   \* MERGEFORMAT ">
          <w:r w:rsidR="001F67A4">
            <w:rPr>
              <w:noProof/>
            </w:rPr>
            <w:t>3</w:t>
          </w:r>
        </w:fldSimple>
      </w:p>
      <w:p w:rsidR="00926222" w:rsidRDefault="00926222">
        <w:pPr>
          <w:pStyle w:val="Header"/>
          <w:jc w:val="right"/>
        </w:pPr>
        <w:r>
          <w:t>HB 137/20</w:t>
        </w:r>
      </w:p>
      <w:p w:rsidR="00926222" w:rsidRDefault="00926222">
        <w:pPr>
          <w:pStyle w:val="Header"/>
          <w:jc w:val="right"/>
        </w:pPr>
        <w:r>
          <w:t>HC 255/20</w:t>
        </w:r>
      </w:p>
    </w:sdtContent>
  </w:sdt>
  <w:p w:rsidR="007120FC" w:rsidRDefault="007120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17E48"/>
    <w:rsid w:val="000159A2"/>
    <w:rsid w:val="0002603C"/>
    <w:rsid w:val="00047BE5"/>
    <w:rsid w:val="00051AF7"/>
    <w:rsid w:val="00064D65"/>
    <w:rsid w:val="00073B71"/>
    <w:rsid w:val="00080BE0"/>
    <w:rsid w:val="00093FAE"/>
    <w:rsid w:val="000B7405"/>
    <w:rsid w:val="000C0809"/>
    <w:rsid w:val="000E2E8D"/>
    <w:rsid w:val="000E4C74"/>
    <w:rsid w:val="00176B90"/>
    <w:rsid w:val="0018296E"/>
    <w:rsid w:val="001B5548"/>
    <w:rsid w:val="001C19E8"/>
    <w:rsid w:val="001C362F"/>
    <w:rsid w:val="001D1534"/>
    <w:rsid w:val="001D2459"/>
    <w:rsid w:val="001F67A4"/>
    <w:rsid w:val="00220D80"/>
    <w:rsid w:val="00233EF9"/>
    <w:rsid w:val="002712B2"/>
    <w:rsid w:val="002D020D"/>
    <w:rsid w:val="002E5187"/>
    <w:rsid w:val="003271D9"/>
    <w:rsid w:val="0032781B"/>
    <w:rsid w:val="00341287"/>
    <w:rsid w:val="003626BF"/>
    <w:rsid w:val="00370296"/>
    <w:rsid w:val="003E2902"/>
    <w:rsid w:val="003F04A7"/>
    <w:rsid w:val="0042760A"/>
    <w:rsid w:val="0047042E"/>
    <w:rsid w:val="004A630D"/>
    <w:rsid w:val="004B15B8"/>
    <w:rsid w:val="004C3F11"/>
    <w:rsid w:val="004C6563"/>
    <w:rsid w:val="004E0CCD"/>
    <w:rsid w:val="004E52F1"/>
    <w:rsid w:val="0051077C"/>
    <w:rsid w:val="005165FB"/>
    <w:rsid w:val="00545638"/>
    <w:rsid w:val="00556CA5"/>
    <w:rsid w:val="0056766B"/>
    <w:rsid w:val="0059062C"/>
    <w:rsid w:val="005C1F1D"/>
    <w:rsid w:val="005C43BC"/>
    <w:rsid w:val="005E1B4F"/>
    <w:rsid w:val="005F4A95"/>
    <w:rsid w:val="00617E48"/>
    <w:rsid w:val="0062234F"/>
    <w:rsid w:val="006247E9"/>
    <w:rsid w:val="00641645"/>
    <w:rsid w:val="0067714F"/>
    <w:rsid w:val="00677DA2"/>
    <w:rsid w:val="00686B0E"/>
    <w:rsid w:val="006A12FC"/>
    <w:rsid w:val="006C5C4B"/>
    <w:rsid w:val="006D4AD3"/>
    <w:rsid w:val="00710772"/>
    <w:rsid w:val="007120FC"/>
    <w:rsid w:val="00714562"/>
    <w:rsid w:val="00737174"/>
    <w:rsid w:val="00741549"/>
    <w:rsid w:val="00764D65"/>
    <w:rsid w:val="00784BA1"/>
    <w:rsid w:val="007968F0"/>
    <w:rsid w:val="007A10C4"/>
    <w:rsid w:val="007D2FA7"/>
    <w:rsid w:val="0081394D"/>
    <w:rsid w:val="00815BDF"/>
    <w:rsid w:val="00834D85"/>
    <w:rsid w:val="00853972"/>
    <w:rsid w:val="0085502E"/>
    <w:rsid w:val="0086380F"/>
    <w:rsid w:val="00864039"/>
    <w:rsid w:val="00866877"/>
    <w:rsid w:val="0087350E"/>
    <w:rsid w:val="008A78DC"/>
    <w:rsid w:val="008C7816"/>
    <w:rsid w:val="008E2BA3"/>
    <w:rsid w:val="008F309F"/>
    <w:rsid w:val="00904DA7"/>
    <w:rsid w:val="00926222"/>
    <w:rsid w:val="009A6897"/>
    <w:rsid w:val="009B2864"/>
    <w:rsid w:val="009B4EBC"/>
    <w:rsid w:val="009C61C1"/>
    <w:rsid w:val="009C7E79"/>
    <w:rsid w:val="009E7082"/>
    <w:rsid w:val="009F7C7C"/>
    <w:rsid w:val="00A25E9E"/>
    <w:rsid w:val="00A529C6"/>
    <w:rsid w:val="00A54BF5"/>
    <w:rsid w:val="00A5553E"/>
    <w:rsid w:val="00A64A45"/>
    <w:rsid w:val="00A8636D"/>
    <w:rsid w:val="00AB4D06"/>
    <w:rsid w:val="00AB6A05"/>
    <w:rsid w:val="00AD1D67"/>
    <w:rsid w:val="00AD2202"/>
    <w:rsid w:val="00B039B2"/>
    <w:rsid w:val="00B04954"/>
    <w:rsid w:val="00B04F4B"/>
    <w:rsid w:val="00B11ECF"/>
    <w:rsid w:val="00B121B2"/>
    <w:rsid w:val="00B264C7"/>
    <w:rsid w:val="00B32F07"/>
    <w:rsid w:val="00B7029D"/>
    <w:rsid w:val="00B73978"/>
    <w:rsid w:val="00B76FA6"/>
    <w:rsid w:val="00B976C8"/>
    <w:rsid w:val="00BB2A83"/>
    <w:rsid w:val="00BC72D0"/>
    <w:rsid w:val="00BC7E77"/>
    <w:rsid w:val="00BF369D"/>
    <w:rsid w:val="00C34078"/>
    <w:rsid w:val="00C83A5F"/>
    <w:rsid w:val="00C85E28"/>
    <w:rsid w:val="00CE3084"/>
    <w:rsid w:val="00CE38A4"/>
    <w:rsid w:val="00D12B21"/>
    <w:rsid w:val="00D25BA4"/>
    <w:rsid w:val="00D375EB"/>
    <w:rsid w:val="00D43191"/>
    <w:rsid w:val="00D44465"/>
    <w:rsid w:val="00D76A2C"/>
    <w:rsid w:val="00D76E18"/>
    <w:rsid w:val="00DC0D1D"/>
    <w:rsid w:val="00DC64C9"/>
    <w:rsid w:val="00DE1DF8"/>
    <w:rsid w:val="00DF4657"/>
    <w:rsid w:val="00E329B1"/>
    <w:rsid w:val="00E40902"/>
    <w:rsid w:val="00E61F63"/>
    <w:rsid w:val="00E74869"/>
    <w:rsid w:val="00E91E95"/>
    <w:rsid w:val="00EA3F49"/>
    <w:rsid w:val="00EC4341"/>
    <w:rsid w:val="00EC4F17"/>
    <w:rsid w:val="00ED0D0A"/>
    <w:rsid w:val="00EE4ED0"/>
    <w:rsid w:val="00F16560"/>
    <w:rsid w:val="00F32B01"/>
    <w:rsid w:val="00F7501A"/>
    <w:rsid w:val="00F95DD1"/>
    <w:rsid w:val="00FA2ABE"/>
    <w:rsid w:val="00FF2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FC"/>
  </w:style>
  <w:style w:type="paragraph" w:styleId="Footer">
    <w:name w:val="footer"/>
    <w:basedOn w:val="Normal"/>
    <w:link w:val="FooterChar"/>
    <w:uiPriority w:val="99"/>
    <w:unhideWhenUsed/>
    <w:rsid w:val="00712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FC"/>
  </w:style>
  <w:style w:type="paragraph" w:styleId="NoSpacing">
    <w:name w:val="No Spacing"/>
    <w:uiPriority w:val="1"/>
    <w:qFormat/>
    <w:rsid w:val="009262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FC"/>
  </w:style>
  <w:style w:type="paragraph" w:styleId="Footer">
    <w:name w:val="footer"/>
    <w:basedOn w:val="Normal"/>
    <w:link w:val="FooterChar"/>
    <w:uiPriority w:val="99"/>
    <w:unhideWhenUsed/>
    <w:rsid w:val="00712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2808-63D5-4F65-BBC6-D35E3EE3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sabawu</cp:lastModifiedBy>
  <cp:revision>51</cp:revision>
  <cp:lastPrinted>2020-07-10T10:18:00Z</cp:lastPrinted>
  <dcterms:created xsi:type="dcterms:W3CDTF">2020-06-01T12:34:00Z</dcterms:created>
  <dcterms:modified xsi:type="dcterms:W3CDTF">2020-07-10T10:18:00Z</dcterms:modified>
</cp:coreProperties>
</file>