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609" w:rsidRPr="007034A1" w:rsidRDefault="0062736D" w:rsidP="00791EDA">
      <w:pPr>
        <w:pStyle w:val="NoSpacing"/>
        <w:jc w:val="both"/>
        <w:rPr>
          <w:b/>
          <w:sz w:val="24"/>
          <w:szCs w:val="24"/>
          <w:lang w:val="en-US"/>
        </w:rPr>
      </w:pPr>
      <w:r w:rsidRPr="007034A1">
        <w:rPr>
          <w:b/>
          <w:sz w:val="24"/>
          <w:szCs w:val="24"/>
          <w:lang w:val="en-US"/>
        </w:rPr>
        <w:t>SUKOLUHLE MOYO</w:t>
      </w:r>
      <w:bookmarkStart w:id="0" w:name="_GoBack"/>
      <w:bookmarkEnd w:id="0"/>
    </w:p>
    <w:p w:rsidR="0062736D" w:rsidRPr="007034A1" w:rsidRDefault="0062736D" w:rsidP="00791EDA">
      <w:pPr>
        <w:pStyle w:val="NoSpacing"/>
        <w:jc w:val="both"/>
        <w:rPr>
          <w:b/>
          <w:sz w:val="24"/>
          <w:szCs w:val="24"/>
          <w:lang w:val="en-US"/>
        </w:rPr>
      </w:pPr>
      <w:r w:rsidRPr="007034A1">
        <w:rPr>
          <w:b/>
          <w:sz w:val="24"/>
          <w:szCs w:val="24"/>
          <w:lang w:val="en-US"/>
        </w:rPr>
        <w:t xml:space="preserve">(Representing </w:t>
      </w:r>
      <w:proofErr w:type="spellStart"/>
      <w:r w:rsidRPr="007034A1">
        <w:rPr>
          <w:b/>
          <w:sz w:val="24"/>
          <w:szCs w:val="24"/>
          <w:lang w:val="en-US"/>
        </w:rPr>
        <w:t>Silobela</w:t>
      </w:r>
      <w:proofErr w:type="spellEnd"/>
      <w:r w:rsidRPr="007034A1">
        <w:rPr>
          <w:b/>
          <w:sz w:val="24"/>
          <w:szCs w:val="24"/>
          <w:lang w:val="en-US"/>
        </w:rPr>
        <w:t xml:space="preserve"> Community Development</w:t>
      </w:r>
    </w:p>
    <w:p w:rsidR="0062736D" w:rsidRPr="007034A1" w:rsidRDefault="0062736D" w:rsidP="00791EDA">
      <w:pPr>
        <w:pStyle w:val="NoSpacing"/>
        <w:jc w:val="both"/>
        <w:rPr>
          <w:b/>
          <w:sz w:val="24"/>
          <w:szCs w:val="24"/>
          <w:lang w:val="en-US"/>
        </w:rPr>
      </w:pPr>
      <w:r w:rsidRPr="007034A1">
        <w:rPr>
          <w:b/>
          <w:sz w:val="24"/>
          <w:szCs w:val="24"/>
          <w:lang w:val="en-US"/>
        </w:rPr>
        <w:t>Trust in her official capacity as Trustee thereof)</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Versus</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THE MIDLANDS MINING COMMISSIONER</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 xml:space="preserve"> And</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THE PROVINCIAL MINING DIRECTOR N.O.</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And</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THE PROVINCIAL MINING DIRECTOR</w:t>
      </w:r>
    </w:p>
    <w:p w:rsidR="0062736D" w:rsidRPr="007034A1" w:rsidRDefault="0062736D" w:rsidP="00791EDA">
      <w:pPr>
        <w:pStyle w:val="NoSpacing"/>
        <w:jc w:val="both"/>
        <w:rPr>
          <w:b/>
          <w:sz w:val="24"/>
          <w:szCs w:val="24"/>
          <w:lang w:val="en-US"/>
        </w:rPr>
      </w:pPr>
      <w:r w:rsidRPr="007034A1">
        <w:rPr>
          <w:b/>
          <w:sz w:val="24"/>
          <w:szCs w:val="24"/>
          <w:lang w:val="en-US"/>
        </w:rPr>
        <w:t>(MIDLANDS PROVINCE)</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And</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APOLLO MHLOPHE</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sz w:val="24"/>
          <w:szCs w:val="24"/>
          <w:lang w:val="en-US"/>
        </w:rPr>
      </w:pPr>
      <w:r w:rsidRPr="007034A1">
        <w:rPr>
          <w:sz w:val="24"/>
          <w:szCs w:val="24"/>
          <w:lang w:val="en-US"/>
        </w:rPr>
        <w:t>IN THE HIGH COURT OF ZIMBABWE</w:t>
      </w:r>
    </w:p>
    <w:p w:rsidR="0062736D" w:rsidRPr="007034A1" w:rsidRDefault="0062736D" w:rsidP="00791EDA">
      <w:pPr>
        <w:pStyle w:val="NoSpacing"/>
        <w:jc w:val="both"/>
        <w:rPr>
          <w:sz w:val="24"/>
          <w:szCs w:val="24"/>
          <w:lang w:val="en-US"/>
        </w:rPr>
      </w:pPr>
      <w:r w:rsidRPr="007034A1">
        <w:rPr>
          <w:sz w:val="24"/>
          <w:szCs w:val="24"/>
          <w:lang w:val="en-US"/>
        </w:rPr>
        <w:t>MAKONESE J</w:t>
      </w:r>
    </w:p>
    <w:p w:rsidR="0062736D" w:rsidRPr="007034A1" w:rsidRDefault="0062736D" w:rsidP="00791EDA">
      <w:pPr>
        <w:pStyle w:val="NoSpacing"/>
        <w:jc w:val="both"/>
        <w:rPr>
          <w:sz w:val="24"/>
          <w:szCs w:val="24"/>
          <w:lang w:val="en-US"/>
        </w:rPr>
      </w:pPr>
      <w:r w:rsidRPr="007034A1">
        <w:rPr>
          <w:sz w:val="24"/>
          <w:szCs w:val="24"/>
          <w:lang w:val="en-US"/>
        </w:rPr>
        <w:t>BULAWAYO 29 JULY &amp; 22 SEPTEMBER 2022</w:t>
      </w:r>
    </w:p>
    <w:p w:rsidR="0062736D" w:rsidRPr="007034A1" w:rsidRDefault="0062736D" w:rsidP="00791EDA">
      <w:pPr>
        <w:pStyle w:val="NoSpacing"/>
        <w:jc w:val="both"/>
        <w:rPr>
          <w:sz w:val="24"/>
          <w:szCs w:val="24"/>
          <w:lang w:val="en-US"/>
        </w:rPr>
      </w:pPr>
    </w:p>
    <w:p w:rsidR="0062736D" w:rsidRPr="007034A1" w:rsidRDefault="0062736D" w:rsidP="00791EDA">
      <w:pPr>
        <w:pStyle w:val="NoSpacing"/>
        <w:jc w:val="both"/>
        <w:rPr>
          <w:b/>
          <w:sz w:val="24"/>
          <w:szCs w:val="24"/>
          <w:lang w:val="en-US"/>
        </w:rPr>
      </w:pPr>
      <w:r w:rsidRPr="007034A1">
        <w:rPr>
          <w:b/>
          <w:sz w:val="24"/>
          <w:szCs w:val="24"/>
          <w:lang w:val="en-US"/>
        </w:rPr>
        <w:t>Urgent Chamber Application</w:t>
      </w:r>
    </w:p>
    <w:p w:rsidR="0062736D" w:rsidRPr="007034A1" w:rsidRDefault="0062736D" w:rsidP="00791EDA">
      <w:pPr>
        <w:pStyle w:val="NoSpacing"/>
        <w:jc w:val="both"/>
        <w:rPr>
          <w:b/>
          <w:sz w:val="24"/>
          <w:szCs w:val="24"/>
          <w:lang w:val="en-US"/>
        </w:rPr>
      </w:pPr>
    </w:p>
    <w:p w:rsidR="0062736D" w:rsidRPr="007034A1" w:rsidRDefault="0062736D" w:rsidP="00791EDA">
      <w:pPr>
        <w:pStyle w:val="NoSpacing"/>
        <w:jc w:val="both"/>
        <w:rPr>
          <w:sz w:val="24"/>
          <w:szCs w:val="24"/>
          <w:lang w:val="en-US"/>
        </w:rPr>
      </w:pPr>
      <w:r w:rsidRPr="007034A1">
        <w:rPr>
          <w:i/>
          <w:sz w:val="24"/>
          <w:szCs w:val="24"/>
          <w:lang w:val="en-US"/>
        </w:rPr>
        <w:t>B. Masamvu</w:t>
      </w:r>
      <w:r w:rsidRPr="007034A1">
        <w:rPr>
          <w:sz w:val="24"/>
          <w:szCs w:val="24"/>
          <w:lang w:val="en-US"/>
        </w:rPr>
        <w:t xml:space="preserve"> for the applicant</w:t>
      </w:r>
    </w:p>
    <w:p w:rsidR="0062736D" w:rsidRPr="007034A1" w:rsidRDefault="00944F02" w:rsidP="00791EDA">
      <w:pPr>
        <w:pStyle w:val="NoSpacing"/>
        <w:jc w:val="both"/>
        <w:rPr>
          <w:sz w:val="24"/>
          <w:szCs w:val="24"/>
          <w:lang w:val="en-US"/>
        </w:rPr>
      </w:pPr>
      <w:r>
        <w:rPr>
          <w:i/>
          <w:sz w:val="24"/>
          <w:szCs w:val="24"/>
          <w:lang w:val="en-US"/>
        </w:rPr>
        <w:t xml:space="preserve">S. </w:t>
      </w:r>
      <w:proofErr w:type="spellStart"/>
      <w:r>
        <w:rPr>
          <w:i/>
          <w:sz w:val="24"/>
          <w:szCs w:val="24"/>
          <w:lang w:val="en-US"/>
        </w:rPr>
        <w:t>Nkomo</w:t>
      </w:r>
      <w:proofErr w:type="spellEnd"/>
      <w:r w:rsidR="004847FB" w:rsidRPr="007034A1">
        <w:rPr>
          <w:sz w:val="24"/>
          <w:szCs w:val="24"/>
          <w:lang w:val="en-US"/>
        </w:rPr>
        <w:t xml:space="preserve"> </w:t>
      </w:r>
      <w:r w:rsidR="0062736D" w:rsidRPr="007034A1">
        <w:rPr>
          <w:sz w:val="24"/>
          <w:szCs w:val="24"/>
          <w:lang w:val="en-US"/>
        </w:rPr>
        <w:t xml:space="preserve">for the </w:t>
      </w:r>
      <w:r w:rsidR="004847FB" w:rsidRPr="007034A1">
        <w:rPr>
          <w:sz w:val="24"/>
          <w:szCs w:val="24"/>
          <w:lang w:val="en-US"/>
        </w:rPr>
        <w:t>4</w:t>
      </w:r>
      <w:r w:rsidR="004847FB" w:rsidRPr="007034A1">
        <w:rPr>
          <w:sz w:val="24"/>
          <w:szCs w:val="24"/>
          <w:vertAlign w:val="superscript"/>
          <w:lang w:val="en-US"/>
        </w:rPr>
        <w:t>th</w:t>
      </w:r>
      <w:r w:rsidR="004847FB" w:rsidRPr="007034A1">
        <w:rPr>
          <w:sz w:val="24"/>
          <w:szCs w:val="24"/>
          <w:lang w:val="en-US"/>
        </w:rPr>
        <w:t xml:space="preserve"> respondent</w:t>
      </w:r>
    </w:p>
    <w:p w:rsidR="0062736D" w:rsidRPr="007034A1" w:rsidRDefault="0062736D" w:rsidP="00791EDA">
      <w:pPr>
        <w:pStyle w:val="NoSpacing"/>
        <w:jc w:val="both"/>
        <w:rPr>
          <w:sz w:val="24"/>
          <w:szCs w:val="24"/>
          <w:lang w:val="en-US"/>
        </w:rPr>
      </w:pPr>
    </w:p>
    <w:p w:rsidR="0062736D" w:rsidRPr="007034A1" w:rsidRDefault="0062736D" w:rsidP="00791EDA">
      <w:pPr>
        <w:jc w:val="both"/>
        <w:rPr>
          <w:sz w:val="24"/>
          <w:szCs w:val="24"/>
          <w:lang w:val="en-US"/>
        </w:rPr>
      </w:pPr>
      <w:r w:rsidRPr="007034A1">
        <w:rPr>
          <w:b/>
          <w:sz w:val="24"/>
          <w:szCs w:val="24"/>
          <w:lang w:val="en-US"/>
        </w:rPr>
        <w:tab/>
        <w:t>MAKONESE J:</w:t>
      </w:r>
      <w:r w:rsidRPr="007034A1">
        <w:rPr>
          <w:b/>
          <w:sz w:val="24"/>
          <w:szCs w:val="24"/>
          <w:lang w:val="en-US"/>
        </w:rPr>
        <w:tab/>
      </w:r>
      <w:r w:rsidRPr="007034A1">
        <w:rPr>
          <w:sz w:val="24"/>
          <w:szCs w:val="24"/>
          <w:lang w:val="en-US"/>
        </w:rPr>
        <w:t>This matter was filed under a certificate of urgency with this court on the 25</w:t>
      </w:r>
      <w:r w:rsidRPr="007034A1">
        <w:rPr>
          <w:sz w:val="24"/>
          <w:szCs w:val="24"/>
          <w:vertAlign w:val="superscript"/>
          <w:lang w:val="en-US"/>
        </w:rPr>
        <w:t>th</w:t>
      </w:r>
      <w:r w:rsidRPr="007034A1">
        <w:rPr>
          <w:sz w:val="24"/>
          <w:szCs w:val="24"/>
          <w:lang w:val="en-US"/>
        </w:rPr>
        <w:t xml:space="preserve"> July 2022.  The parties appeared before me on the 3</w:t>
      </w:r>
      <w:r w:rsidRPr="007034A1">
        <w:rPr>
          <w:sz w:val="24"/>
          <w:szCs w:val="24"/>
          <w:vertAlign w:val="superscript"/>
          <w:lang w:val="en-US"/>
        </w:rPr>
        <w:t>rd</w:t>
      </w:r>
      <w:r w:rsidRPr="007034A1">
        <w:rPr>
          <w:sz w:val="24"/>
          <w:szCs w:val="24"/>
          <w:lang w:val="en-US"/>
        </w:rPr>
        <w:t xml:space="preserve"> of August 2022 to argue the matter.  The applicant seeks an order in the following terms:</w:t>
      </w:r>
    </w:p>
    <w:p w:rsidR="0062736D" w:rsidRPr="007034A1" w:rsidRDefault="0062736D" w:rsidP="00791EDA">
      <w:pPr>
        <w:pStyle w:val="NoSpacing"/>
        <w:jc w:val="both"/>
        <w:rPr>
          <w:sz w:val="24"/>
          <w:szCs w:val="24"/>
          <w:u w:val="single"/>
          <w:lang w:val="en-US"/>
        </w:rPr>
      </w:pPr>
      <w:r w:rsidRPr="007034A1">
        <w:rPr>
          <w:sz w:val="24"/>
          <w:szCs w:val="24"/>
          <w:lang w:val="en-US"/>
        </w:rPr>
        <w:tab/>
      </w:r>
      <w:r w:rsidRPr="007034A1">
        <w:rPr>
          <w:sz w:val="24"/>
          <w:szCs w:val="24"/>
          <w:u w:val="single"/>
          <w:lang w:val="en-US"/>
        </w:rPr>
        <w:t>“Interim relief sought</w:t>
      </w:r>
    </w:p>
    <w:p w:rsidR="0062736D" w:rsidRPr="007034A1" w:rsidRDefault="0062736D" w:rsidP="00791EDA">
      <w:pPr>
        <w:pStyle w:val="NoSpacing"/>
        <w:jc w:val="both"/>
        <w:rPr>
          <w:sz w:val="24"/>
          <w:szCs w:val="24"/>
          <w:lang w:val="en-US"/>
        </w:rPr>
      </w:pPr>
    </w:p>
    <w:p w:rsidR="0062736D" w:rsidRPr="007034A1" w:rsidRDefault="0062736D" w:rsidP="00791EDA">
      <w:pPr>
        <w:pStyle w:val="NoSpacing"/>
        <w:numPr>
          <w:ilvl w:val="0"/>
          <w:numId w:val="1"/>
        </w:numPr>
        <w:jc w:val="both"/>
        <w:rPr>
          <w:sz w:val="24"/>
          <w:szCs w:val="24"/>
          <w:lang w:val="en-US"/>
        </w:rPr>
      </w:pPr>
      <w:r w:rsidRPr="007034A1">
        <w:rPr>
          <w:sz w:val="24"/>
          <w:szCs w:val="24"/>
          <w:lang w:val="en-US"/>
        </w:rPr>
        <w:t>It is hereby ordered that the applicant be allowed</w:t>
      </w:r>
      <w:r w:rsidR="001A2397" w:rsidRPr="007034A1">
        <w:rPr>
          <w:sz w:val="24"/>
          <w:szCs w:val="24"/>
          <w:lang w:val="en-US"/>
        </w:rPr>
        <w:t xml:space="preserve"> occupation, use and access to a mine registered under certificate of registration number 30223 registered on 5 October 2015, in the name of Silobela Community Development Trust in respect of a mine named Turtle 54.</w:t>
      </w:r>
    </w:p>
    <w:p w:rsidR="001A2397" w:rsidRPr="007034A1" w:rsidRDefault="00791EDA" w:rsidP="00791EDA">
      <w:pPr>
        <w:pStyle w:val="NoSpacing"/>
        <w:numPr>
          <w:ilvl w:val="0"/>
          <w:numId w:val="1"/>
        </w:numPr>
        <w:jc w:val="both"/>
        <w:rPr>
          <w:sz w:val="24"/>
          <w:szCs w:val="24"/>
          <w:lang w:val="en-US"/>
        </w:rPr>
      </w:pPr>
      <w:r w:rsidRPr="007034A1">
        <w:rPr>
          <w:sz w:val="24"/>
          <w:szCs w:val="24"/>
          <w:lang w:val="en-US"/>
        </w:rPr>
        <w:t>The 4</w:t>
      </w:r>
      <w:r w:rsidRPr="007034A1">
        <w:rPr>
          <w:sz w:val="24"/>
          <w:szCs w:val="24"/>
          <w:vertAlign w:val="superscript"/>
          <w:lang w:val="en-US"/>
        </w:rPr>
        <w:t>th</w:t>
      </w:r>
      <w:r w:rsidRPr="007034A1">
        <w:rPr>
          <w:sz w:val="24"/>
          <w:szCs w:val="24"/>
          <w:lang w:val="en-US"/>
        </w:rPr>
        <w:t xml:space="preserve"> </w:t>
      </w:r>
      <w:r w:rsidR="001A2397" w:rsidRPr="007034A1">
        <w:rPr>
          <w:sz w:val="24"/>
          <w:szCs w:val="24"/>
          <w:lang w:val="en-US"/>
        </w:rPr>
        <w:t>respondent with all those who act through him on his behalf, be and are hereby ordered t</w:t>
      </w:r>
      <w:r w:rsidRPr="007034A1">
        <w:rPr>
          <w:sz w:val="24"/>
          <w:szCs w:val="24"/>
          <w:lang w:val="en-US"/>
        </w:rPr>
        <w:t>o</w:t>
      </w:r>
      <w:r w:rsidR="001A2397" w:rsidRPr="007034A1">
        <w:rPr>
          <w:sz w:val="24"/>
          <w:szCs w:val="24"/>
          <w:lang w:val="en-US"/>
        </w:rPr>
        <w:t xml:space="preserve"> stop all mining operations on a mine named Turtle 54  the situation of which is indicated to be on Silobela Communa</w:t>
      </w:r>
      <w:r w:rsidRPr="007034A1">
        <w:rPr>
          <w:sz w:val="24"/>
          <w:szCs w:val="24"/>
          <w:lang w:val="en-US"/>
        </w:rPr>
        <w:t>l</w:t>
      </w:r>
      <w:r w:rsidR="001A2397" w:rsidRPr="007034A1">
        <w:rPr>
          <w:sz w:val="24"/>
          <w:szCs w:val="24"/>
          <w:lang w:val="en-US"/>
        </w:rPr>
        <w:t xml:space="preserve"> Lands and to return the said mining claim to Silobela Community Development Trust.</w:t>
      </w:r>
    </w:p>
    <w:p w:rsidR="001A2397" w:rsidRPr="007034A1" w:rsidRDefault="001A2397" w:rsidP="00791EDA">
      <w:pPr>
        <w:pStyle w:val="NoSpacing"/>
        <w:numPr>
          <w:ilvl w:val="0"/>
          <w:numId w:val="1"/>
        </w:numPr>
        <w:jc w:val="both"/>
        <w:rPr>
          <w:sz w:val="24"/>
          <w:szCs w:val="24"/>
          <w:lang w:val="en-US"/>
        </w:rPr>
      </w:pPr>
      <w:r w:rsidRPr="007034A1">
        <w:rPr>
          <w:sz w:val="24"/>
          <w:szCs w:val="24"/>
          <w:lang w:val="en-US"/>
        </w:rPr>
        <w:t xml:space="preserve">This order shall be a warrant requiring any member of the Zimbabwe Republic Police to assist the applicant and or the Sheriff or his lawful deputy in enforcing it </w:t>
      </w:r>
      <w:r w:rsidRPr="007034A1">
        <w:rPr>
          <w:sz w:val="24"/>
          <w:szCs w:val="24"/>
          <w:lang w:val="en-US"/>
        </w:rPr>
        <w:lastRenderedPageBreak/>
        <w:t>and to arrest anyone who acts in a manner which interferes wit</w:t>
      </w:r>
      <w:r w:rsidR="00A426F0" w:rsidRPr="007034A1">
        <w:rPr>
          <w:sz w:val="24"/>
          <w:szCs w:val="24"/>
          <w:lang w:val="en-US"/>
        </w:rPr>
        <w:t>h</w:t>
      </w:r>
      <w:r w:rsidRPr="007034A1">
        <w:rPr>
          <w:sz w:val="24"/>
          <w:szCs w:val="24"/>
          <w:lang w:val="en-US"/>
        </w:rPr>
        <w:t xml:space="preserve"> Silobela Development Trust occupation, use or access of a mine name Turtle 54 through certificate of registration number 30223 the situation of which it indicated to be an Silobela Communal Lands.</w:t>
      </w:r>
    </w:p>
    <w:p w:rsidR="001A2397" w:rsidRPr="007034A1" w:rsidRDefault="001A2397" w:rsidP="00791EDA">
      <w:pPr>
        <w:pStyle w:val="NoSpacing"/>
        <w:numPr>
          <w:ilvl w:val="0"/>
          <w:numId w:val="1"/>
        </w:numPr>
        <w:jc w:val="both"/>
        <w:rPr>
          <w:sz w:val="24"/>
          <w:szCs w:val="24"/>
          <w:lang w:val="en-US"/>
        </w:rPr>
      </w:pPr>
      <w:r w:rsidRPr="007034A1">
        <w:rPr>
          <w:sz w:val="24"/>
          <w:szCs w:val="24"/>
          <w:lang w:val="en-US"/>
        </w:rPr>
        <w:t>The 4</w:t>
      </w:r>
      <w:r w:rsidRPr="007034A1">
        <w:rPr>
          <w:sz w:val="24"/>
          <w:szCs w:val="24"/>
          <w:vertAlign w:val="superscript"/>
          <w:lang w:val="en-US"/>
        </w:rPr>
        <w:t>th</w:t>
      </w:r>
      <w:r w:rsidR="00A426F0" w:rsidRPr="007034A1">
        <w:rPr>
          <w:sz w:val="24"/>
          <w:szCs w:val="24"/>
          <w:lang w:val="en-US"/>
        </w:rPr>
        <w:t xml:space="preserve"> respondent to p</w:t>
      </w:r>
      <w:r w:rsidRPr="007034A1">
        <w:rPr>
          <w:sz w:val="24"/>
          <w:szCs w:val="24"/>
          <w:lang w:val="en-US"/>
        </w:rPr>
        <w:t>ay costs on a</w:t>
      </w:r>
      <w:r w:rsidR="00A426F0" w:rsidRPr="007034A1">
        <w:rPr>
          <w:sz w:val="24"/>
          <w:szCs w:val="24"/>
          <w:lang w:val="en-US"/>
        </w:rPr>
        <w:t>n</w:t>
      </w:r>
      <w:r w:rsidRPr="007034A1">
        <w:rPr>
          <w:sz w:val="24"/>
          <w:szCs w:val="24"/>
          <w:lang w:val="en-US"/>
        </w:rPr>
        <w:t xml:space="preserve"> attorney and client scale.</w:t>
      </w:r>
    </w:p>
    <w:p w:rsidR="001A2397" w:rsidRPr="007034A1" w:rsidRDefault="001A2397" w:rsidP="00791EDA">
      <w:pPr>
        <w:pStyle w:val="NoSpacing"/>
        <w:ind w:left="1080"/>
        <w:jc w:val="both"/>
        <w:rPr>
          <w:sz w:val="24"/>
          <w:szCs w:val="24"/>
          <w:lang w:val="en-US"/>
        </w:rPr>
      </w:pPr>
    </w:p>
    <w:p w:rsidR="001A2397" w:rsidRPr="007034A1" w:rsidRDefault="001A2397" w:rsidP="00791EDA">
      <w:pPr>
        <w:pStyle w:val="NoSpacing"/>
        <w:ind w:left="1080"/>
        <w:jc w:val="both"/>
        <w:rPr>
          <w:sz w:val="24"/>
          <w:szCs w:val="24"/>
          <w:u w:val="single"/>
          <w:lang w:val="en-US"/>
        </w:rPr>
      </w:pPr>
      <w:r w:rsidRPr="007034A1">
        <w:rPr>
          <w:sz w:val="24"/>
          <w:szCs w:val="24"/>
          <w:u w:val="single"/>
          <w:lang w:val="en-US"/>
        </w:rPr>
        <w:t>Terms of final order sought</w:t>
      </w:r>
    </w:p>
    <w:p w:rsidR="001A2397" w:rsidRPr="007034A1" w:rsidRDefault="001A2397" w:rsidP="00791EDA">
      <w:pPr>
        <w:pStyle w:val="NoSpacing"/>
        <w:ind w:left="1080"/>
        <w:jc w:val="both"/>
        <w:rPr>
          <w:sz w:val="24"/>
          <w:szCs w:val="24"/>
          <w:lang w:val="en-US"/>
        </w:rPr>
      </w:pPr>
    </w:p>
    <w:p w:rsidR="001A2397" w:rsidRPr="007034A1" w:rsidRDefault="00A426F0" w:rsidP="00791EDA">
      <w:pPr>
        <w:pStyle w:val="NoSpacing"/>
        <w:numPr>
          <w:ilvl w:val="0"/>
          <w:numId w:val="2"/>
        </w:numPr>
        <w:jc w:val="both"/>
        <w:rPr>
          <w:sz w:val="24"/>
          <w:szCs w:val="24"/>
          <w:lang w:val="en-US"/>
        </w:rPr>
      </w:pPr>
      <w:r w:rsidRPr="007034A1">
        <w:rPr>
          <w:sz w:val="24"/>
          <w:szCs w:val="24"/>
          <w:lang w:val="en-US"/>
        </w:rPr>
        <w:t>The provisional order be and is hereby declared to be final.</w:t>
      </w:r>
    </w:p>
    <w:p w:rsidR="00A426F0" w:rsidRPr="007034A1" w:rsidRDefault="00A426F0" w:rsidP="00791EDA">
      <w:pPr>
        <w:pStyle w:val="NoSpacing"/>
        <w:numPr>
          <w:ilvl w:val="0"/>
          <w:numId w:val="2"/>
        </w:numPr>
        <w:jc w:val="both"/>
        <w:rPr>
          <w:sz w:val="24"/>
          <w:szCs w:val="24"/>
          <w:lang w:val="en-US"/>
        </w:rPr>
      </w:pPr>
      <w:r w:rsidRPr="007034A1">
        <w:rPr>
          <w:sz w:val="24"/>
          <w:szCs w:val="24"/>
          <w:lang w:val="en-US"/>
        </w:rPr>
        <w:t xml:space="preserve">It is ordered that the </w:t>
      </w:r>
      <w:r w:rsidRPr="007034A1">
        <w:rPr>
          <w:i/>
          <w:sz w:val="24"/>
          <w:szCs w:val="24"/>
          <w:lang w:val="en-US"/>
        </w:rPr>
        <w:t>status quo ante</w:t>
      </w:r>
      <w:r w:rsidRPr="007034A1">
        <w:rPr>
          <w:sz w:val="24"/>
          <w:szCs w:val="24"/>
          <w:lang w:val="en-US"/>
        </w:rPr>
        <w:t xml:space="preserve"> be ad is hereby mentioned until finalization of applicant’s application which case number HC 1344/22</w:t>
      </w:r>
    </w:p>
    <w:p w:rsidR="00A426F0" w:rsidRPr="007034A1" w:rsidRDefault="00A426F0" w:rsidP="00791EDA">
      <w:pPr>
        <w:pStyle w:val="NoSpacing"/>
        <w:numPr>
          <w:ilvl w:val="0"/>
          <w:numId w:val="2"/>
        </w:numPr>
        <w:jc w:val="both"/>
        <w:rPr>
          <w:sz w:val="24"/>
          <w:szCs w:val="24"/>
          <w:lang w:val="en-US"/>
        </w:rPr>
      </w:pPr>
      <w:r w:rsidRPr="007034A1">
        <w:rPr>
          <w:sz w:val="24"/>
          <w:szCs w:val="24"/>
          <w:lang w:val="en-US"/>
        </w:rPr>
        <w:t>Costs of this application be paid by any party who opposes this application”.</w:t>
      </w:r>
    </w:p>
    <w:p w:rsidR="00A426F0" w:rsidRPr="007034A1" w:rsidRDefault="00A426F0" w:rsidP="00791EDA">
      <w:pPr>
        <w:pStyle w:val="NoSpacing"/>
        <w:ind w:left="1440"/>
        <w:jc w:val="both"/>
        <w:rPr>
          <w:sz w:val="24"/>
          <w:szCs w:val="24"/>
          <w:lang w:val="en-US"/>
        </w:rPr>
      </w:pPr>
    </w:p>
    <w:p w:rsidR="00A426F0" w:rsidRPr="007034A1" w:rsidRDefault="00A426F0" w:rsidP="00791EDA">
      <w:pPr>
        <w:ind w:firstLine="720"/>
        <w:jc w:val="both"/>
        <w:rPr>
          <w:sz w:val="24"/>
          <w:szCs w:val="24"/>
          <w:lang w:val="en-US"/>
        </w:rPr>
      </w:pPr>
      <w:r w:rsidRPr="007034A1">
        <w:rPr>
          <w:sz w:val="24"/>
          <w:szCs w:val="24"/>
          <w:lang w:val="en-US"/>
        </w:rPr>
        <w:t>This application is opposed by the 4</w:t>
      </w:r>
      <w:r w:rsidRPr="007034A1">
        <w:rPr>
          <w:sz w:val="24"/>
          <w:szCs w:val="24"/>
          <w:vertAlign w:val="superscript"/>
          <w:lang w:val="en-US"/>
        </w:rPr>
        <w:t>th</w:t>
      </w:r>
      <w:r w:rsidRPr="007034A1">
        <w:rPr>
          <w:sz w:val="24"/>
          <w:szCs w:val="24"/>
          <w:lang w:val="en-US"/>
        </w:rPr>
        <w:t xml:space="preserve"> respondent who raised certain preliminary points.  I shall deal with these in turn.</w:t>
      </w:r>
    </w:p>
    <w:p w:rsidR="00A426F0" w:rsidRPr="007034A1" w:rsidRDefault="00A426F0" w:rsidP="00791EDA">
      <w:pPr>
        <w:pStyle w:val="NoSpacing"/>
        <w:jc w:val="both"/>
        <w:rPr>
          <w:sz w:val="24"/>
          <w:szCs w:val="24"/>
          <w:lang w:val="en-US"/>
        </w:rPr>
      </w:pPr>
    </w:p>
    <w:p w:rsidR="00A426F0" w:rsidRPr="007034A1" w:rsidRDefault="00A426F0" w:rsidP="00791EDA">
      <w:pPr>
        <w:pStyle w:val="NoSpacing"/>
        <w:jc w:val="both"/>
        <w:rPr>
          <w:b/>
          <w:sz w:val="24"/>
          <w:szCs w:val="24"/>
          <w:lang w:val="en-US"/>
        </w:rPr>
      </w:pPr>
      <w:r w:rsidRPr="007034A1">
        <w:rPr>
          <w:b/>
          <w:sz w:val="24"/>
          <w:szCs w:val="24"/>
          <w:lang w:val="en-US"/>
        </w:rPr>
        <w:t>The matter is not urgent</w:t>
      </w:r>
    </w:p>
    <w:p w:rsidR="00A426F0" w:rsidRPr="007034A1" w:rsidRDefault="00A426F0" w:rsidP="00791EDA">
      <w:pPr>
        <w:pStyle w:val="NoSpacing"/>
        <w:jc w:val="both"/>
        <w:rPr>
          <w:sz w:val="24"/>
          <w:szCs w:val="24"/>
          <w:lang w:val="en-US"/>
        </w:rPr>
      </w:pPr>
    </w:p>
    <w:p w:rsidR="00A426F0" w:rsidRPr="007034A1" w:rsidRDefault="00A426F0" w:rsidP="00791EDA">
      <w:pPr>
        <w:jc w:val="both"/>
        <w:rPr>
          <w:sz w:val="24"/>
          <w:szCs w:val="24"/>
          <w:lang w:val="en-US"/>
        </w:rPr>
      </w:pPr>
      <w:r w:rsidRPr="007034A1">
        <w:rPr>
          <w:sz w:val="24"/>
          <w:szCs w:val="24"/>
          <w:lang w:val="en-US"/>
        </w:rPr>
        <w:tab/>
        <w:t>4</w:t>
      </w:r>
      <w:r w:rsidRPr="007034A1">
        <w:rPr>
          <w:sz w:val="24"/>
          <w:szCs w:val="24"/>
          <w:vertAlign w:val="superscript"/>
          <w:lang w:val="en-US"/>
        </w:rPr>
        <w:t>th</w:t>
      </w:r>
      <w:r w:rsidRPr="007034A1">
        <w:rPr>
          <w:sz w:val="24"/>
          <w:szCs w:val="24"/>
          <w:lang w:val="en-US"/>
        </w:rPr>
        <w:t xml:space="preserve"> respondent submitted that the certificate of urgency filed together with the urgent chamber application is fatally defective and therefore invalid and inadmissible in support of the urgency of the matter.  Respondent contends that it is apparent on the face of the certificate of urgency that the legal practitioner who prepared the certificate of urgency did not apply her mind to the issue of the urgency.  4</w:t>
      </w:r>
      <w:r w:rsidRPr="007034A1">
        <w:rPr>
          <w:sz w:val="24"/>
          <w:szCs w:val="24"/>
          <w:vertAlign w:val="superscript"/>
          <w:lang w:val="en-US"/>
        </w:rPr>
        <w:t>th</w:t>
      </w:r>
      <w:r w:rsidRPr="007034A1">
        <w:rPr>
          <w:sz w:val="24"/>
          <w:szCs w:val="24"/>
          <w:lang w:val="en-US"/>
        </w:rPr>
        <w:t xml:space="preserve"> respondent argued that the certificate of urgency does not disclose when the need to act arose and why it is believed the matter is so urgent as to be worthy of the court’s time and to be accorded preferential treatment.</w:t>
      </w:r>
    </w:p>
    <w:p w:rsidR="00A426F0" w:rsidRPr="007034A1" w:rsidRDefault="00A426F0" w:rsidP="00791EDA">
      <w:pPr>
        <w:jc w:val="both"/>
        <w:rPr>
          <w:sz w:val="24"/>
          <w:szCs w:val="24"/>
          <w:lang w:val="en-US"/>
        </w:rPr>
      </w:pPr>
      <w:r w:rsidRPr="007034A1">
        <w:rPr>
          <w:sz w:val="24"/>
          <w:szCs w:val="24"/>
          <w:lang w:val="en-US"/>
        </w:rPr>
        <w:tab/>
        <w:t>The 4</w:t>
      </w:r>
      <w:r w:rsidRPr="007034A1">
        <w:rPr>
          <w:sz w:val="24"/>
          <w:szCs w:val="24"/>
          <w:vertAlign w:val="superscript"/>
          <w:lang w:val="en-US"/>
        </w:rPr>
        <w:t>th</w:t>
      </w:r>
      <w:r w:rsidRPr="007034A1">
        <w:rPr>
          <w:sz w:val="24"/>
          <w:szCs w:val="24"/>
          <w:lang w:val="en-US"/>
        </w:rPr>
        <w:t xml:space="preserve"> respondent placed reliance on the case of </w:t>
      </w:r>
      <w:r w:rsidRPr="007034A1">
        <w:rPr>
          <w:i/>
          <w:sz w:val="24"/>
          <w:szCs w:val="24"/>
          <w:lang w:val="en-US"/>
        </w:rPr>
        <w:t xml:space="preserve">Kuvarega </w:t>
      </w:r>
      <w:r w:rsidRPr="007034A1">
        <w:rPr>
          <w:sz w:val="24"/>
          <w:szCs w:val="24"/>
          <w:lang w:val="en-US"/>
        </w:rPr>
        <w:t xml:space="preserve">v </w:t>
      </w:r>
      <w:r w:rsidRPr="007034A1">
        <w:rPr>
          <w:i/>
          <w:sz w:val="24"/>
          <w:szCs w:val="24"/>
          <w:lang w:val="en-US"/>
        </w:rPr>
        <w:t>R</w:t>
      </w:r>
      <w:r w:rsidR="00990D48" w:rsidRPr="007034A1">
        <w:rPr>
          <w:i/>
          <w:sz w:val="24"/>
          <w:szCs w:val="24"/>
          <w:lang w:val="en-US"/>
        </w:rPr>
        <w:t>e</w:t>
      </w:r>
      <w:r w:rsidRPr="007034A1">
        <w:rPr>
          <w:i/>
          <w:sz w:val="24"/>
          <w:szCs w:val="24"/>
          <w:lang w:val="en-US"/>
        </w:rPr>
        <w:t>gistrar-General and Anor</w:t>
      </w:r>
      <w:r w:rsidRPr="007034A1">
        <w:rPr>
          <w:sz w:val="24"/>
          <w:szCs w:val="24"/>
          <w:lang w:val="en-US"/>
        </w:rPr>
        <w:t xml:space="preserve"> 1998 (1) ZLR 188 (H)</w:t>
      </w:r>
      <w:r w:rsidR="00990D48" w:rsidRPr="007034A1">
        <w:rPr>
          <w:sz w:val="24"/>
          <w:szCs w:val="24"/>
          <w:lang w:val="en-US"/>
        </w:rPr>
        <w:t>.</w:t>
      </w:r>
    </w:p>
    <w:p w:rsidR="00990D48" w:rsidRPr="007034A1" w:rsidRDefault="00990D48" w:rsidP="00791EDA">
      <w:pPr>
        <w:jc w:val="both"/>
        <w:rPr>
          <w:sz w:val="24"/>
          <w:szCs w:val="24"/>
          <w:lang w:val="en-US"/>
        </w:rPr>
      </w:pPr>
      <w:r w:rsidRPr="007034A1">
        <w:rPr>
          <w:sz w:val="24"/>
          <w:szCs w:val="24"/>
          <w:lang w:val="en-US"/>
        </w:rPr>
        <w:tab/>
        <w:t>4</w:t>
      </w:r>
      <w:r w:rsidRPr="007034A1">
        <w:rPr>
          <w:sz w:val="24"/>
          <w:szCs w:val="24"/>
          <w:vertAlign w:val="superscript"/>
          <w:lang w:val="en-US"/>
        </w:rPr>
        <w:t>th</w:t>
      </w:r>
      <w:r w:rsidRPr="007034A1">
        <w:rPr>
          <w:sz w:val="24"/>
          <w:szCs w:val="24"/>
          <w:lang w:val="en-US"/>
        </w:rPr>
        <w:t xml:space="preserve"> respondent contends that the application does not meet the threshold of urgency as laid out in the </w:t>
      </w:r>
      <w:r w:rsidRPr="007034A1">
        <w:rPr>
          <w:i/>
          <w:sz w:val="24"/>
          <w:szCs w:val="24"/>
          <w:lang w:val="en-US"/>
        </w:rPr>
        <w:t>Kuvarega</w:t>
      </w:r>
      <w:r w:rsidRPr="007034A1">
        <w:rPr>
          <w:sz w:val="24"/>
          <w:szCs w:val="24"/>
          <w:lang w:val="en-US"/>
        </w:rPr>
        <w:t xml:space="preserve"> c</w:t>
      </w:r>
      <w:r w:rsidR="001C064C">
        <w:rPr>
          <w:sz w:val="24"/>
          <w:szCs w:val="24"/>
          <w:lang w:val="en-US"/>
        </w:rPr>
        <w:t>a</w:t>
      </w:r>
      <w:r w:rsidRPr="007034A1">
        <w:rPr>
          <w:sz w:val="24"/>
          <w:szCs w:val="24"/>
          <w:lang w:val="en-US"/>
        </w:rPr>
        <w:t xml:space="preserve">se, and many other authorities such as </w:t>
      </w:r>
      <w:r w:rsidRPr="007034A1">
        <w:rPr>
          <w:i/>
          <w:sz w:val="24"/>
          <w:szCs w:val="24"/>
          <w:lang w:val="en-US"/>
        </w:rPr>
        <w:t>Document Support Service (Pvt) Ltd</w:t>
      </w:r>
      <w:r w:rsidRPr="007034A1">
        <w:rPr>
          <w:sz w:val="24"/>
          <w:szCs w:val="24"/>
          <w:lang w:val="en-US"/>
        </w:rPr>
        <w:t xml:space="preserve"> v </w:t>
      </w:r>
      <w:r w:rsidR="001C064C">
        <w:rPr>
          <w:i/>
          <w:sz w:val="24"/>
          <w:szCs w:val="24"/>
          <w:lang w:val="en-US"/>
        </w:rPr>
        <w:t>Map</w:t>
      </w:r>
      <w:r w:rsidRPr="007034A1">
        <w:rPr>
          <w:i/>
          <w:sz w:val="24"/>
          <w:szCs w:val="24"/>
          <w:lang w:val="en-US"/>
        </w:rPr>
        <w:t>uvire</w:t>
      </w:r>
      <w:r w:rsidRPr="007034A1">
        <w:rPr>
          <w:sz w:val="24"/>
          <w:szCs w:val="24"/>
          <w:lang w:val="en-US"/>
        </w:rPr>
        <w:t xml:space="preserve"> 2008 ZLR (2) 232.</w:t>
      </w:r>
    </w:p>
    <w:p w:rsidR="00990D48" w:rsidRPr="007034A1" w:rsidRDefault="00990D48" w:rsidP="00791EDA">
      <w:pPr>
        <w:jc w:val="both"/>
        <w:rPr>
          <w:sz w:val="24"/>
          <w:szCs w:val="24"/>
          <w:lang w:val="en-US"/>
        </w:rPr>
      </w:pPr>
      <w:r w:rsidRPr="007034A1">
        <w:rPr>
          <w:sz w:val="24"/>
          <w:szCs w:val="24"/>
          <w:lang w:val="en-US"/>
        </w:rPr>
        <w:tab/>
        <w:t xml:space="preserve">Applicant argues that the matter is </w:t>
      </w:r>
      <w:r w:rsidR="00D14F59" w:rsidRPr="007034A1">
        <w:rPr>
          <w:sz w:val="24"/>
          <w:szCs w:val="24"/>
          <w:lang w:val="en-US"/>
        </w:rPr>
        <w:t>extremely urgent an</w:t>
      </w:r>
      <w:r w:rsidR="00F54107">
        <w:rPr>
          <w:sz w:val="24"/>
          <w:szCs w:val="24"/>
          <w:lang w:val="en-US"/>
        </w:rPr>
        <w:t>d cannot be heard on the ordinary</w:t>
      </w:r>
      <w:r w:rsidR="00D14F59" w:rsidRPr="007034A1">
        <w:rPr>
          <w:sz w:val="24"/>
          <w:szCs w:val="24"/>
          <w:lang w:val="en-US"/>
        </w:rPr>
        <w:t xml:space="preserve"> roll of court applications.  Applicant contends that she has a </w:t>
      </w:r>
      <w:r w:rsidR="00D14F59" w:rsidRPr="007034A1">
        <w:rPr>
          <w:i/>
          <w:sz w:val="24"/>
          <w:szCs w:val="24"/>
          <w:lang w:val="en-US"/>
        </w:rPr>
        <w:t>prima facie</w:t>
      </w:r>
      <w:r w:rsidR="00D14F59" w:rsidRPr="007034A1">
        <w:rPr>
          <w:sz w:val="24"/>
          <w:szCs w:val="24"/>
          <w:lang w:val="en-US"/>
        </w:rPr>
        <w:t xml:space="preserve"> right in respect of the mining claims and that her continued deprivation of access to the </w:t>
      </w:r>
      <w:r w:rsidR="00180A68" w:rsidRPr="007034A1">
        <w:rPr>
          <w:sz w:val="24"/>
          <w:szCs w:val="24"/>
          <w:lang w:val="en-US"/>
        </w:rPr>
        <w:t>mining claims means that she is suffering irreparable harm.  Applicant avers that on the 5</w:t>
      </w:r>
      <w:r w:rsidR="00180A68" w:rsidRPr="007034A1">
        <w:rPr>
          <w:sz w:val="24"/>
          <w:szCs w:val="24"/>
          <w:vertAlign w:val="superscript"/>
          <w:lang w:val="en-US"/>
        </w:rPr>
        <w:t>th</w:t>
      </w:r>
      <w:r w:rsidR="00180A68" w:rsidRPr="007034A1">
        <w:rPr>
          <w:sz w:val="24"/>
          <w:szCs w:val="24"/>
          <w:lang w:val="en-US"/>
        </w:rPr>
        <w:t xml:space="preserve"> of October 2015 the Silobela Community Development Trust registered the mining claim </w:t>
      </w:r>
      <w:r w:rsidR="00180A68" w:rsidRPr="007034A1">
        <w:rPr>
          <w:sz w:val="24"/>
          <w:szCs w:val="24"/>
          <w:lang w:val="en-US"/>
        </w:rPr>
        <w:lastRenderedPageBreak/>
        <w:t>known as Turtle 54 more commonly referred to a Peace Mine, under certificate of registration number 30223.  The 4</w:t>
      </w:r>
      <w:r w:rsidR="00180A68" w:rsidRPr="007034A1">
        <w:rPr>
          <w:sz w:val="24"/>
          <w:szCs w:val="24"/>
          <w:vertAlign w:val="superscript"/>
          <w:lang w:val="en-US"/>
        </w:rPr>
        <w:t>th</w:t>
      </w:r>
      <w:r w:rsidR="00180A68" w:rsidRPr="007034A1">
        <w:rPr>
          <w:sz w:val="24"/>
          <w:szCs w:val="24"/>
          <w:lang w:val="en-US"/>
        </w:rPr>
        <w:t xml:space="preserve"> respondent is in occupation of the mine and continues to extract gold ore to the detriment of the applicants’ Trust.  Applicant avers that the matter cannot wait to join the ordinary r</w:t>
      </w:r>
      <w:r w:rsidR="00791EDA" w:rsidRPr="007034A1">
        <w:rPr>
          <w:sz w:val="24"/>
          <w:szCs w:val="24"/>
          <w:lang w:val="en-US"/>
        </w:rPr>
        <w:t>oll of court applications as 4</w:t>
      </w:r>
      <w:r w:rsidR="00791EDA" w:rsidRPr="007034A1">
        <w:rPr>
          <w:sz w:val="24"/>
          <w:szCs w:val="24"/>
          <w:vertAlign w:val="superscript"/>
          <w:lang w:val="en-US"/>
        </w:rPr>
        <w:t>th</w:t>
      </w:r>
      <w:r w:rsidR="00791EDA" w:rsidRPr="007034A1">
        <w:rPr>
          <w:sz w:val="24"/>
          <w:szCs w:val="24"/>
          <w:lang w:val="en-US"/>
        </w:rPr>
        <w:t xml:space="preserve"> </w:t>
      </w:r>
      <w:r w:rsidR="00180A68" w:rsidRPr="007034A1">
        <w:rPr>
          <w:sz w:val="24"/>
          <w:szCs w:val="24"/>
          <w:lang w:val="en-US"/>
        </w:rPr>
        <w:t>respondent continues to benefit from the extraction and</w:t>
      </w:r>
      <w:r w:rsidR="008C32D0" w:rsidRPr="007034A1">
        <w:rPr>
          <w:sz w:val="24"/>
          <w:szCs w:val="24"/>
          <w:lang w:val="en-US"/>
        </w:rPr>
        <w:t xml:space="preserve"> process</w:t>
      </w:r>
      <w:r w:rsidR="005120CE">
        <w:rPr>
          <w:sz w:val="24"/>
          <w:szCs w:val="24"/>
          <w:lang w:val="en-US"/>
        </w:rPr>
        <w:t>ing</w:t>
      </w:r>
      <w:r w:rsidR="008C32D0" w:rsidRPr="007034A1">
        <w:rPr>
          <w:sz w:val="24"/>
          <w:szCs w:val="24"/>
          <w:lang w:val="en-US"/>
        </w:rPr>
        <w:t xml:space="preserve"> of gold ore from the claims to the exclusion of the Trust.  </w:t>
      </w:r>
      <w:r w:rsidR="008C32D0" w:rsidRPr="007034A1">
        <w:rPr>
          <w:i/>
          <w:sz w:val="24"/>
          <w:szCs w:val="24"/>
          <w:lang w:val="en-US"/>
        </w:rPr>
        <w:t>Mr Masamvu</w:t>
      </w:r>
      <w:r w:rsidR="008C32D0" w:rsidRPr="007034A1">
        <w:rPr>
          <w:sz w:val="24"/>
          <w:szCs w:val="24"/>
          <w:lang w:val="en-US"/>
        </w:rPr>
        <w:t>, appearing for the applicant submitted that the matter is urgent and that a matter has been filed under case number HC 1344/22</w:t>
      </w:r>
      <w:r w:rsidR="005120CE">
        <w:rPr>
          <w:sz w:val="24"/>
          <w:szCs w:val="24"/>
          <w:lang w:val="en-US"/>
        </w:rPr>
        <w:t>.  Pending the resolution of that</w:t>
      </w:r>
      <w:r w:rsidR="008C32D0" w:rsidRPr="007034A1">
        <w:rPr>
          <w:sz w:val="24"/>
          <w:szCs w:val="24"/>
          <w:lang w:val="en-US"/>
        </w:rPr>
        <w:t xml:space="preserve"> matter,</w:t>
      </w:r>
      <w:r w:rsidR="00890DDA" w:rsidRPr="007034A1">
        <w:rPr>
          <w:sz w:val="24"/>
          <w:szCs w:val="24"/>
          <w:lang w:val="en-US"/>
        </w:rPr>
        <w:t xml:space="preserve"> applicant submits that there</w:t>
      </w:r>
      <w:r w:rsidR="00AC7C9B" w:rsidRPr="007034A1">
        <w:rPr>
          <w:sz w:val="24"/>
          <w:szCs w:val="24"/>
          <w:lang w:val="en-US"/>
        </w:rPr>
        <w:t xml:space="preserve"> must be an order in terms of the draft.  Generally a de</w:t>
      </w:r>
      <w:r w:rsidR="000514B3">
        <w:rPr>
          <w:sz w:val="24"/>
          <w:szCs w:val="24"/>
          <w:lang w:val="en-US"/>
        </w:rPr>
        <w:t>termination on whether or not a</w:t>
      </w:r>
      <w:r w:rsidR="00AC7C9B" w:rsidRPr="007034A1">
        <w:rPr>
          <w:sz w:val="24"/>
          <w:szCs w:val="24"/>
          <w:lang w:val="en-US"/>
        </w:rPr>
        <w:t xml:space="preserve"> matter</w:t>
      </w:r>
      <w:r w:rsidR="000514B3">
        <w:rPr>
          <w:sz w:val="24"/>
          <w:szCs w:val="24"/>
          <w:lang w:val="en-US"/>
        </w:rPr>
        <w:t xml:space="preserve"> is urgent is at the discretion of the court.</w:t>
      </w:r>
      <w:r w:rsidR="00AC7C9B" w:rsidRPr="007034A1">
        <w:rPr>
          <w:sz w:val="24"/>
          <w:szCs w:val="24"/>
          <w:lang w:val="en-US"/>
        </w:rPr>
        <w:t xml:space="preserve"> This discretio</w:t>
      </w:r>
      <w:r w:rsidR="002E3958">
        <w:rPr>
          <w:sz w:val="24"/>
          <w:szCs w:val="24"/>
          <w:lang w:val="en-US"/>
        </w:rPr>
        <w:t>n has to be exercised judiciously</w:t>
      </w:r>
      <w:r w:rsidR="00AC7C9B" w:rsidRPr="007034A1">
        <w:rPr>
          <w:sz w:val="24"/>
          <w:szCs w:val="24"/>
          <w:lang w:val="en-US"/>
        </w:rPr>
        <w:t xml:space="preserve">.  In the case of </w:t>
      </w:r>
      <w:r w:rsidR="00AC7C9B" w:rsidRPr="007034A1">
        <w:rPr>
          <w:i/>
          <w:sz w:val="24"/>
          <w:szCs w:val="24"/>
          <w:lang w:val="en-US"/>
        </w:rPr>
        <w:t>Chiwenga</w:t>
      </w:r>
      <w:r w:rsidR="00AC7C9B" w:rsidRPr="007034A1">
        <w:rPr>
          <w:sz w:val="24"/>
          <w:szCs w:val="24"/>
          <w:lang w:val="en-US"/>
        </w:rPr>
        <w:t xml:space="preserve"> v </w:t>
      </w:r>
      <w:r w:rsidR="00ED5ADE" w:rsidRPr="007034A1">
        <w:rPr>
          <w:i/>
          <w:sz w:val="24"/>
          <w:szCs w:val="24"/>
          <w:lang w:val="en-US"/>
        </w:rPr>
        <w:t>M</w:t>
      </w:r>
      <w:r w:rsidR="00AC7C9B" w:rsidRPr="007034A1">
        <w:rPr>
          <w:i/>
          <w:sz w:val="24"/>
          <w:szCs w:val="24"/>
          <w:lang w:val="en-US"/>
        </w:rPr>
        <w:t>ubaiwa</w:t>
      </w:r>
      <w:r w:rsidR="00AC7C9B" w:rsidRPr="007034A1">
        <w:rPr>
          <w:sz w:val="24"/>
          <w:szCs w:val="24"/>
          <w:lang w:val="en-US"/>
        </w:rPr>
        <w:t xml:space="preserve"> SC-86-20 the court expressed the view that </w:t>
      </w:r>
      <w:r w:rsidR="00ED5ADE" w:rsidRPr="007034A1">
        <w:rPr>
          <w:sz w:val="24"/>
          <w:szCs w:val="24"/>
          <w:lang w:val="en-US"/>
        </w:rPr>
        <w:t>it is trite that a finding that a matter is urgent is a factual finding involving the exercise of discretion.  I am satisfied that given the background of the matter and the fact that gold is a finite resource that is depleted</w:t>
      </w:r>
      <w:r w:rsidR="004A4333">
        <w:rPr>
          <w:sz w:val="24"/>
          <w:szCs w:val="24"/>
          <w:lang w:val="en-US"/>
        </w:rPr>
        <w:t xml:space="preserve"> with</w:t>
      </w:r>
      <w:r w:rsidR="00ED5ADE" w:rsidRPr="007034A1">
        <w:rPr>
          <w:sz w:val="24"/>
          <w:szCs w:val="24"/>
          <w:lang w:val="en-US"/>
        </w:rPr>
        <w:t xml:space="preserve"> each passing day</w:t>
      </w:r>
      <w:r w:rsidR="004A4333">
        <w:rPr>
          <w:sz w:val="24"/>
          <w:szCs w:val="24"/>
          <w:lang w:val="en-US"/>
        </w:rPr>
        <w:t>,</w:t>
      </w:r>
      <w:r w:rsidR="00ED5ADE" w:rsidRPr="007034A1">
        <w:rPr>
          <w:sz w:val="24"/>
          <w:szCs w:val="24"/>
          <w:lang w:val="en-US"/>
        </w:rPr>
        <w:t xml:space="preserve"> the matter urgent.</w:t>
      </w:r>
    </w:p>
    <w:p w:rsidR="00ED5ADE" w:rsidRPr="007034A1" w:rsidRDefault="00ED5ADE" w:rsidP="00791EDA">
      <w:pPr>
        <w:jc w:val="both"/>
        <w:rPr>
          <w:b/>
          <w:sz w:val="24"/>
          <w:szCs w:val="24"/>
          <w:lang w:val="en-US"/>
        </w:rPr>
      </w:pPr>
      <w:r w:rsidRPr="007034A1">
        <w:rPr>
          <w:b/>
          <w:sz w:val="24"/>
          <w:szCs w:val="24"/>
          <w:lang w:val="en-US"/>
        </w:rPr>
        <w:t>The interim order is final in nature</w:t>
      </w:r>
    </w:p>
    <w:p w:rsidR="00ED5ADE" w:rsidRPr="007034A1" w:rsidRDefault="00B92362" w:rsidP="00791EDA">
      <w:pPr>
        <w:jc w:val="both"/>
        <w:rPr>
          <w:sz w:val="24"/>
          <w:szCs w:val="24"/>
          <w:lang w:val="en-US"/>
        </w:rPr>
      </w:pPr>
      <w:r w:rsidRPr="00B92362">
        <w:rPr>
          <w:i/>
          <w:sz w:val="24"/>
          <w:szCs w:val="24"/>
          <w:lang w:val="en-US"/>
        </w:rPr>
        <w:t>Mr S</w:t>
      </w:r>
      <w:r w:rsidR="002627FB">
        <w:rPr>
          <w:i/>
          <w:sz w:val="24"/>
          <w:szCs w:val="24"/>
          <w:lang w:val="en-US"/>
        </w:rPr>
        <w:t>.</w:t>
      </w:r>
      <w:r w:rsidRPr="00B92362">
        <w:rPr>
          <w:i/>
          <w:sz w:val="24"/>
          <w:szCs w:val="24"/>
          <w:lang w:val="en-US"/>
        </w:rPr>
        <w:t>Nkomo</w:t>
      </w:r>
      <w:r>
        <w:rPr>
          <w:i/>
          <w:sz w:val="24"/>
          <w:szCs w:val="24"/>
          <w:lang w:val="en-US"/>
        </w:rPr>
        <w:t>, appearing</w:t>
      </w:r>
      <w:r>
        <w:rPr>
          <w:sz w:val="24"/>
          <w:szCs w:val="24"/>
          <w:lang w:val="en-US"/>
        </w:rPr>
        <w:t xml:space="preserve"> for t</w:t>
      </w:r>
      <w:r w:rsidR="00ED5ADE" w:rsidRPr="007034A1">
        <w:rPr>
          <w:sz w:val="24"/>
          <w:szCs w:val="24"/>
          <w:lang w:val="en-US"/>
        </w:rPr>
        <w:t>he 4</w:t>
      </w:r>
      <w:r w:rsidR="00ED5ADE" w:rsidRPr="007034A1">
        <w:rPr>
          <w:sz w:val="24"/>
          <w:szCs w:val="24"/>
          <w:vertAlign w:val="superscript"/>
          <w:lang w:val="en-US"/>
        </w:rPr>
        <w:t>th</w:t>
      </w:r>
      <w:r w:rsidR="00ED5ADE" w:rsidRPr="007034A1">
        <w:rPr>
          <w:sz w:val="24"/>
          <w:szCs w:val="24"/>
          <w:lang w:val="en-US"/>
        </w:rPr>
        <w:t xml:space="preserve"> respondent submits that the order sought is final in nature not only in the form but in substance.  It is contented that the interim relief speaks of the applicant being allowed occupation, use and access to a mine registered under certificate of registration number 30223 registered on 5</w:t>
      </w:r>
      <w:r w:rsidR="00ED5ADE" w:rsidRPr="007034A1">
        <w:rPr>
          <w:sz w:val="24"/>
          <w:szCs w:val="24"/>
          <w:vertAlign w:val="superscript"/>
          <w:lang w:val="en-US"/>
        </w:rPr>
        <w:t>th</w:t>
      </w:r>
      <w:r w:rsidR="00ED5ADE" w:rsidRPr="007034A1">
        <w:rPr>
          <w:sz w:val="24"/>
          <w:szCs w:val="24"/>
          <w:lang w:val="en-US"/>
        </w:rPr>
        <w:t xml:space="preserve"> October 2015. 4</w:t>
      </w:r>
      <w:r w:rsidR="00ED5ADE" w:rsidRPr="007034A1">
        <w:rPr>
          <w:sz w:val="24"/>
          <w:szCs w:val="24"/>
          <w:vertAlign w:val="superscript"/>
          <w:lang w:val="en-US"/>
        </w:rPr>
        <w:t>th</w:t>
      </w:r>
      <w:r w:rsidR="00ED5ADE" w:rsidRPr="007034A1">
        <w:rPr>
          <w:sz w:val="24"/>
          <w:szCs w:val="24"/>
          <w:lang w:val="en-US"/>
        </w:rPr>
        <w:t xml:space="preserve"> respondent avers that there is nothing interim about the order sought</w:t>
      </w:r>
      <w:r>
        <w:rPr>
          <w:sz w:val="24"/>
          <w:szCs w:val="24"/>
          <w:lang w:val="en-US"/>
        </w:rPr>
        <w:t xml:space="preserve"> and that granting it would mean</w:t>
      </w:r>
      <w:r w:rsidR="00ED5ADE" w:rsidRPr="007034A1">
        <w:rPr>
          <w:sz w:val="24"/>
          <w:szCs w:val="24"/>
          <w:lang w:val="en-US"/>
        </w:rPr>
        <w:t xml:space="preserve"> that applicant would hav</w:t>
      </w:r>
      <w:r>
        <w:rPr>
          <w:sz w:val="24"/>
          <w:szCs w:val="24"/>
          <w:lang w:val="en-US"/>
        </w:rPr>
        <w:t>e no need to come back to court for confirmation of the order.</w:t>
      </w:r>
    </w:p>
    <w:p w:rsidR="00ED5ADE" w:rsidRPr="007034A1" w:rsidRDefault="00ED5ADE" w:rsidP="00791EDA">
      <w:pPr>
        <w:jc w:val="both"/>
        <w:rPr>
          <w:sz w:val="24"/>
          <w:szCs w:val="24"/>
          <w:lang w:val="en-US"/>
        </w:rPr>
      </w:pPr>
      <w:r w:rsidRPr="007034A1">
        <w:rPr>
          <w:sz w:val="24"/>
          <w:szCs w:val="24"/>
          <w:lang w:val="en-US"/>
        </w:rPr>
        <w:tab/>
        <w:t>The applicant contends that t</w:t>
      </w:r>
      <w:r w:rsidR="005D594B">
        <w:rPr>
          <w:sz w:val="24"/>
          <w:szCs w:val="24"/>
          <w:lang w:val="en-US"/>
        </w:rPr>
        <w:t>he order sought is competent as</w:t>
      </w:r>
      <w:r w:rsidR="00CB43CD">
        <w:rPr>
          <w:sz w:val="24"/>
          <w:szCs w:val="24"/>
          <w:lang w:val="en-US"/>
        </w:rPr>
        <w:t xml:space="preserve"> what is</w:t>
      </w:r>
      <w:r w:rsidR="005D594B">
        <w:rPr>
          <w:sz w:val="24"/>
          <w:szCs w:val="24"/>
          <w:lang w:val="en-US"/>
        </w:rPr>
        <w:t xml:space="preserve"> being </w:t>
      </w:r>
      <w:r w:rsidRPr="007034A1">
        <w:rPr>
          <w:sz w:val="24"/>
          <w:szCs w:val="24"/>
          <w:lang w:val="en-US"/>
        </w:rPr>
        <w:t xml:space="preserve">sought is the </w:t>
      </w:r>
      <w:r w:rsidR="005D594B">
        <w:rPr>
          <w:sz w:val="24"/>
          <w:szCs w:val="24"/>
          <w:lang w:val="en-US"/>
        </w:rPr>
        <w:t>re</w:t>
      </w:r>
      <w:r w:rsidRPr="007034A1">
        <w:rPr>
          <w:sz w:val="24"/>
          <w:szCs w:val="24"/>
          <w:lang w:val="en-US"/>
        </w:rPr>
        <w:t>s</w:t>
      </w:r>
      <w:r w:rsidR="00FD2C1E" w:rsidRPr="007034A1">
        <w:rPr>
          <w:sz w:val="24"/>
          <w:szCs w:val="24"/>
          <w:lang w:val="en-US"/>
        </w:rPr>
        <w:t xml:space="preserve">toration of the </w:t>
      </w:r>
      <w:r w:rsidR="00FD2C1E" w:rsidRPr="007034A1">
        <w:rPr>
          <w:i/>
          <w:sz w:val="24"/>
          <w:szCs w:val="24"/>
          <w:lang w:val="en-US"/>
        </w:rPr>
        <w:t>status quo ante</w:t>
      </w:r>
      <w:r w:rsidR="00CB43CD">
        <w:rPr>
          <w:sz w:val="24"/>
          <w:szCs w:val="24"/>
          <w:lang w:val="en-US"/>
        </w:rPr>
        <w:t>.  A</w:t>
      </w:r>
      <w:r w:rsidR="00FD2C1E" w:rsidRPr="007034A1">
        <w:rPr>
          <w:sz w:val="24"/>
          <w:szCs w:val="24"/>
          <w:lang w:val="en-US"/>
        </w:rPr>
        <w:t>pplicant highlights that the certificate of registration referred to by the 4</w:t>
      </w:r>
      <w:r w:rsidR="00FD2C1E" w:rsidRPr="007034A1">
        <w:rPr>
          <w:sz w:val="24"/>
          <w:szCs w:val="24"/>
          <w:vertAlign w:val="superscript"/>
          <w:lang w:val="en-US"/>
        </w:rPr>
        <w:t>th</w:t>
      </w:r>
      <w:r w:rsidR="00FD2C1E" w:rsidRPr="007034A1">
        <w:rPr>
          <w:sz w:val="24"/>
          <w:szCs w:val="24"/>
          <w:lang w:val="en-US"/>
        </w:rPr>
        <w:t xml:space="preserve"> respondent is in favour of the Silobela Development Trust.  The 4</w:t>
      </w:r>
      <w:r w:rsidR="00FD2C1E" w:rsidRPr="007034A1">
        <w:rPr>
          <w:sz w:val="24"/>
          <w:szCs w:val="24"/>
          <w:vertAlign w:val="superscript"/>
          <w:lang w:val="en-US"/>
        </w:rPr>
        <w:t>th</w:t>
      </w:r>
      <w:r w:rsidR="00FD2C1E" w:rsidRPr="007034A1">
        <w:rPr>
          <w:sz w:val="24"/>
          <w:szCs w:val="24"/>
          <w:lang w:val="en-US"/>
        </w:rPr>
        <w:t xml:space="preserve"> respondent has deprived the applicant and other members of the</w:t>
      </w:r>
      <w:r w:rsidR="00807A78">
        <w:rPr>
          <w:sz w:val="24"/>
          <w:szCs w:val="24"/>
          <w:lang w:val="en-US"/>
        </w:rPr>
        <w:t xml:space="preserve"> Trust</w:t>
      </w:r>
      <w:r w:rsidR="00FD2C1E" w:rsidRPr="007034A1">
        <w:rPr>
          <w:sz w:val="24"/>
          <w:szCs w:val="24"/>
          <w:lang w:val="en-US"/>
        </w:rPr>
        <w:t xml:space="preserve"> access to the said mining claims.</w:t>
      </w:r>
    </w:p>
    <w:p w:rsidR="00FD2C1E" w:rsidRPr="007034A1" w:rsidRDefault="0076405D" w:rsidP="00791EDA">
      <w:pPr>
        <w:jc w:val="both"/>
        <w:rPr>
          <w:sz w:val="24"/>
          <w:szCs w:val="24"/>
          <w:lang w:val="en-US"/>
        </w:rPr>
      </w:pPr>
      <w:r>
        <w:rPr>
          <w:sz w:val="24"/>
          <w:szCs w:val="24"/>
          <w:lang w:val="en-US"/>
        </w:rPr>
        <w:tab/>
        <w:t>The order sought is</w:t>
      </w:r>
      <w:r w:rsidR="00916948">
        <w:rPr>
          <w:sz w:val="24"/>
          <w:szCs w:val="24"/>
          <w:lang w:val="en-US"/>
        </w:rPr>
        <w:t xml:space="preserve"> in the form of </w:t>
      </w:r>
      <w:r w:rsidR="00FD2C1E" w:rsidRPr="007034A1">
        <w:rPr>
          <w:sz w:val="24"/>
          <w:szCs w:val="24"/>
          <w:lang w:val="en-US"/>
        </w:rPr>
        <w:t>an interim interdict.  The 4</w:t>
      </w:r>
      <w:r w:rsidR="00FD2C1E" w:rsidRPr="007034A1">
        <w:rPr>
          <w:sz w:val="24"/>
          <w:szCs w:val="24"/>
          <w:vertAlign w:val="superscript"/>
          <w:lang w:val="en-US"/>
        </w:rPr>
        <w:t>th</w:t>
      </w:r>
      <w:r w:rsidR="00FD2C1E" w:rsidRPr="007034A1">
        <w:rPr>
          <w:sz w:val="24"/>
          <w:szCs w:val="24"/>
          <w:lang w:val="en-US"/>
        </w:rPr>
        <w:t xml:space="preserve"> respondent is entitled to return to court on the return day and seek a discharge </w:t>
      </w:r>
      <w:r>
        <w:rPr>
          <w:sz w:val="24"/>
          <w:szCs w:val="24"/>
          <w:lang w:val="en-US"/>
        </w:rPr>
        <w:t>of the order ought.  The order a</w:t>
      </w:r>
      <w:r w:rsidR="00FD2C1E" w:rsidRPr="007034A1">
        <w:rPr>
          <w:sz w:val="24"/>
          <w:szCs w:val="24"/>
          <w:lang w:val="en-US"/>
        </w:rPr>
        <w:t>s framed is not</w:t>
      </w:r>
      <w:r w:rsidR="002C2844">
        <w:rPr>
          <w:sz w:val="24"/>
          <w:szCs w:val="24"/>
          <w:lang w:val="en-US"/>
        </w:rPr>
        <w:t xml:space="preserve"> final in nature. The order sought is not, in my view incompetent. </w:t>
      </w:r>
      <w:r w:rsidR="00FD2C1E" w:rsidRPr="007034A1">
        <w:rPr>
          <w:sz w:val="24"/>
          <w:szCs w:val="24"/>
          <w:lang w:val="en-US"/>
        </w:rPr>
        <w:t xml:space="preserve">  This point </w:t>
      </w:r>
      <w:r w:rsidR="00FD2C1E" w:rsidRPr="007034A1">
        <w:rPr>
          <w:i/>
          <w:sz w:val="24"/>
          <w:szCs w:val="24"/>
          <w:lang w:val="en-US"/>
        </w:rPr>
        <w:t xml:space="preserve">in </w:t>
      </w:r>
      <w:proofErr w:type="spellStart"/>
      <w:r w:rsidR="00FD2C1E" w:rsidRPr="007034A1">
        <w:rPr>
          <w:i/>
          <w:sz w:val="24"/>
          <w:szCs w:val="24"/>
          <w:lang w:val="en-US"/>
        </w:rPr>
        <w:t>limine</w:t>
      </w:r>
      <w:proofErr w:type="spellEnd"/>
      <w:r w:rsidR="00FD2C1E" w:rsidRPr="007034A1">
        <w:rPr>
          <w:sz w:val="24"/>
          <w:szCs w:val="24"/>
          <w:lang w:val="en-US"/>
        </w:rPr>
        <w:t xml:space="preserve"> has no merit.</w:t>
      </w:r>
    </w:p>
    <w:p w:rsidR="00FD2C1E" w:rsidRPr="007034A1" w:rsidRDefault="00FD2C1E" w:rsidP="00791EDA">
      <w:pPr>
        <w:jc w:val="both"/>
        <w:rPr>
          <w:b/>
          <w:sz w:val="24"/>
          <w:szCs w:val="24"/>
          <w:lang w:val="en-US"/>
        </w:rPr>
      </w:pPr>
      <w:r w:rsidRPr="007034A1">
        <w:rPr>
          <w:b/>
          <w:sz w:val="24"/>
          <w:szCs w:val="24"/>
          <w:lang w:val="en-US"/>
        </w:rPr>
        <w:lastRenderedPageBreak/>
        <w:t>Material non-disclosure</w:t>
      </w:r>
    </w:p>
    <w:p w:rsidR="00FD2C1E" w:rsidRPr="007034A1" w:rsidRDefault="00FD2C1E" w:rsidP="00791EDA">
      <w:pPr>
        <w:jc w:val="both"/>
        <w:rPr>
          <w:sz w:val="24"/>
          <w:szCs w:val="24"/>
          <w:lang w:val="en-US"/>
        </w:rPr>
      </w:pPr>
      <w:r w:rsidRPr="007034A1">
        <w:rPr>
          <w:sz w:val="24"/>
          <w:szCs w:val="24"/>
          <w:lang w:val="en-US"/>
        </w:rPr>
        <w:t>The 4</w:t>
      </w:r>
      <w:r w:rsidRPr="007034A1">
        <w:rPr>
          <w:sz w:val="24"/>
          <w:szCs w:val="24"/>
          <w:vertAlign w:val="superscript"/>
          <w:lang w:val="en-US"/>
        </w:rPr>
        <w:t>th</w:t>
      </w:r>
      <w:r w:rsidRPr="007034A1">
        <w:rPr>
          <w:sz w:val="24"/>
          <w:szCs w:val="24"/>
          <w:lang w:val="en-US"/>
        </w:rPr>
        <w:t xml:space="preserve"> respondent contends that applicant has not been candid with the court in failing to disclose material facts.  In particular</w:t>
      </w:r>
      <w:r w:rsidR="00C9447D">
        <w:rPr>
          <w:sz w:val="24"/>
          <w:szCs w:val="24"/>
          <w:lang w:val="en-US"/>
        </w:rPr>
        <w:t>,</w:t>
      </w:r>
      <w:r w:rsidRPr="007034A1">
        <w:rPr>
          <w:sz w:val="24"/>
          <w:szCs w:val="24"/>
          <w:lang w:val="en-US"/>
        </w:rPr>
        <w:t xml:space="preserve"> respondent avers that the applicant failed to take the court into its confidence in that </w:t>
      </w:r>
      <w:r w:rsidR="00783B01" w:rsidRPr="007034A1">
        <w:rPr>
          <w:sz w:val="24"/>
          <w:szCs w:val="24"/>
          <w:lang w:val="en-US"/>
        </w:rPr>
        <w:t>several urgent applications have been filed on the same matter in this court.  These matters are HC 481/51; HC 830/16; HC 220/16 and HC 2644/14.  It is argued that all these matters dealt with the same subject matter.  I am alive to the fact all the matters referred to are cross-referenced in this application.  The applicant does disclose this case as appears on the face of the urgent chamber application.  The court does have access to the records referred to and can easily cross-check the orders given by this court in earlier cases.  The applicant</w:t>
      </w:r>
      <w:r w:rsidR="00C9447D">
        <w:rPr>
          <w:sz w:val="24"/>
          <w:szCs w:val="24"/>
          <w:lang w:val="en-US"/>
        </w:rPr>
        <w:t xml:space="preserve"> submitted that she approaches</w:t>
      </w:r>
      <w:r w:rsidR="00783B01" w:rsidRPr="007034A1">
        <w:rPr>
          <w:sz w:val="24"/>
          <w:szCs w:val="24"/>
          <w:lang w:val="en-US"/>
        </w:rPr>
        <w:t xml:space="preserve"> this court as a Trustee of the Trust and representing the Silobela Community Development Trust.</w:t>
      </w:r>
      <w:r w:rsidR="000F2A85" w:rsidRPr="007034A1">
        <w:rPr>
          <w:sz w:val="24"/>
          <w:szCs w:val="24"/>
          <w:lang w:val="en-US"/>
        </w:rPr>
        <w:t xml:space="preserve">  It is settled law that litigants who bring matters to court on a certificate of urgency have a </w:t>
      </w:r>
      <w:r w:rsidR="00C9447D">
        <w:rPr>
          <w:sz w:val="24"/>
          <w:szCs w:val="24"/>
          <w:lang w:val="en-US"/>
        </w:rPr>
        <w:t>duty to disclose all the material</w:t>
      </w:r>
      <w:r w:rsidR="000F2A85" w:rsidRPr="007034A1">
        <w:rPr>
          <w:sz w:val="24"/>
          <w:szCs w:val="24"/>
          <w:lang w:val="en-US"/>
        </w:rPr>
        <w:t xml:space="preserve"> facts.  A deliberate non-disclosure of facts that a</w:t>
      </w:r>
      <w:r w:rsidR="00F11F07">
        <w:rPr>
          <w:sz w:val="24"/>
          <w:szCs w:val="24"/>
          <w:lang w:val="en-US"/>
        </w:rPr>
        <w:t>re</w:t>
      </w:r>
      <w:r w:rsidR="000F2A85" w:rsidRPr="007034A1">
        <w:rPr>
          <w:sz w:val="24"/>
          <w:szCs w:val="24"/>
          <w:lang w:val="en-US"/>
        </w:rPr>
        <w:t xml:space="preserve"> material to t</w:t>
      </w:r>
      <w:r w:rsidR="00582BD0" w:rsidRPr="007034A1">
        <w:rPr>
          <w:sz w:val="24"/>
          <w:szCs w:val="24"/>
          <w:lang w:val="en-US"/>
        </w:rPr>
        <w:t>h</w:t>
      </w:r>
      <w:r w:rsidR="000F2A85" w:rsidRPr="007034A1">
        <w:rPr>
          <w:sz w:val="24"/>
          <w:szCs w:val="24"/>
          <w:lang w:val="en-US"/>
        </w:rPr>
        <w:t>e determination of the matter is fr</w:t>
      </w:r>
      <w:r w:rsidR="00582BD0" w:rsidRPr="007034A1">
        <w:rPr>
          <w:sz w:val="24"/>
          <w:szCs w:val="24"/>
          <w:lang w:val="en-US"/>
        </w:rPr>
        <w:t>o</w:t>
      </w:r>
      <w:r w:rsidR="000F2A85" w:rsidRPr="007034A1">
        <w:rPr>
          <w:sz w:val="24"/>
          <w:szCs w:val="24"/>
          <w:lang w:val="en-US"/>
        </w:rPr>
        <w:t>wn</w:t>
      </w:r>
      <w:r w:rsidR="00F11F07">
        <w:rPr>
          <w:sz w:val="24"/>
          <w:szCs w:val="24"/>
          <w:lang w:val="en-US"/>
        </w:rPr>
        <w:t>ed upon by this</w:t>
      </w:r>
      <w:r w:rsidR="000F2A85" w:rsidRPr="007034A1">
        <w:rPr>
          <w:sz w:val="24"/>
          <w:szCs w:val="24"/>
          <w:lang w:val="en-US"/>
        </w:rPr>
        <w:t xml:space="preserve"> court.  See </w:t>
      </w:r>
      <w:r w:rsidR="000F2A85" w:rsidRPr="007034A1">
        <w:rPr>
          <w:i/>
          <w:sz w:val="24"/>
          <w:szCs w:val="24"/>
          <w:lang w:val="en-US"/>
        </w:rPr>
        <w:t>Contra (Pvt) Ltd</w:t>
      </w:r>
      <w:r w:rsidR="000F2A85" w:rsidRPr="007034A1">
        <w:rPr>
          <w:sz w:val="24"/>
          <w:szCs w:val="24"/>
          <w:lang w:val="en-US"/>
        </w:rPr>
        <w:t xml:space="preserve"> v</w:t>
      </w:r>
      <w:r w:rsidR="000F2A85" w:rsidRPr="007034A1">
        <w:rPr>
          <w:i/>
          <w:sz w:val="24"/>
          <w:szCs w:val="24"/>
          <w:lang w:val="en-US"/>
        </w:rPr>
        <w:t xml:space="preserve"> Moyas &amp; Anor</w:t>
      </w:r>
      <w:r w:rsidR="000F2A85" w:rsidRPr="007034A1">
        <w:rPr>
          <w:sz w:val="24"/>
          <w:szCs w:val="24"/>
          <w:lang w:val="en-US"/>
        </w:rPr>
        <w:t xml:space="preserve"> HH-57-12 and </w:t>
      </w:r>
      <w:r w:rsidR="000F2A85" w:rsidRPr="007034A1">
        <w:rPr>
          <w:i/>
          <w:sz w:val="24"/>
          <w:szCs w:val="24"/>
          <w:lang w:val="en-US"/>
        </w:rPr>
        <w:t>National Social Security Authority</w:t>
      </w:r>
      <w:r w:rsidR="000F2A85" w:rsidRPr="007034A1">
        <w:rPr>
          <w:sz w:val="24"/>
          <w:szCs w:val="24"/>
          <w:lang w:val="en-US"/>
        </w:rPr>
        <w:t xml:space="preserve"> v </w:t>
      </w:r>
      <w:r w:rsidR="000F2A85" w:rsidRPr="007034A1">
        <w:rPr>
          <w:i/>
          <w:sz w:val="24"/>
          <w:szCs w:val="24"/>
          <w:lang w:val="en-US"/>
        </w:rPr>
        <w:t>Capital Bank Corporation Limited</w:t>
      </w:r>
      <w:r w:rsidR="000F2A85" w:rsidRPr="007034A1">
        <w:rPr>
          <w:sz w:val="24"/>
          <w:szCs w:val="24"/>
          <w:lang w:val="en-US"/>
        </w:rPr>
        <w:t xml:space="preserve"> HH-6-19.</w:t>
      </w:r>
    </w:p>
    <w:p w:rsidR="000F2A85" w:rsidRPr="007034A1" w:rsidRDefault="00F11F07" w:rsidP="00791EDA">
      <w:pPr>
        <w:jc w:val="both"/>
        <w:rPr>
          <w:sz w:val="24"/>
          <w:szCs w:val="24"/>
          <w:lang w:val="en-US"/>
        </w:rPr>
      </w:pPr>
      <w:r>
        <w:rPr>
          <w:sz w:val="24"/>
          <w:szCs w:val="24"/>
          <w:lang w:val="en-US"/>
        </w:rPr>
        <w:tab/>
        <w:t>A perusal of case law</w:t>
      </w:r>
      <w:r w:rsidR="000F2A85" w:rsidRPr="007034A1">
        <w:rPr>
          <w:sz w:val="24"/>
          <w:szCs w:val="24"/>
          <w:lang w:val="en-US"/>
        </w:rPr>
        <w:t xml:space="preserve"> reveals that material non-disclosure relates to the withholding of </w:t>
      </w:r>
      <w:r w:rsidR="00825E08" w:rsidRPr="007034A1">
        <w:rPr>
          <w:sz w:val="24"/>
          <w:szCs w:val="24"/>
          <w:lang w:val="en-US"/>
        </w:rPr>
        <w:t>vital information.  In this matter, as I have already indicated all the records referred to where cited and referred to by the applicant are listed on the</w:t>
      </w:r>
      <w:r>
        <w:rPr>
          <w:sz w:val="24"/>
          <w:szCs w:val="24"/>
          <w:lang w:val="en-US"/>
        </w:rPr>
        <w:t xml:space="preserve"> face</w:t>
      </w:r>
      <w:r w:rsidR="00825E08" w:rsidRPr="007034A1">
        <w:rPr>
          <w:sz w:val="24"/>
          <w:szCs w:val="24"/>
          <w:lang w:val="en-US"/>
        </w:rPr>
        <w:t xml:space="preserve"> of the application</w:t>
      </w:r>
      <w:r>
        <w:rPr>
          <w:sz w:val="24"/>
          <w:szCs w:val="24"/>
          <w:lang w:val="en-US"/>
        </w:rPr>
        <w:t xml:space="preserve">. </w:t>
      </w:r>
      <w:r w:rsidR="00825E08" w:rsidRPr="007034A1">
        <w:rPr>
          <w:sz w:val="24"/>
          <w:szCs w:val="24"/>
          <w:lang w:val="en-US"/>
        </w:rPr>
        <w:t xml:space="preserve">I find that this point </w:t>
      </w:r>
      <w:r w:rsidR="00825E08" w:rsidRPr="007034A1">
        <w:rPr>
          <w:i/>
          <w:sz w:val="24"/>
          <w:szCs w:val="24"/>
          <w:lang w:val="en-US"/>
        </w:rPr>
        <w:t>in limine</w:t>
      </w:r>
      <w:r w:rsidR="00825E08" w:rsidRPr="007034A1">
        <w:rPr>
          <w:sz w:val="24"/>
          <w:szCs w:val="24"/>
          <w:lang w:val="en-US"/>
        </w:rPr>
        <w:t xml:space="preserve"> has no merit.</w:t>
      </w:r>
    </w:p>
    <w:p w:rsidR="00825E08" w:rsidRPr="007034A1" w:rsidRDefault="00C949BB" w:rsidP="00791EDA">
      <w:pPr>
        <w:jc w:val="both"/>
        <w:rPr>
          <w:b/>
          <w:sz w:val="24"/>
          <w:szCs w:val="24"/>
          <w:lang w:val="en-US"/>
        </w:rPr>
      </w:pPr>
      <w:r>
        <w:rPr>
          <w:b/>
          <w:sz w:val="24"/>
          <w:szCs w:val="24"/>
          <w:lang w:val="en-US"/>
        </w:rPr>
        <w:t>ON THE MERITS</w:t>
      </w:r>
    </w:p>
    <w:p w:rsidR="00825E08" w:rsidRPr="007034A1" w:rsidRDefault="00825E08" w:rsidP="00791EDA">
      <w:pPr>
        <w:jc w:val="both"/>
        <w:rPr>
          <w:b/>
          <w:sz w:val="24"/>
          <w:szCs w:val="24"/>
          <w:lang w:val="en-US"/>
        </w:rPr>
      </w:pPr>
      <w:r w:rsidRPr="007034A1">
        <w:rPr>
          <w:b/>
          <w:sz w:val="24"/>
          <w:szCs w:val="24"/>
          <w:lang w:val="en-US"/>
        </w:rPr>
        <w:t>Background facts</w:t>
      </w:r>
    </w:p>
    <w:p w:rsidR="00825E08" w:rsidRPr="007034A1" w:rsidRDefault="00825E08" w:rsidP="00791EDA">
      <w:pPr>
        <w:jc w:val="both"/>
        <w:rPr>
          <w:sz w:val="24"/>
          <w:szCs w:val="24"/>
          <w:lang w:val="en-US"/>
        </w:rPr>
      </w:pPr>
      <w:r w:rsidRPr="007034A1">
        <w:rPr>
          <w:sz w:val="24"/>
          <w:szCs w:val="24"/>
          <w:lang w:val="en-US"/>
        </w:rPr>
        <w:tab/>
        <w:t>On 5</w:t>
      </w:r>
      <w:r w:rsidRPr="007034A1">
        <w:rPr>
          <w:sz w:val="24"/>
          <w:szCs w:val="24"/>
          <w:vertAlign w:val="superscript"/>
          <w:lang w:val="en-US"/>
        </w:rPr>
        <w:t>th</w:t>
      </w:r>
      <w:r w:rsidRPr="007034A1">
        <w:rPr>
          <w:sz w:val="24"/>
          <w:szCs w:val="24"/>
          <w:lang w:val="en-US"/>
        </w:rPr>
        <w:t xml:space="preserve"> October 2015, 1</w:t>
      </w:r>
      <w:r w:rsidRPr="007034A1">
        <w:rPr>
          <w:sz w:val="24"/>
          <w:szCs w:val="24"/>
          <w:vertAlign w:val="superscript"/>
          <w:lang w:val="en-US"/>
        </w:rPr>
        <w:t>st</w:t>
      </w:r>
      <w:r w:rsidRPr="007034A1">
        <w:rPr>
          <w:sz w:val="24"/>
          <w:szCs w:val="24"/>
          <w:lang w:val="en-US"/>
        </w:rPr>
        <w:t xml:space="preserve"> respondent issued in favour of Silobela Community Development Trust, certificate of registration number 30223 (the certificate), over a block consisting of eight (8) gold reef claims named Turtle 54 located in the Silobela Communal Lands under cover of case number HC 1926/18, 4</w:t>
      </w:r>
      <w:r w:rsidRPr="007034A1">
        <w:rPr>
          <w:sz w:val="24"/>
          <w:szCs w:val="24"/>
          <w:vertAlign w:val="superscript"/>
          <w:lang w:val="en-US"/>
        </w:rPr>
        <w:t>th</w:t>
      </w:r>
      <w:r w:rsidRPr="007034A1">
        <w:rPr>
          <w:sz w:val="24"/>
          <w:szCs w:val="24"/>
          <w:lang w:val="en-US"/>
        </w:rPr>
        <w:t xml:space="preserve"> respondent issued process which led to an order which </w:t>
      </w:r>
      <w:r w:rsidRPr="007034A1">
        <w:rPr>
          <w:i/>
          <w:sz w:val="24"/>
          <w:szCs w:val="24"/>
          <w:lang w:val="en-US"/>
        </w:rPr>
        <w:t>inter alia</w:t>
      </w:r>
      <w:r w:rsidRPr="007034A1">
        <w:rPr>
          <w:sz w:val="24"/>
          <w:szCs w:val="24"/>
          <w:lang w:val="en-US"/>
        </w:rPr>
        <w:t>, provided that a certificate of registration issued in favour</w:t>
      </w:r>
      <w:r w:rsidR="00535B25">
        <w:rPr>
          <w:sz w:val="24"/>
          <w:szCs w:val="24"/>
          <w:lang w:val="en-US"/>
        </w:rPr>
        <w:t xml:space="preserve"> of </w:t>
      </w:r>
      <w:r w:rsidR="006B7CF3" w:rsidRPr="007034A1">
        <w:rPr>
          <w:sz w:val="24"/>
          <w:szCs w:val="24"/>
          <w:lang w:val="en-US"/>
        </w:rPr>
        <w:t xml:space="preserve"> Sukoluhle Moyo by 2</w:t>
      </w:r>
      <w:r w:rsidR="006B7CF3" w:rsidRPr="007034A1">
        <w:rPr>
          <w:sz w:val="24"/>
          <w:szCs w:val="24"/>
          <w:vertAlign w:val="superscript"/>
          <w:lang w:val="en-US"/>
        </w:rPr>
        <w:t>nd</w:t>
      </w:r>
      <w:r w:rsidR="006B7CF3" w:rsidRPr="007034A1">
        <w:rPr>
          <w:sz w:val="24"/>
          <w:szCs w:val="24"/>
          <w:lang w:val="en-US"/>
        </w:rPr>
        <w:t xml:space="preserve"> respondent in respect of Turtle 54 </w:t>
      </w:r>
      <w:r w:rsidR="00582BD0" w:rsidRPr="007034A1">
        <w:rPr>
          <w:sz w:val="24"/>
          <w:szCs w:val="24"/>
          <w:lang w:val="en-US"/>
        </w:rPr>
        <w:t>P</w:t>
      </w:r>
      <w:r w:rsidR="006B7CF3" w:rsidRPr="007034A1">
        <w:rPr>
          <w:sz w:val="24"/>
          <w:szCs w:val="24"/>
          <w:lang w:val="en-US"/>
        </w:rPr>
        <w:t>eace Mine, be declared null and void.  Paragraph 4 of the same order directed tha</w:t>
      </w:r>
      <w:r w:rsidR="00582BD0" w:rsidRPr="007034A1">
        <w:rPr>
          <w:sz w:val="24"/>
          <w:szCs w:val="24"/>
          <w:lang w:val="en-US"/>
        </w:rPr>
        <w:t>t</w:t>
      </w:r>
      <w:r w:rsidR="006B7CF3" w:rsidRPr="007034A1">
        <w:rPr>
          <w:sz w:val="24"/>
          <w:szCs w:val="24"/>
          <w:lang w:val="en-US"/>
        </w:rPr>
        <w:t xml:space="preserve"> 2</w:t>
      </w:r>
      <w:r w:rsidR="006B7CF3" w:rsidRPr="007034A1">
        <w:rPr>
          <w:sz w:val="24"/>
          <w:szCs w:val="24"/>
          <w:vertAlign w:val="superscript"/>
          <w:lang w:val="en-US"/>
        </w:rPr>
        <w:t>nd</w:t>
      </w:r>
      <w:r w:rsidR="006B7CF3" w:rsidRPr="007034A1">
        <w:rPr>
          <w:sz w:val="24"/>
          <w:szCs w:val="24"/>
          <w:lang w:val="en-US"/>
        </w:rPr>
        <w:t xml:space="preserve"> respondents transfers mining title in respect of Turtle 16 mine, Silobela to the 4</w:t>
      </w:r>
      <w:r w:rsidR="006B7CF3" w:rsidRPr="007034A1">
        <w:rPr>
          <w:sz w:val="24"/>
          <w:szCs w:val="24"/>
          <w:vertAlign w:val="superscript"/>
          <w:lang w:val="en-US"/>
        </w:rPr>
        <w:t>th</w:t>
      </w:r>
      <w:r w:rsidR="006B7CF3" w:rsidRPr="007034A1">
        <w:rPr>
          <w:sz w:val="24"/>
          <w:szCs w:val="24"/>
          <w:lang w:val="en-US"/>
        </w:rPr>
        <w:t xml:space="preserve"> respondent.  On or about 26</w:t>
      </w:r>
      <w:r w:rsidR="006B7CF3" w:rsidRPr="007034A1">
        <w:rPr>
          <w:sz w:val="24"/>
          <w:szCs w:val="24"/>
          <w:vertAlign w:val="superscript"/>
          <w:lang w:val="en-US"/>
        </w:rPr>
        <w:t>th</w:t>
      </w:r>
      <w:r w:rsidR="006B7CF3" w:rsidRPr="007034A1">
        <w:rPr>
          <w:sz w:val="24"/>
          <w:szCs w:val="24"/>
          <w:lang w:val="en-US"/>
        </w:rPr>
        <w:t xml:space="preserve"> February 2019, 1</w:t>
      </w:r>
      <w:r w:rsidR="006B7CF3" w:rsidRPr="007034A1">
        <w:rPr>
          <w:sz w:val="24"/>
          <w:szCs w:val="24"/>
          <w:vertAlign w:val="superscript"/>
          <w:lang w:val="en-US"/>
        </w:rPr>
        <w:t>st</w:t>
      </w:r>
      <w:r w:rsidR="006B7CF3" w:rsidRPr="007034A1">
        <w:rPr>
          <w:sz w:val="24"/>
          <w:szCs w:val="24"/>
          <w:lang w:val="en-US"/>
        </w:rPr>
        <w:t xml:space="preserve"> </w:t>
      </w:r>
      <w:r w:rsidR="006B7CF3" w:rsidRPr="007034A1">
        <w:rPr>
          <w:sz w:val="24"/>
          <w:szCs w:val="24"/>
          <w:lang w:val="en-US"/>
        </w:rPr>
        <w:lastRenderedPageBreak/>
        <w:t>respondent transferred the rights held by the Trust to the 4</w:t>
      </w:r>
      <w:r w:rsidR="006B7CF3" w:rsidRPr="007034A1">
        <w:rPr>
          <w:sz w:val="24"/>
          <w:szCs w:val="24"/>
          <w:vertAlign w:val="superscript"/>
          <w:lang w:val="en-US"/>
        </w:rPr>
        <w:t>th</w:t>
      </w:r>
      <w:r w:rsidR="006B7CF3" w:rsidRPr="007034A1">
        <w:rPr>
          <w:sz w:val="24"/>
          <w:szCs w:val="24"/>
          <w:lang w:val="en-US"/>
        </w:rPr>
        <w:t xml:space="preserve"> respondent.  On 25</w:t>
      </w:r>
      <w:r w:rsidR="006B7CF3" w:rsidRPr="007034A1">
        <w:rPr>
          <w:sz w:val="24"/>
          <w:szCs w:val="24"/>
          <w:vertAlign w:val="superscript"/>
          <w:lang w:val="en-US"/>
        </w:rPr>
        <w:t>th</w:t>
      </w:r>
      <w:r w:rsidR="006B7CF3" w:rsidRPr="007034A1">
        <w:rPr>
          <w:sz w:val="24"/>
          <w:szCs w:val="24"/>
          <w:lang w:val="en-US"/>
        </w:rPr>
        <w:t xml:space="preserve"> July 2022, the Trust under case number HC 1344/22 issued summons against 1</w:t>
      </w:r>
      <w:r w:rsidR="006B7CF3" w:rsidRPr="007034A1">
        <w:rPr>
          <w:sz w:val="24"/>
          <w:szCs w:val="24"/>
          <w:vertAlign w:val="superscript"/>
          <w:lang w:val="en-US"/>
        </w:rPr>
        <w:t>st</w:t>
      </w:r>
      <w:r w:rsidR="006B7CF3" w:rsidRPr="007034A1">
        <w:rPr>
          <w:sz w:val="24"/>
          <w:szCs w:val="24"/>
          <w:lang w:val="en-US"/>
        </w:rPr>
        <w:t xml:space="preserve"> to 4</w:t>
      </w:r>
      <w:r w:rsidR="006B7CF3" w:rsidRPr="007034A1">
        <w:rPr>
          <w:sz w:val="24"/>
          <w:szCs w:val="24"/>
          <w:vertAlign w:val="superscript"/>
          <w:lang w:val="en-US"/>
        </w:rPr>
        <w:t>th</w:t>
      </w:r>
      <w:r w:rsidR="006B7CF3" w:rsidRPr="007034A1">
        <w:rPr>
          <w:sz w:val="24"/>
          <w:szCs w:val="24"/>
          <w:lang w:val="en-US"/>
        </w:rPr>
        <w:t xml:space="preserve"> respondents seeking a declaration that the cancellation of the Trust’s mining certificate of registration and the subsequent transfer of mining rights to 4</w:t>
      </w:r>
      <w:r w:rsidR="006B7CF3" w:rsidRPr="007034A1">
        <w:rPr>
          <w:sz w:val="24"/>
          <w:szCs w:val="24"/>
          <w:vertAlign w:val="superscript"/>
          <w:lang w:val="en-US"/>
        </w:rPr>
        <w:t>th</w:t>
      </w:r>
      <w:r w:rsidR="006B7CF3" w:rsidRPr="007034A1">
        <w:rPr>
          <w:sz w:val="24"/>
          <w:szCs w:val="24"/>
          <w:lang w:val="en-US"/>
        </w:rPr>
        <w:t xml:space="preserve"> respondent was unlawful owing to the </w:t>
      </w:r>
      <w:r w:rsidR="00121C25" w:rsidRPr="007034A1">
        <w:rPr>
          <w:sz w:val="24"/>
          <w:szCs w:val="24"/>
          <w:lang w:val="en-US"/>
        </w:rPr>
        <w:t>fact</w:t>
      </w:r>
      <w:r w:rsidR="006B7CF3" w:rsidRPr="007034A1">
        <w:rPr>
          <w:sz w:val="24"/>
          <w:szCs w:val="24"/>
          <w:lang w:val="en-US"/>
        </w:rPr>
        <w:t xml:space="preserve"> that this was not done in accordance with any law of general application.  On that same date, the applicant approached this court on an urgent basis seeking to prevent the 4</w:t>
      </w:r>
      <w:r w:rsidR="006B7CF3" w:rsidRPr="007034A1">
        <w:rPr>
          <w:sz w:val="24"/>
          <w:szCs w:val="24"/>
          <w:vertAlign w:val="superscript"/>
          <w:lang w:val="en-US"/>
        </w:rPr>
        <w:t>th</w:t>
      </w:r>
      <w:r w:rsidR="006B7CF3" w:rsidRPr="007034A1">
        <w:rPr>
          <w:sz w:val="24"/>
          <w:szCs w:val="24"/>
          <w:lang w:val="en-US"/>
        </w:rPr>
        <w:t xml:space="preserve"> respo</w:t>
      </w:r>
      <w:r w:rsidR="00CD6CE4">
        <w:rPr>
          <w:sz w:val="24"/>
          <w:szCs w:val="24"/>
          <w:lang w:val="en-US"/>
        </w:rPr>
        <w:t>ndent from continuing to exploit</w:t>
      </w:r>
      <w:r w:rsidR="006B7CF3" w:rsidRPr="007034A1">
        <w:rPr>
          <w:sz w:val="24"/>
          <w:szCs w:val="24"/>
          <w:lang w:val="en-US"/>
        </w:rPr>
        <w:t xml:space="preserve"> the </w:t>
      </w:r>
      <w:r w:rsidR="00121C25" w:rsidRPr="007034A1">
        <w:rPr>
          <w:sz w:val="24"/>
          <w:szCs w:val="24"/>
          <w:lang w:val="en-US"/>
        </w:rPr>
        <w:t>depreciating resource pending the determination of the rights of the parties under HC 1344/22.</w:t>
      </w:r>
    </w:p>
    <w:p w:rsidR="00121C25" w:rsidRPr="007034A1" w:rsidRDefault="00121C25" w:rsidP="00791EDA">
      <w:pPr>
        <w:jc w:val="both"/>
        <w:rPr>
          <w:sz w:val="24"/>
          <w:szCs w:val="24"/>
          <w:lang w:val="en-US"/>
        </w:rPr>
      </w:pPr>
      <w:r w:rsidRPr="007034A1">
        <w:rPr>
          <w:sz w:val="24"/>
          <w:szCs w:val="24"/>
          <w:lang w:val="en-US"/>
        </w:rPr>
        <w:tab/>
        <w:t>On the 3</w:t>
      </w:r>
      <w:r w:rsidRPr="007034A1">
        <w:rPr>
          <w:sz w:val="24"/>
          <w:szCs w:val="24"/>
          <w:vertAlign w:val="superscript"/>
          <w:lang w:val="en-US"/>
        </w:rPr>
        <w:t>rd</w:t>
      </w:r>
      <w:r w:rsidRPr="007034A1">
        <w:rPr>
          <w:sz w:val="24"/>
          <w:szCs w:val="24"/>
          <w:lang w:val="en-US"/>
        </w:rPr>
        <w:t xml:space="preserve"> of August 2022, 4</w:t>
      </w:r>
      <w:r w:rsidRPr="007034A1">
        <w:rPr>
          <w:sz w:val="24"/>
          <w:szCs w:val="24"/>
          <w:vertAlign w:val="superscript"/>
          <w:lang w:val="en-US"/>
        </w:rPr>
        <w:t>th</w:t>
      </w:r>
      <w:r w:rsidRPr="007034A1">
        <w:rPr>
          <w:sz w:val="24"/>
          <w:szCs w:val="24"/>
          <w:lang w:val="en-US"/>
        </w:rPr>
        <w:t xml:space="preserve"> respondent </w:t>
      </w:r>
      <w:r w:rsidR="00BE2D1A">
        <w:rPr>
          <w:sz w:val="24"/>
          <w:szCs w:val="24"/>
          <w:lang w:val="en-US"/>
        </w:rPr>
        <w:t>filed heads of argument raising</w:t>
      </w:r>
      <w:r w:rsidRPr="007034A1">
        <w:rPr>
          <w:sz w:val="24"/>
          <w:szCs w:val="24"/>
          <w:lang w:val="en-US"/>
        </w:rPr>
        <w:t xml:space="preserve"> se</w:t>
      </w:r>
      <w:r w:rsidR="00BE2D1A">
        <w:rPr>
          <w:sz w:val="24"/>
          <w:szCs w:val="24"/>
          <w:lang w:val="en-US"/>
        </w:rPr>
        <w:t>veral preliminary and</w:t>
      </w:r>
      <w:r w:rsidRPr="007034A1">
        <w:rPr>
          <w:sz w:val="24"/>
          <w:szCs w:val="24"/>
          <w:lang w:val="en-US"/>
        </w:rPr>
        <w:t xml:space="preserve"> addressing the merits.  The applicant filed </w:t>
      </w:r>
      <w:r w:rsidR="00582BD0" w:rsidRPr="007034A1">
        <w:rPr>
          <w:sz w:val="24"/>
          <w:szCs w:val="24"/>
          <w:lang w:val="en-US"/>
        </w:rPr>
        <w:t>detailed heads of argument on</w:t>
      </w:r>
      <w:r w:rsidRPr="007034A1">
        <w:rPr>
          <w:sz w:val="24"/>
          <w:szCs w:val="24"/>
          <w:lang w:val="en-US"/>
        </w:rPr>
        <w:t xml:space="preserve"> the merits on the 9</w:t>
      </w:r>
      <w:r w:rsidRPr="007034A1">
        <w:rPr>
          <w:sz w:val="24"/>
          <w:szCs w:val="24"/>
          <w:vertAlign w:val="superscript"/>
          <w:lang w:val="en-US"/>
        </w:rPr>
        <w:t>th</w:t>
      </w:r>
      <w:r w:rsidRPr="007034A1">
        <w:rPr>
          <w:sz w:val="24"/>
          <w:szCs w:val="24"/>
          <w:lang w:val="en-US"/>
        </w:rPr>
        <w:t xml:space="preserve"> of September 2022.</w:t>
      </w:r>
    </w:p>
    <w:p w:rsidR="00121C25" w:rsidRPr="007034A1" w:rsidRDefault="00121C25" w:rsidP="00791EDA">
      <w:pPr>
        <w:jc w:val="both"/>
        <w:rPr>
          <w:b/>
          <w:sz w:val="24"/>
          <w:szCs w:val="24"/>
          <w:lang w:val="en-US"/>
        </w:rPr>
      </w:pPr>
      <w:r w:rsidRPr="007034A1">
        <w:rPr>
          <w:b/>
          <w:sz w:val="24"/>
          <w:szCs w:val="24"/>
          <w:lang w:val="en-US"/>
        </w:rPr>
        <w:t>Issues for determination</w:t>
      </w:r>
    </w:p>
    <w:p w:rsidR="00121C25" w:rsidRPr="007034A1" w:rsidRDefault="00121C25" w:rsidP="00791EDA">
      <w:pPr>
        <w:jc w:val="both"/>
        <w:rPr>
          <w:sz w:val="24"/>
          <w:szCs w:val="24"/>
          <w:lang w:val="en-US"/>
        </w:rPr>
      </w:pPr>
      <w:r w:rsidRPr="007034A1">
        <w:rPr>
          <w:sz w:val="24"/>
          <w:szCs w:val="24"/>
          <w:lang w:val="en-US"/>
        </w:rPr>
        <w:tab/>
        <w:t>The first issue for determination in this matter is whether the applicant satisfies the requirements for a temporary interdict which are:</w:t>
      </w:r>
    </w:p>
    <w:p w:rsidR="00121C25" w:rsidRPr="007034A1" w:rsidRDefault="00582BD0" w:rsidP="00791EDA">
      <w:pPr>
        <w:pStyle w:val="ListParagraph"/>
        <w:numPr>
          <w:ilvl w:val="0"/>
          <w:numId w:val="3"/>
        </w:numPr>
        <w:jc w:val="both"/>
        <w:rPr>
          <w:sz w:val="24"/>
          <w:szCs w:val="24"/>
          <w:lang w:val="en-US"/>
        </w:rPr>
      </w:pPr>
      <w:r w:rsidRPr="007034A1">
        <w:rPr>
          <w:sz w:val="24"/>
          <w:szCs w:val="24"/>
          <w:lang w:val="en-US"/>
        </w:rPr>
        <w:t>a</w:t>
      </w:r>
      <w:r w:rsidR="00121C25" w:rsidRPr="007034A1">
        <w:rPr>
          <w:sz w:val="24"/>
          <w:szCs w:val="24"/>
          <w:lang w:val="en-US"/>
        </w:rPr>
        <w:t xml:space="preserve"> right, which through </w:t>
      </w:r>
      <w:r w:rsidR="00121C25" w:rsidRPr="007034A1">
        <w:rPr>
          <w:i/>
          <w:sz w:val="24"/>
          <w:szCs w:val="24"/>
          <w:lang w:val="en-US"/>
        </w:rPr>
        <w:t>prima facie</w:t>
      </w:r>
      <w:r w:rsidR="00121C25" w:rsidRPr="007034A1">
        <w:rPr>
          <w:sz w:val="24"/>
          <w:szCs w:val="24"/>
          <w:lang w:val="en-US"/>
        </w:rPr>
        <w:t xml:space="preserve"> is open to some doubt</w:t>
      </w:r>
    </w:p>
    <w:p w:rsidR="00121C25" w:rsidRPr="007034A1" w:rsidRDefault="00582BD0" w:rsidP="00791EDA">
      <w:pPr>
        <w:pStyle w:val="ListParagraph"/>
        <w:numPr>
          <w:ilvl w:val="0"/>
          <w:numId w:val="3"/>
        </w:numPr>
        <w:jc w:val="both"/>
        <w:rPr>
          <w:sz w:val="24"/>
          <w:szCs w:val="24"/>
          <w:lang w:val="en-US"/>
        </w:rPr>
      </w:pPr>
      <w:r w:rsidRPr="007034A1">
        <w:rPr>
          <w:sz w:val="24"/>
          <w:szCs w:val="24"/>
          <w:lang w:val="en-US"/>
        </w:rPr>
        <w:t>a</w:t>
      </w:r>
      <w:r w:rsidR="00121C25" w:rsidRPr="007034A1">
        <w:rPr>
          <w:sz w:val="24"/>
          <w:szCs w:val="24"/>
          <w:lang w:val="en-US"/>
        </w:rPr>
        <w:t xml:space="preserve"> well</w:t>
      </w:r>
      <w:r w:rsidRPr="007034A1">
        <w:rPr>
          <w:sz w:val="24"/>
          <w:szCs w:val="24"/>
          <w:lang w:val="en-US"/>
        </w:rPr>
        <w:t>-</w:t>
      </w:r>
      <w:r w:rsidR="00121C25" w:rsidRPr="007034A1">
        <w:rPr>
          <w:sz w:val="24"/>
          <w:szCs w:val="24"/>
          <w:lang w:val="en-US"/>
        </w:rPr>
        <w:t>grounded application of irreparable injury</w:t>
      </w:r>
    </w:p>
    <w:p w:rsidR="00121C25" w:rsidRPr="007034A1" w:rsidRDefault="00582BD0" w:rsidP="00791EDA">
      <w:pPr>
        <w:pStyle w:val="ListParagraph"/>
        <w:numPr>
          <w:ilvl w:val="0"/>
          <w:numId w:val="3"/>
        </w:numPr>
        <w:jc w:val="both"/>
        <w:rPr>
          <w:sz w:val="24"/>
          <w:szCs w:val="24"/>
          <w:lang w:val="en-US"/>
        </w:rPr>
      </w:pPr>
      <w:r w:rsidRPr="007034A1">
        <w:rPr>
          <w:sz w:val="24"/>
          <w:szCs w:val="24"/>
          <w:lang w:val="en-US"/>
        </w:rPr>
        <w:t>t</w:t>
      </w:r>
      <w:r w:rsidR="00121C25" w:rsidRPr="007034A1">
        <w:rPr>
          <w:sz w:val="24"/>
          <w:szCs w:val="24"/>
          <w:lang w:val="en-US"/>
        </w:rPr>
        <w:t>he absence of any other remedy</w:t>
      </w:r>
    </w:p>
    <w:p w:rsidR="00121C25" w:rsidRPr="007034A1" w:rsidRDefault="00582BD0" w:rsidP="00791EDA">
      <w:pPr>
        <w:pStyle w:val="ListParagraph"/>
        <w:numPr>
          <w:ilvl w:val="0"/>
          <w:numId w:val="3"/>
        </w:numPr>
        <w:jc w:val="both"/>
        <w:rPr>
          <w:sz w:val="24"/>
          <w:szCs w:val="24"/>
          <w:lang w:val="en-US"/>
        </w:rPr>
      </w:pPr>
      <w:r w:rsidRPr="007034A1">
        <w:rPr>
          <w:sz w:val="24"/>
          <w:szCs w:val="24"/>
          <w:lang w:val="en-US"/>
        </w:rPr>
        <w:t>t</w:t>
      </w:r>
      <w:r w:rsidR="00121C25" w:rsidRPr="007034A1">
        <w:rPr>
          <w:sz w:val="24"/>
          <w:szCs w:val="24"/>
          <w:lang w:val="en-US"/>
        </w:rPr>
        <w:t>he balance of convenience favours the applicant</w:t>
      </w:r>
    </w:p>
    <w:p w:rsidR="00121C25" w:rsidRPr="007034A1" w:rsidRDefault="00121C25" w:rsidP="00791EDA">
      <w:pPr>
        <w:ind w:left="720"/>
        <w:jc w:val="both"/>
        <w:rPr>
          <w:sz w:val="24"/>
          <w:szCs w:val="24"/>
          <w:lang w:val="en-US"/>
        </w:rPr>
      </w:pPr>
      <w:r w:rsidRPr="007034A1">
        <w:rPr>
          <w:sz w:val="24"/>
          <w:szCs w:val="24"/>
          <w:lang w:val="en-US"/>
        </w:rPr>
        <w:t xml:space="preserve">See </w:t>
      </w:r>
      <w:r w:rsidRPr="007034A1">
        <w:rPr>
          <w:i/>
          <w:sz w:val="24"/>
          <w:szCs w:val="24"/>
          <w:lang w:val="en-US"/>
        </w:rPr>
        <w:t>ZESA Staff Pension Fund</w:t>
      </w:r>
      <w:r w:rsidRPr="007034A1">
        <w:rPr>
          <w:sz w:val="24"/>
          <w:szCs w:val="24"/>
          <w:lang w:val="en-US"/>
        </w:rPr>
        <w:t xml:space="preserve"> v </w:t>
      </w:r>
      <w:r w:rsidRPr="007034A1">
        <w:rPr>
          <w:i/>
          <w:sz w:val="24"/>
          <w:szCs w:val="24"/>
          <w:lang w:val="en-US"/>
        </w:rPr>
        <w:t>Mashambadzi</w:t>
      </w:r>
      <w:r w:rsidRPr="007034A1">
        <w:rPr>
          <w:sz w:val="24"/>
          <w:szCs w:val="24"/>
          <w:lang w:val="en-US"/>
        </w:rPr>
        <w:t xml:space="preserve"> SC-57-02 and </w:t>
      </w:r>
      <w:proofErr w:type="spellStart"/>
      <w:r w:rsidR="00287A22">
        <w:rPr>
          <w:i/>
          <w:sz w:val="24"/>
          <w:szCs w:val="24"/>
          <w:lang w:val="en-US"/>
        </w:rPr>
        <w:t>Pin</w:t>
      </w:r>
      <w:r w:rsidRPr="007034A1">
        <w:rPr>
          <w:i/>
          <w:sz w:val="24"/>
          <w:szCs w:val="24"/>
          <w:lang w:val="en-US"/>
        </w:rPr>
        <w:t>kstone</w:t>
      </w:r>
      <w:proofErr w:type="spellEnd"/>
      <w:r w:rsidRPr="007034A1">
        <w:rPr>
          <w:i/>
          <w:sz w:val="24"/>
          <w:szCs w:val="24"/>
          <w:lang w:val="en-US"/>
        </w:rPr>
        <w:t xml:space="preserve"> Mining (</w:t>
      </w:r>
      <w:proofErr w:type="spellStart"/>
      <w:r w:rsidRPr="007034A1">
        <w:rPr>
          <w:i/>
          <w:sz w:val="24"/>
          <w:szCs w:val="24"/>
          <w:lang w:val="en-US"/>
        </w:rPr>
        <w:t>Pvt</w:t>
      </w:r>
      <w:proofErr w:type="spellEnd"/>
      <w:r w:rsidRPr="007034A1">
        <w:rPr>
          <w:i/>
          <w:sz w:val="24"/>
          <w:szCs w:val="24"/>
          <w:lang w:val="en-US"/>
        </w:rPr>
        <w:t>) Ltd</w:t>
      </w:r>
      <w:r w:rsidRPr="007034A1">
        <w:rPr>
          <w:sz w:val="24"/>
          <w:szCs w:val="24"/>
          <w:lang w:val="en-US"/>
        </w:rPr>
        <w:t xml:space="preserve"> </w:t>
      </w:r>
      <w:r w:rsidR="00287A22">
        <w:rPr>
          <w:i/>
          <w:sz w:val="24"/>
          <w:szCs w:val="24"/>
          <w:lang w:val="en-US"/>
        </w:rPr>
        <w:t xml:space="preserve">v </w:t>
      </w:r>
      <w:proofErr w:type="spellStart"/>
      <w:r w:rsidR="00287A22">
        <w:rPr>
          <w:i/>
          <w:sz w:val="24"/>
          <w:szCs w:val="24"/>
          <w:lang w:val="en-US"/>
        </w:rPr>
        <w:t>Ma</w:t>
      </w:r>
      <w:r w:rsidRPr="007034A1">
        <w:rPr>
          <w:i/>
          <w:sz w:val="24"/>
          <w:szCs w:val="24"/>
          <w:lang w:val="en-US"/>
        </w:rPr>
        <w:t>tangi</w:t>
      </w:r>
      <w:proofErr w:type="spellEnd"/>
      <w:r w:rsidRPr="007034A1">
        <w:rPr>
          <w:i/>
          <w:sz w:val="24"/>
          <w:szCs w:val="24"/>
          <w:lang w:val="en-US"/>
        </w:rPr>
        <w:t xml:space="preserve"> &amp; Ors</w:t>
      </w:r>
      <w:r w:rsidRPr="007034A1">
        <w:rPr>
          <w:sz w:val="24"/>
          <w:szCs w:val="24"/>
          <w:lang w:val="en-US"/>
        </w:rPr>
        <w:t xml:space="preserve"> HH-118-18.</w:t>
      </w:r>
    </w:p>
    <w:p w:rsidR="00121C25" w:rsidRPr="007034A1" w:rsidRDefault="00121C25" w:rsidP="00791EDA">
      <w:pPr>
        <w:jc w:val="both"/>
        <w:rPr>
          <w:b/>
          <w:sz w:val="24"/>
          <w:szCs w:val="24"/>
          <w:lang w:val="en-US"/>
        </w:rPr>
      </w:pPr>
      <w:r w:rsidRPr="007034A1">
        <w:rPr>
          <w:b/>
          <w:i/>
          <w:sz w:val="24"/>
          <w:szCs w:val="24"/>
          <w:lang w:val="en-US"/>
        </w:rPr>
        <w:t>Prima facie</w:t>
      </w:r>
      <w:r w:rsidRPr="007034A1">
        <w:rPr>
          <w:b/>
          <w:sz w:val="24"/>
          <w:szCs w:val="24"/>
          <w:lang w:val="en-US"/>
        </w:rPr>
        <w:t xml:space="preserve"> right</w:t>
      </w:r>
    </w:p>
    <w:p w:rsidR="00121C25" w:rsidRPr="007034A1" w:rsidRDefault="00121C25" w:rsidP="00791EDA">
      <w:pPr>
        <w:jc w:val="both"/>
        <w:rPr>
          <w:sz w:val="24"/>
          <w:szCs w:val="24"/>
          <w:lang w:val="en-US"/>
        </w:rPr>
      </w:pPr>
      <w:r w:rsidRPr="007034A1">
        <w:rPr>
          <w:sz w:val="24"/>
          <w:szCs w:val="24"/>
          <w:lang w:val="en-US"/>
        </w:rPr>
        <w:tab/>
        <w:t>Appl</w:t>
      </w:r>
      <w:r w:rsidR="006D411D">
        <w:rPr>
          <w:sz w:val="24"/>
          <w:szCs w:val="24"/>
          <w:lang w:val="en-US"/>
        </w:rPr>
        <w:t>icant contends that according in terms of</w:t>
      </w:r>
      <w:r w:rsidRPr="007034A1">
        <w:rPr>
          <w:sz w:val="24"/>
          <w:szCs w:val="24"/>
          <w:lang w:val="en-US"/>
        </w:rPr>
        <w:t xml:space="preserve"> section 343 (b) of the Mines and Minerals Act (Chapter 21:05), </w:t>
      </w:r>
      <w:r w:rsidR="005A7AC5">
        <w:rPr>
          <w:sz w:val="24"/>
          <w:szCs w:val="24"/>
          <w:lang w:val="en-US"/>
        </w:rPr>
        <w:t>(</w:t>
      </w:r>
      <w:r w:rsidRPr="007034A1">
        <w:rPr>
          <w:sz w:val="24"/>
          <w:szCs w:val="24"/>
          <w:lang w:val="en-US"/>
        </w:rPr>
        <w:t>the Act</w:t>
      </w:r>
      <w:r w:rsidR="005A7AC5">
        <w:rPr>
          <w:sz w:val="24"/>
          <w:szCs w:val="24"/>
          <w:lang w:val="en-US"/>
        </w:rPr>
        <w:t>)</w:t>
      </w:r>
      <w:r w:rsidRPr="007034A1">
        <w:rPr>
          <w:sz w:val="24"/>
          <w:szCs w:val="24"/>
          <w:lang w:val="en-US"/>
        </w:rPr>
        <w:t xml:space="preserve"> every mining district in Zimbabwe shall have a Mining Commissioner (now known as the Provincial Mining Director) who shall perform</w:t>
      </w:r>
      <w:r w:rsidR="004D491F" w:rsidRPr="007034A1">
        <w:rPr>
          <w:sz w:val="24"/>
          <w:szCs w:val="24"/>
          <w:lang w:val="en-US"/>
        </w:rPr>
        <w:t xml:space="preserve"> the functions imposed upon him by the Act or any other enactment.  In that regard, in terms of section 45 of the Act, a Mining Commissioner is endo</w:t>
      </w:r>
      <w:r w:rsidR="007034A1" w:rsidRPr="007034A1">
        <w:rPr>
          <w:sz w:val="24"/>
          <w:szCs w:val="24"/>
          <w:lang w:val="en-US"/>
        </w:rPr>
        <w:t>w</w:t>
      </w:r>
      <w:r w:rsidR="004D491F" w:rsidRPr="007034A1">
        <w:rPr>
          <w:sz w:val="24"/>
          <w:szCs w:val="24"/>
          <w:lang w:val="en-US"/>
        </w:rPr>
        <w:t>ed with the authority to grant certificates of registration over the mining blocks.  In accordance with these provisions, on 5</w:t>
      </w:r>
      <w:r w:rsidR="004D491F" w:rsidRPr="007034A1">
        <w:rPr>
          <w:sz w:val="24"/>
          <w:szCs w:val="24"/>
          <w:vertAlign w:val="superscript"/>
          <w:lang w:val="en-US"/>
        </w:rPr>
        <w:t>th</w:t>
      </w:r>
      <w:r w:rsidR="004D491F" w:rsidRPr="007034A1">
        <w:rPr>
          <w:sz w:val="24"/>
          <w:szCs w:val="24"/>
          <w:lang w:val="en-US"/>
        </w:rPr>
        <w:t xml:space="preserve"> October 2015 1</w:t>
      </w:r>
      <w:r w:rsidR="004D491F" w:rsidRPr="007034A1">
        <w:rPr>
          <w:sz w:val="24"/>
          <w:szCs w:val="24"/>
          <w:vertAlign w:val="superscript"/>
          <w:lang w:val="en-US"/>
        </w:rPr>
        <w:t>st</w:t>
      </w:r>
      <w:r w:rsidR="004D491F" w:rsidRPr="007034A1">
        <w:rPr>
          <w:sz w:val="24"/>
          <w:szCs w:val="24"/>
          <w:lang w:val="en-US"/>
        </w:rPr>
        <w:t xml:space="preserve"> respondent issued to applicant a certificate of registration over eight block</w:t>
      </w:r>
      <w:r w:rsidR="0004336E">
        <w:rPr>
          <w:sz w:val="24"/>
          <w:szCs w:val="24"/>
          <w:lang w:val="en-US"/>
        </w:rPr>
        <w:t>s</w:t>
      </w:r>
      <w:r w:rsidR="004D491F" w:rsidRPr="007034A1">
        <w:rPr>
          <w:sz w:val="24"/>
          <w:szCs w:val="24"/>
          <w:lang w:val="en-US"/>
        </w:rPr>
        <w:t xml:space="preserve"> of gold reef claims named Turtle 54.</w:t>
      </w:r>
      <w:r w:rsidR="006B3B32">
        <w:rPr>
          <w:sz w:val="24"/>
          <w:szCs w:val="24"/>
          <w:lang w:val="en-US"/>
        </w:rPr>
        <w:t xml:space="preserve">  Applicant acquired</w:t>
      </w:r>
      <w:r w:rsidR="00416772" w:rsidRPr="007034A1">
        <w:rPr>
          <w:sz w:val="24"/>
          <w:szCs w:val="24"/>
          <w:lang w:val="en-US"/>
        </w:rPr>
        <w:t xml:space="preserve"> ownership ove</w:t>
      </w:r>
      <w:r w:rsidR="006B3B32">
        <w:rPr>
          <w:sz w:val="24"/>
          <w:szCs w:val="24"/>
          <w:lang w:val="en-US"/>
        </w:rPr>
        <w:t xml:space="preserve">r the mine together </w:t>
      </w:r>
      <w:r w:rsidR="006B3B32">
        <w:rPr>
          <w:sz w:val="24"/>
          <w:szCs w:val="24"/>
          <w:lang w:val="en-US"/>
        </w:rPr>
        <w:lastRenderedPageBreak/>
        <w:t>with all</w:t>
      </w:r>
      <w:r w:rsidR="00416772" w:rsidRPr="007034A1">
        <w:rPr>
          <w:sz w:val="24"/>
          <w:szCs w:val="24"/>
          <w:lang w:val="en-US"/>
        </w:rPr>
        <w:t xml:space="preserve"> rights at</w:t>
      </w:r>
      <w:r w:rsidR="006B3B32">
        <w:rPr>
          <w:sz w:val="24"/>
          <w:szCs w:val="24"/>
          <w:lang w:val="en-US"/>
        </w:rPr>
        <w:t>tendant to such ownership. That such</w:t>
      </w:r>
      <w:r w:rsidR="00416772" w:rsidRPr="007034A1">
        <w:rPr>
          <w:sz w:val="24"/>
          <w:szCs w:val="24"/>
          <w:lang w:val="en-US"/>
        </w:rPr>
        <w:t xml:space="preserve"> certificates of registration as well as inspection certificates to a mine are indicative of rights in mining claims is a position accepted by this court in </w:t>
      </w:r>
      <w:r w:rsidR="006B3B32">
        <w:rPr>
          <w:i/>
          <w:sz w:val="24"/>
          <w:szCs w:val="24"/>
          <w:lang w:val="en-US"/>
        </w:rPr>
        <w:t>Pinkstone</w:t>
      </w:r>
      <w:r w:rsidR="00416772" w:rsidRPr="007034A1">
        <w:rPr>
          <w:sz w:val="24"/>
          <w:szCs w:val="24"/>
          <w:lang w:val="en-US"/>
        </w:rPr>
        <w:t xml:space="preserve"> case </w:t>
      </w:r>
      <w:r w:rsidR="00416772" w:rsidRPr="007034A1">
        <w:rPr>
          <w:i/>
          <w:sz w:val="24"/>
          <w:szCs w:val="24"/>
          <w:lang w:val="en-US"/>
        </w:rPr>
        <w:t>(supra)</w:t>
      </w:r>
      <w:r w:rsidR="00416772" w:rsidRPr="007034A1">
        <w:rPr>
          <w:sz w:val="24"/>
          <w:szCs w:val="24"/>
          <w:lang w:val="en-US"/>
        </w:rPr>
        <w:t>.  On 26</w:t>
      </w:r>
      <w:r w:rsidR="00416772" w:rsidRPr="007034A1">
        <w:rPr>
          <w:sz w:val="24"/>
          <w:szCs w:val="24"/>
          <w:vertAlign w:val="superscript"/>
          <w:lang w:val="en-US"/>
        </w:rPr>
        <w:t>th</w:t>
      </w:r>
      <w:r w:rsidR="00416772" w:rsidRPr="007034A1">
        <w:rPr>
          <w:sz w:val="24"/>
          <w:szCs w:val="24"/>
          <w:lang w:val="en-US"/>
        </w:rPr>
        <w:t xml:space="preserve"> February 2019, 1</w:t>
      </w:r>
      <w:r w:rsidR="00416772" w:rsidRPr="007034A1">
        <w:rPr>
          <w:sz w:val="24"/>
          <w:szCs w:val="24"/>
          <w:vertAlign w:val="superscript"/>
          <w:lang w:val="en-US"/>
        </w:rPr>
        <w:t>st</w:t>
      </w:r>
      <w:r w:rsidR="00416772" w:rsidRPr="007034A1">
        <w:rPr>
          <w:sz w:val="24"/>
          <w:szCs w:val="24"/>
          <w:lang w:val="en-US"/>
        </w:rPr>
        <w:t xml:space="preserve"> respondent transferred the Trust’s rights in the mine to the 4</w:t>
      </w:r>
      <w:r w:rsidR="00416772" w:rsidRPr="007034A1">
        <w:rPr>
          <w:sz w:val="24"/>
          <w:szCs w:val="24"/>
          <w:vertAlign w:val="superscript"/>
          <w:lang w:val="en-US"/>
        </w:rPr>
        <w:t>th</w:t>
      </w:r>
      <w:r w:rsidR="00416772" w:rsidRPr="007034A1">
        <w:rPr>
          <w:sz w:val="24"/>
          <w:szCs w:val="24"/>
          <w:lang w:val="en-US"/>
        </w:rPr>
        <w:t xml:space="preserve"> respondent.  Consequently, 1</w:t>
      </w:r>
      <w:r w:rsidR="00416772" w:rsidRPr="007034A1">
        <w:rPr>
          <w:sz w:val="24"/>
          <w:szCs w:val="24"/>
          <w:vertAlign w:val="superscript"/>
          <w:lang w:val="en-US"/>
        </w:rPr>
        <w:t>st</w:t>
      </w:r>
      <w:r w:rsidR="00416772" w:rsidRPr="007034A1">
        <w:rPr>
          <w:sz w:val="24"/>
          <w:szCs w:val="24"/>
          <w:lang w:val="en-US"/>
        </w:rPr>
        <w:t xml:space="preserve"> respondent issued to 4</w:t>
      </w:r>
      <w:r w:rsidR="00416772" w:rsidRPr="007034A1">
        <w:rPr>
          <w:sz w:val="24"/>
          <w:szCs w:val="24"/>
          <w:vertAlign w:val="superscript"/>
          <w:lang w:val="en-US"/>
        </w:rPr>
        <w:t>th</w:t>
      </w:r>
      <w:r w:rsidR="00416772" w:rsidRPr="007034A1">
        <w:rPr>
          <w:sz w:val="24"/>
          <w:szCs w:val="24"/>
          <w:lang w:val="en-US"/>
        </w:rPr>
        <w:t xml:space="preserve"> respondent certificate of registration number 23440.  Applicant avers that there was </w:t>
      </w:r>
      <w:r w:rsidR="005A0360">
        <w:rPr>
          <w:sz w:val="24"/>
          <w:szCs w:val="24"/>
          <w:lang w:val="en-US"/>
        </w:rPr>
        <w:t>no legal basis for the transfer</w:t>
      </w:r>
      <w:r w:rsidR="00416772" w:rsidRPr="007034A1">
        <w:rPr>
          <w:sz w:val="24"/>
          <w:szCs w:val="24"/>
          <w:lang w:val="en-US"/>
        </w:rPr>
        <w:t xml:space="preserve"> of the Trust mining claims to the 4</w:t>
      </w:r>
      <w:r w:rsidR="00416772" w:rsidRPr="007034A1">
        <w:rPr>
          <w:sz w:val="24"/>
          <w:szCs w:val="24"/>
          <w:vertAlign w:val="superscript"/>
          <w:lang w:val="en-US"/>
        </w:rPr>
        <w:t>th</w:t>
      </w:r>
      <w:r w:rsidR="00416772" w:rsidRPr="007034A1">
        <w:rPr>
          <w:sz w:val="24"/>
          <w:szCs w:val="24"/>
          <w:lang w:val="en-US"/>
        </w:rPr>
        <w:t xml:space="preserve"> respondent.  Applicant submits that under cas</w:t>
      </w:r>
      <w:r w:rsidR="005A0360">
        <w:rPr>
          <w:sz w:val="24"/>
          <w:szCs w:val="24"/>
          <w:lang w:val="en-US"/>
        </w:rPr>
        <w:t xml:space="preserve">e number HC 1344/22 applicant’s </w:t>
      </w:r>
      <w:r w:rsidR="005A0360" w:rsidRPr="005A0360">
        <w:rPr>
          <w:i/>
          <w:sz w:val="24"/>
          <w:szCs w:val="24"/>
          <w:lang w:val="en-US"/>
        </w:rPr>
        <w:t>prima facie</w:t>
      </w:r>
      <w:r w:rsidR="005A0360">
        <w:rPr>
          <w:sz w:val="24"/>
          <w:szCs w:val="24"/>
          <w:lang w:val="en-US"/>
        </w:rPr>
        <w:t xml:space="preserve"> </w:t>
      </w:r>
      <w:r w:rsidR="00416772" w:rsidRPr="007034A1">
        <w:rPr>
          <w:sz w:val="24"/>
          <w:szCs w:val="24"/>
          <w:lang w:val="en-US"/>
        </w:rPr>
        <w:t>right to the mining claims is established, though open to some doubt.</w:t>
      </w:r>
    </w:p>
    <w:p w:rsidR="00416772" w:rsidRPr="007034A1" w:rsidRDefault="00416772" w:rsidP="00791EDA">
      <w:pPr>
        <w:jc w:val="both"/>
        <w:rPr>
          <w:b/>
          <w:sz w:val="24"/>
          <w:szCs w:val="24"/>
          <w:lang w:val="en-US"/>
        </w:rPr>
      </w:pPr>
      <w:r w:rsidRPr="007034A1">
        <w:rPr>
          <w:b/>
          <w:sz w:val="24"/>
          <w:szCs w:val="24"/>
          <w:lang w:val="en-US"/>
        </w:rPr>
        <w:t>Well-grounded apprehension of irreparable harm</w:t>
      </w:r>
    </w:p>
    <w:p w:rsidR="00416772" w:rsidRPr="007034A1" w:rsidRDefault="004B59F9" w:rsidP="00791EDA">
      <w:pPr>
        <w:jc w:val="both"/>
        <w:rPr>
          <w:sz w:val="24"/>
          <w:szCs w:val="24"/>
          <w:lang w:val="en-US"/>
        </w:rPr>
      </w:pPr>
      <w:r w:rsidRPr="007034A1">
        <w:rPr>
          <w:sz w:val="24"/>
          <w:szCs w:val="24"/>
          <w:lang w:val="en-US"/>
        </w:rPr>
        <w:tab/>
        <w:t>It is common cause</w:t>
      </w:r>
      <w:r w:rsidR="0019276E">
        <w:rPr>
          <w:sz w:val="24"/>
          <w:szCs w:val="24"/>
          <w:lang w:val="en-US"/>
        </w:rPr>
        <w:t>,</w:t>
      </w:r>
      <w:r w:rsidRPr="007034A1">
        <w:rPr>
          <w:sz w:val="24"/>
          <w:szCs w:val="24"/>
          <w:lang w:val="en-US"/>
        </w:rPr>
        <w:t xml:space="preserve"> that minerals are a depreciating resource.  For as long as 4</w:t>
      </w:r>
      <w:r w:rsidRPr="007034A1">
        <w:rPr>
          <w:sz w:val="24"/>
          <w:szCs w:val="24"/>
          <w:vertAlign w:val="superscript"/>
          <w:lang w:val="en-US"/>
        </w:rPr>
        <w:t>th</w:t>
      </w:r>
      <w:r w:rsidRPr="007034A1">
        <w:rPr>
          <w:sz w:val="24"/>
          <w:szCs w:val="24"/>
          <w:lang w:val="en-US"/>
        </w:rPr>
        <w:t xml:space="preserve"> respondent contends to extract gold from the mining claims there is likelihood that the mineral resource will be exhausted.  The applicant stands to suffer irreparable harm.  Additionally, applicant avers that 4</w:t>
      </w:r>
      <w:r w:rsidRPr="007034A1">
        <w:rPr>
          <w:sz w:val="24"/>
          <w:szCs w:val="24"/>
          <w:vertAlign w:val="superscript"/>
          <w:lang w:val="en-US"/>
        </w:rPr>
        <w:t>th</w:t>
      </w:r>
      <w:r w:rsidRPr="007034A1">
        <w:rPr>
          <w:sz w:val="24"/>
          <w:szCs w:val="24"/>
          <w:lang w:val="en-US"/>
        </w:rPr>
        <w:t xml:space="preserve"> respondent may act maliciously to ensure that if applicant resumes mining operations at the mine, the mine will be in such a state that there will be no resource</w:t>
      </w:r>
      <w:r w:rsidR="0019276E">
        <w:rPr>
          <w:sz w:val="24"/>
          <w:szCs w:val="24"/>
          <w:lang w:val="en-US"/>
        </w:rPr>
        <w:t xml:space="preserve"> left for the</w:t>
      </w:r>
      <w:r w:rsidRPr="007034A1">
        <w:rPr>
          <w:sz w:val="24"/>
          <w:szCs w:val="24"/>
          <w:lang w:val="en-US"/>
        </w:rPr>
        <w:t xml:space="preserve"> benefit the Trust.  In </w:t>
      </w:r>
      <w:r w:rsidR="000D179B">
        <w:rPr>
          <w:i/>
          <w:sz w:val="24"/>
          <w:szCs w:val="24"/>
          <w:lang w:val="en-US"/>
        </w:rPr>
        <w:t>Balwearie</w:t>
      </w:r>
      <w:r w:rsidRPr="007034A1">
        <w:rPr>
          <w:i/>
          <w:sz w:val="24"/>
          <w:szCs w:val="24"/>
          <w:lang w:val="en-US"/>
        </w:rPr>
        <w:t xml:space="preserve"> Holdings (Pvt) Ltd</w:t>
      </w:r>
      <w:r w:rsidRPr="007034A1">
        <w:rPr>
          <w:sz w:val="24"/>
          <w:szCs w:val="24"/>
          <w:lang w:val="en-US"/>
        </w:rPr>
        <w:t xml:space="preserve"> v </w:t>
      </w:r>
      <w:r w:rsidR="000D179B">
        <w:rPr>
          <w:i/>
          <w:sz w:val="24"/>
          <w:szCs w:val="24"/>
          <w:lang w:val="en-US"/>
        </w:rPr>
        <w:t xml:space="preserve">Jofris &amp; </w:t>
      </w:r>
      <w:r w:rsidRPr="007034A1">
        <w:rPr>
          <w:i/>
          <w:sz w:val="24"/>
          <w:szCs w:val="24"/>
          <w:lang w:val="en-US"/>
        </w:rPr>
        <w:t xml:space="preserve"> Ors</w:t>
      </w:r>
      <w:r w:rsidR="000D179B">
        <w:rPr>
          <w:i/>
          <w:sz w:val="24"/>
          <w:szCs w:val="24"/>
          <w:lang w:val="en-US"/>
        </w:rPr>
        <w:t xml:space="preserve"> </w:t>
      </w:r>
      <w:r w:rsidRPr="007034A1">
        <w:rPr>
          <w:sz w:val="24"/>
          <w:szCs w:val="24"/>
          <w:lang w:val="en-US"/>
        </w:rPr>
        <w:t xml:space="preserve"> HH-403-20, the court held that the</w:t>
      </w:r>
      <w:r w:rsidR="007034A1" w:rsidRPr="007034A1">
        <w:rPr>
          <w:sz w:val="24"/>
          <w:szCs w:val="24"/>
          <w:lang w:val="en-US"/>
        </w:rPr>
        <w:t>r</w:t>
      </w:r>
      <w:r w:rsidRPr="007034A1">
        <w:rPr>
          <w:sz w:val="24"/>
          <w:szCs w:val="24"/>
          <w:lang w:val="en-US"/>
        </w:rPr>
        <w:t xml:space="preserve">e is no point </w:t>
      </w:r>
      <w:r w:rsidR="007034A1" w:rsidRPr="007034A1">
        <w:rPr>
          <w:sz w:val="24"/>
          <w:szCs w:val="24"/>
          <w:lang w:val="en-US"/>
        </w:rPr>
        <w:t>in</w:t>
      </w:r>
      <w:r w:rsidRPr="007034A1">
        <w:rPr>
          <w:sz w:val="24"/>
          <w:szCs w:val="24"/>
          <w:lang w:val="en-US"/>
        </w:rPr>
        <w:t xml:space="preserve"> a litigant waiti</w:t>
      </w:r>
      <w:r w:rsidR="007034A1" w:rsidRPr="007034A1">
        <w:rPr>
          <w:sz w:val="24"/>
          <w:szCs w:val="24"/>
          <w:lang w:val="en-US"/>
        </w:rPr>
        <w:t>n</w:t>
      </w:r>
      <w:r w:rsidRPr="007034A1">
        <w:rPr>
          <w:sz w:val="24"/>
          <w:szCs w:val="24"/>
          <w:lang w:val="en-US"/>
        </w:rPr>
        <w:t>g and watching respon</w:t>
      </w:r>
      <w:r w:rsidR="007034A1" w:rsidRPr="007034A1">
        <w:rPr>
          <w:sz w:val="24"/>
          <w:szCs w:val="24"/>
          <w:lang w:val="en-US"/>
        </w:rPr>
        <w:t>d</w:t>
      </w:r>
      <w:r w:rsidRPr="007034A1">
        <w:rPr>
          <w:sz w:val="24"/>
          <w:szCs w:val="24"/>
          <w:lang w:val="en-US"/>
        </w:rPr>
        <w:t>ents persist with an illegality or self</w:t>
      </w:r>
      <w:r w:rsidR="007034A1" w:rsidRPr="007034A1">
        <w:rPr>
          <w:sz w:val="24"/>
          <w:szCs w:val="24"/>
          <w:lang w:val="en-US"/>
        </w:rPr>
        <w:t>-</w:t>
      </w:r>
      <w:r w:rsidRPr="007034A1">
        <w:rPr>
          <w:sz w:val="24"/>
          <w:szCs w:val="24"/>
          <w:lang w:val="en-US"/>
        </w:rPr>
        <w:t>help, and then approach the court when the damage has been done.  This is the same scenario that is playing out</w:t>
      </w:r>
      <w:r w:rsidR="002B279F" w:rsidRPr="007034A1">
        <w:rPr>
          <w:sz w:val="24"/>
          <w:szCs w:val="24"/>
          <w:lang w:val="en-US"/>
        </w:rPr>
        <w:t xml:space="preserve"> in this matter.  The applicants have estab</w:t>
      </w:r>
      <w:r w:rsidR="007034A1" w:rsidRPr="007034A1">
        <w:rPr>
          <w:sz w:val="24"/>
          <w:szCs w:val="24"/>
          <w:lang w:val="en-US"/>
        </w:rPr>
        <w:t>l</w:t>
      </w:r>
      <w:r w:rsidR="002B279F" w:rsidRPr="007034A1">
        <w:rPr>
          <w:sz w:val="24"/>
          <w:szCs w:val="24"/>
          <w:lang w:val="en-US"/>
        </w:rPr>
        <w:t>ished that there is a well</w:t>
      </w:r>
      <w:r w:rsidR="007034A1" w:rsidRPr="007034A1">
        <w:rPr>
          <w:sz w:val="24"/>
          <w:szCs w:val="24"/>
          <w:lang w:val="en-US"/>
        </w:rPr>
        <w:t>-</w:t>
      </w:r>
      <w:r w:rsidR="002B279F" w:rsidRPr="007034A1">
        <w:rPr>
          <w:sz w:val="24"/>
          <w:szCs w:val="24"/>
          <w:lang w:val="en-US"/>
        </w:rPr>
        <w:t>grounded apprehension of irreparable harm.</w:t>
      </w:r>
    </w:p>
    <w:p w:rsidR="002B279F" w:rsidRPr="007034A1" w:rsidRDefault="002B279F" w:rsidP="00791EDA">
      <w:pPr>
        <w:jc w:val="both"/>
        <w:rPr>
          <w:b/>
          <w:sz w:val="24"/>
          <w:szCs w:val="24"/>
          <w:lang w:val="en-US"/>
        </w:rPr>
      </w:pPr>
      <w:r w:rsidRPr="007034A1">
        <w:rPr>
          <w:b/>
          <w:sz w:val="24"/>
          <w:szCs w:val="24"/>
          <w:lang w:val="en-US"/>
        </w:rPr>
        <w:t>Balance of convenience</w:t>
      </w:r>
    </w:p>
    <w:p w:rsidR="002B279F" w:rsidRPr="007034A1" w:rsidRDefault="002B279F" w:rsidP="00791EDA">
      <w:pPr>
        <w:jc w:val="both"/>
        <w:rPr>
          <w:sz w:val="24"/>
          <w:szCs w:val="24"/>
          <w:lang w:val="en-US"/>
        </w:rPr>
      </w:pPr>
      <w:r w:rsidRPr="007034A1">
        <w:rPr>
          <w:sz w:val="24"/>
          <w:szCs w:val="24"/>
          <w:lang w:val="en-US"/>
        </w:rPr>
        <w:tab/>
        <w:t>4</w:t>
      </w:r>
      <w:r w:rsidRPr="007034A1">
        <w:rPr>
          <w:sz w:val="24"/>
          <w:szCs w:val="24"/>
          <w:vertAlign w:val="superscript"/>
          <w:lang w:val="en-US"/>
        </w:rPr>
        <w:t>th</w:t>
      </w:r>
      <w:r w:rsidRPr="007034A1">
        <w:rPr>
          <w:sz w:val="24"/>
          <w:szCs w:val="24"/>
          <w:lang w:val="en-US"/>
        </w:rPr>
        <w:t xml:space="preserve"> respondent contends that the balance of convenience clearly favours</w:t>
      </w:r>
      <w:r w:rsidR="00E332A9">
        <w:rPr>
          <w:sz w:val="24"/>
          <w:szCs w:val="24"/>
          <w:lang w:val="en-US"/>
        </w:rPr>
        <w:t xml:space="preserve"> him</w:t>
      </w:r>
      <w:r w:rsidRPr="007034A1">
        <w:rPr>
          <w:sz w:val="24"/>
          <w:szCs w:val="24"/>
          <w:lang w:val="en-US"/>
        </w:rPr>
        <w:t xml:space="preserve"> in that he is the holder of a registration certificate in respect of Turtle 54 mine.  In determining the balan</w:t>
      </w:r>
      <w:r w:rsidR="007034A1" w:rsidRPr="007034A1">
        <w:rPr>
          <w:sz w:val="24"/>
          <w:szCs w:val="24"/>
          <w:lang w:val="en-US"/>
        </w:rPr>
        <w:t>c</w:t>
      </w:r>
      <w:r w:rsidRPr="007034A1">
        <w:rPr>
          <w:sz w:val="24"/>
          <w:szCs w:val="24"/>
          <w:lang w:val="en-US"/>
        </w:rPr>
        <w:t>e of convenience the court is required to weigh the prejudice the applicant will suffer if the interim relief is not granted against the prejudice to respondent if it is not granted.  4</w:t>
      </w:r>
      <w:r w:rsidRPr="007034A1">
        <w:rPr>
          <w:sz w:val="24"/>
          <w:szCs w:val="24"/>
          <w:vertAlign w:val="superscript"/>
          <w:lang w:val="en-US"/>
        </w:rPr>
        <w:t>th</w:t>
      </w:r>
      <w:r w:rsidRPr="007034A1">
        <w:rPr>
          <w:sz w:val="24"/>
          <w:szCs w:val="24"/>
          <w:lang w:val="en-US"/>
        </w:rPr>
        <w:t xml:space="preserve"> respondent contends that the convenience to </w:t>
      </w:r>
      <w:r w:rsidR="007034A1" w:rsidRPr="007034A1">
        <w:rPr>
          <w:sz w:val="24"/>
          <w:szCs w:val="24"/>
          <w:lang w:val="en-US"/>
        </w:rPr>
        <w:t>him</w:t>
      </w:r>
      <w:r w:rsidRPr="007034A1">
        <w:rPr>
          <w:sz w:val="24"/>
          <w:szCs w:val="24"/>
          <w:lang w:val="en-US"/>
        </w:rPr>
        <w:t xml:space="preserve"> </w:t>
      </w:r>
      <w:r w:rsidR="007034A1" w:rsidRPr="007034A1">
        <w:rPr>
          <w:sz w:val="24"/>
          <w:szCs w:val="24"/>
          <w:lang w:val="en-US"/>
        </w:rPr>
        <w:t>i</w:t>
      </w:r>
      <w:r w:rsidRPr="007034A1">
        <w:rPr>
          <w:sz w:val="24"/>
          <w:szCs w:val="24"/>
          <w:lang w:val="en-US"/>
        </w:rPr>
        <w:t>s that if the order is granted he will be evicted from the mine and mining operations will be disrupted.  In the instant case the 4</w:t>
      </w:r>
      <w:r w:rsidRPr="007034A1">
        <w:rPr>
          <w:sz w:val="24"/>
          <w:szCs w:val="24"/>
          <w:vertAlign w:val="superscript"/>
          <w:lang w:val="en-US"/>
        </w:rPr>
        <w:t>th</w:t>
      </w:r>
      <w:r w:rsidRPr="007034A1">
        <w:rPr>
          <w:sz w:val="24"/>
          <w:szCs w:val="24"/>
          <w:lang w:val="en-US"/>
        </w:rPr>
        <w:t xml:space="preserve"> respondent continues to extract</w:t>
      </w:r>
      <w:r w:rsidR="00E332A9">
        <w:rPr>
          <w:sz w:val="24"/>
          <w:szCs w:val="24"/>
          <w:lang w:val="en-US"/>
        </w:rPr>
        <w:t xml:space="preserve"> gold ore without regard to the rights </w:t>
      </w:r>
      <w:r w:rsidR="009103F1" w:rsidRPr="007034A1">
        <w:rPr>
          <w:sz w:val="24"/>
          <w:szCs w:val="24"/>
          <w:lang w:val="en-US"/>
        </w:rPr>
        <w:t>regards of the Silobela Community Development Trust that was established for the benefit of the community.  The balance of convenience favour</w:t>
      </w:r>
      <w:r w:rsidR="00E332A9">
        <w:rPr>
          <w:sz w:val="24"/>
          <w:szCs w:val="24"/>
          <w:lang w:val="en-US"/>
        </w:rPr>
        <w:t>s</w:t>
      </w:r>
      <w:r w:rsidR="009103F1" w:rsidRPr="007034A1">
        <w:rPr>
          <w:sz w:val="24"/>
          <w:szCs w:val="24"/>
          <w:lang w:val="en-US"/>
        </w:rPr>
        <w:t xml:space="preserve"> the grating of the relief sought.</w:t>
      </w:r>
    </w:p>
    <w:p w:rsidR="009103F1" w:rsidRPr="007034A1" w:rsidRDefault="009103F1" w:rsidP="00791EDA">
      <w:pPr>
        <w:jc w:val="both"/>
        <w:rPr>
          <w:b/>
          <w:sz w:val="24"/>
          <w:szCs w:val="24"/>
          <w:lang w:val="en-US"/>
        </w:rPr>
      </w:pPr>
      <w:r w:rsidRPr="007034A1">
        <w:rPr>
          <w:b/>
          <w:sz w:val="24"/>
          <w:szCs w:val="24"/>
          <w:lang w:val="en-US"/>
        </w:rPr>
        <w:lastRenderedPageBreak/>
        <w:t>Absence of another remedy</w:t>
      </w:r>
    </w:p>
    <w:p w:rsidR="009103F1" w:rsidRPr="007034A1" w:rsidRDefault="009103F1" w:rsidP="00791EDA">
      <w:pPr>
        <w:jc w:val="both"/>
        <w:rPr>
          <w:sz w:val="24"/>
          <w:szCs w:val="24"/>
          <w:lang w:val="en-US"/>
        </w:rPr>
      </w:pPr>
      <w:r w:rsidRPr="007034A1">
        <w:rPr>
          <w:sz w:val="24"/>
          <w:szCs w:val="24"/>
          <w:lang w:val="en-US"/>
        </w:rPr>
        <w:tab/>
        <w:t>On the fact</w:t>
      </w:r>
      <w:r w:rsidR="00524ECE">
        <w:rPr>
          <w:sz w:val="24"/>
          <w:szCs w:val="24"/>
          <w:lang w:val="en-US"/>
        </w:rPr>
        <w:t>s</w:t>
      </w:r>
      <w:r w:rsidRPr="007034A1">
        <w:rPr>
          <w:sz w:val="24"/>
          <w:szCs w:val="24"/>
          <w:lang w:val="en-US"/>
        </w:rPr>
        <w:t xml:space="preserve"> as shown in the papers there are no</w:t>
      </w:r>
      <w:r w:rsidR="00524ECE">
        <w:rPr>
          <w:sz w:val="24"/>
          <w:szCs w:val="24"/>
          <w:lang w:val="en-US"/>
        </w:rPr>
        <w:t xml:space="preserve"> other</w:t>
      </w:r>
      <w:r w:rsidRPr="007034A1">
        <w:rPr>
          <w:sz w:val="24"/>
          <w:szCs w:val="24"/>
          <w:lang w:val="en-US"/>
        </w:rPr>
        <w:t xml:space="preserve"> satisfactory remedy available to the applicant.  I make the observation that 4</w:t>
      </w:r>
      <w:r w:rsidRPr="007034A1">
        <w:rPr>
          <w:sz w:val="24"/>
          <w:szCs w:val="24"/>
          <w:vertAlign w:val="superscript"/>
          <w:lang w:val="en-US"/>
        </w:rPr>
        <w:t>th</w:t>
      </w:r>
      <w:r w:rsidRPr="007034A1">
        <w:rPr>
          <w:sz w:val="24"/>
          <w:szCs w:val="24"/>
          <w:lang w:val="en-US"/>
        </w:rPr>
        <w:t xml:space="preserve"> respondent who filed detailed heads of argument did not address this aspect of the application.  I can only conclude that 4</w:t>
      </w:r>
      <w:r w:rsidRPr="007034A1">
        <w:rPr>
          <w:sz w:val="24"/>
          <w:szCs w:val="24"/>
          <w:vertAlign w:val="superscript"/>
          <w:lang w:val="en-US"/>
        </w:rPr>
        <w:t>th</w:t>
      </w:r>
      <w:r w:rsidRPr="007034A1">
        <w:rPr>
          <w:sz w:val="24"/>
          <w:szCs w:val="24"/>
          <w:lang w:val="en-US"/>
        </w:rPr>
        <w:t xml:space="preserve"> respondent is aware that there are no other remedies available to the applicant.</w:t>
      </w:r>
    </w:p>
    <w:p w:rsidR="009103F1" w:rsidRPr="007034A1" w:rsidRDefault="009103F1" w:rsidP="00791EDA">
      <w:pPr>
        <w:jc w:val="both"/>
        <w:rPr>
          <w:b/>
          <w:sz w:val="24"/>
          <w:szCs w:val="24"/>
          <w:lang w:val="en-US"/>
        </w:rPr>
      </w:pPr>
      <w:r w:rsidRPr="007034A1">
        <w:rPr>
          <w:b/>
          <w:sz w:val="24"/>
          <w:szCs w:val="24"/>
          <w:lang w:val="en-US"/>
        </w:rPr>
        <w:t>Disposition</w:t>
      </w:r>
    </w:p>
    <w:p w:rsidR="009103F1" w:rsidRPr="007034A1" w:rsidRDefault="009103F1" w:rsidP="00791EDA">
      <w:pPr>
        <w:jc w:val="both"/>
        <w:rPr>
          <w:sz w:val="24"/>
          <w:szCs w:val="24"/>
          <w:lang w:val="en-US"/>
        </w:rPr>
      </w:pPr>
      <w:r w:rsidRPr="007034A1">
        <w:rPr>
          <w:sz w:val="24"/>
          <w:szCs w:val="24"/>
          <w:lang w:val="en-US"/>
        </w:rPr>
        <w:tab/>
        <w:t>I am satisfied that the applicant has established the requirements of a temporary interdict.  As far as costs are concerned there is no reason to deprive the applicant from recovering costs on the ordinary scale.</w:t>
      </w:r>
    </w:p>
    <w:p w:rsidR="009103F1" w:rsidRPr="007034A1" w:rsidRDefault="009103F1" w:rsidP="00791EDA">
      <w:pPr>
        <w:jc w:val="both"/>
        <w:rPr>
          <w:sz w:val="24"/>
          <w:szCs w:val="24"/>
          <w:lang w:val="en-US"/>
        </w:rPr>
      </w:pPr>
      <w:r w:rsidRPr="007034A1">
        <w:rPr>
          <w:sz w:val="24"/>
          <w:szCs w:val="24"/>
          <w:lang w:val="en-US"/>
        </w:rPr>
        <w:tab/>
        <w:t>In the result, and accordingly the application is granted</w:t>
      </w:r>
      <w:r w:rsidR="00524ECE">
        <w:rPr>
          <w:sz w:val="24"/>
          <w:szCs w:val="24"/>
          <w:lang w:val="en-US"/>
        </w:rPr>
        <w:t xml:space="preserve"> with costs</w:t>
      </w:r>
      <w:r w:rsidRPr="007034A1">
        <w:rPr>
          <w:sz w:val="24"/>
          <w:szCs w:val="24"/>
          <w:lang w:val="en-US"/>
        </w:rPr>
        <w:t xml:space="preserve"> in terms of the draft order.</w:t>
      </w:r>
    </w:p>
    <w:p w:rsidR="007034A1" w:rsidRPr="007034A1" w:rsidRDefault="007034A1" w:rsidP="00791EDA">
      <w:pPr>
        <w:jc w:val="both"/>
        <w:rPr>
          <w:sz w:val="24"/>
          <w:szCs w:val="24"/>
          <w:lang w:val="en-US"/>
        </w:rPr>
      </w:pPr>
    </w:p>
    <w:p w:rsidR="007034A1" w:rsidRPr="007034A1" w:rsidRDefault="007034A1" w:rsidP="00791EDA">
      <w:pPr>
        <w:jc w:val="both"/>
        <w:rPr>
          <w:sz w:val="24"/>
          <w:szCs w:val="24"/>
          <w:lang w:val="en-US"/>
        </w:rPr>
      </w:pPr>
    </w:p>
    <w:p w:rsidR="007034A1" w:rsidRPr="007034A1" w:rsidRDefault="007034A1" w:rsidP="00791EDA">
      <w:pPr>
        <w:jc w:val="both"/>
        <w:rPr>
          <w:sz w:val="24"/>
          <w:szCs w:val="24"/>
          <w:lang w:val="en-US"/>
        </w:rPr>
      </w:pPr>
    </w:p>
    <w:p w:rsidR="009103F1" w:rsidRPr="007034A1" w:rsidRDefault="004847FB" w:rsidP="00791EDA">
      <w:pPr>
        <w:pStyle w:val="NoSpacing"/>
        <w:jc w:val="both"/>
        <w:rPr>
          <w:sz w:val="24"/>
          <w:szCs w:val="24"/>
          <w:lang w:val="en-US"/>
        </w:rPr>
      </w:pPr>
      <w:r w:rsidRPr="007034A1">
        <w:rPr>
          <w:i/>
          <w:sz w:val="24"/>
          <w:szCs w:val="24"/>
          <w:lang w:val="en-US"/>
        </w:rPr>
        <w:t>Masamvu &amp; Da Silva-Gustavo Law Chambers,</w:t>
      </w:r>
      <w:r w:rsidRPr="007034A1">
        <w:rPr>
          <w:sz w:val="24"/>
          <w:szCs w:val="24"/>
          <w:lang w:val="en-US"/>
        </w:rPr>
        <w:t xml:space="preserve"> applicant’s legal practitioners</w:t>
      </w:r>
    </w:p>
    <w:p w:rsidR="004847FB" w:rsidRPr="007034A1" w:rsidRDefault="004847FB" w:rsidP="00791EDA">
      <w:pPr>
        <w:pStyle w:val="NoSpacing"/>
        <w:jc w:val="both"/>
        <w:rPr>
          <w:sz w:val="24"/>
          <w:szCs w:val="24"/>
          <w:lang w:val="en-US"/>
        </w:rPr>
      </w:pPr>
    </w:p>
    <w:p w:rsidR="004847FB" w:rsidRPr="007034A1" w:rsidRDefault="004847FB" w:rsidP="00791EDA">
      <w:pPr>
        <w:pStyle w:val="NoSpacing"/>
        <w:jc w:val="both"/>
        <w:rPr>
          <w:sz w:val="24"/>
          <w:szCs w:val="24"/>
          <w:lang w:val="en-US"/>
        </w:rPr>
      </w:pPr>
      <w:r w:rsidRPr="007034A1">
        <w:rPr>
          <w:i/>
          <w:sz w:val="24"/>
          <w:szCs w:val="24"/>
          <w:lang w:val="en-US"/>
        </w:rPr>
        <w:t>Mathonsi Ncube Law Chambers</w:t>
      </w:r>
      <w:r w:rsidRPr="007034A1">
        <w:rPr>
          <w:sz w:val="24"/>
          <w:szCs w:val="24"/>
          <w:lang w:val="en-US"/>
        </w:rPr>
        <w:t>, 4</w:t>
      </w:r>
      <w:r w:rsidRPr="007034A1">
        <w:rPr>
          <w:sz w:val="24"/>
          <w:szCs w:val="24"/>
          <w:vertAlign w:val="superscript"/>
          <w:lang w:val="en-US"/>
        </w:rPr>
        <w:t>th</w:t>
      </w:r>
      <w:r w:rsidRPr="007034A1">
        <w:rPr>
          <w:sz w:val="24"/>
          <w:szCs w:val="24"/>
          <w:lang w:val="en-US"/>
        </w:rPr>
        <w:t xml:space="preserve"> respondent’s legal practitioners</w:t>
      </w:r>
    </w:p>
    <w:p w:rsidR="0062736D" w:rsidRPr="007034A1" w:rsidRDefault="0062736D" w:rsidP="00791EDA">
      <w:pPr>
        <w:jc w:val="both"/>
        <w:rPr>
          <w:sz w:val="24"/>
          <w:szCs w:val="24"/>
          <w:lang w:val="en-US"/>
        </w:rPr>
      </w:pPr>
    </w:p>
    <w:sectPr w:rsidR="0062736D" w:rsidRPr="007034A1" w:rsidSect="008B14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C63" w:rsidRDefault="00BF7C63" w:rsidP="00791EDA">
      <w:pPr>
        <w:spacing w:after="0" w:line="240" w:lineRule="auto"/>
      </w:pPr>
      <w:r>
        <w:separator/>
      </w:r>
    </w:p>
  </w:endnote>
  <w:endnote w:type="continuationSeparator" w:id="0">
    <w:p w:rsidR="00BF7C63" w:rsidRDefault="00BF7C63" w:rsidP="0079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C63" w:rsidRDefault="00BF7C63" w:rsidP="00791EDA">
      <w:pPr>
        <w:spacing w:after="0" w:line="240" w:lineRule="auto"/>
      </w:pPr>
      <w:r>
        <w:separator/>
      </w:r>
    </w:p>
  </w:footnote>
  <w:footnote w:type="continuationSeparator" w:id="0">
    <w:p w:rsidR="00BF7C63" w:rsidRDefault="00BF7C63" w:rsidP="00791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978066"/>
      <w:docPartObj>
        <w:docPartGallery w:val="Page Numbers (Top of Page)"/>
        <w:docPartUnique/>
      </w:docPartObj>
    </w:sdtPr>
    <w:sdtEndPr>
      <w:rPr>
        <w:noProof/>
      </w:rPr>
    </w:sdtEndPr>
    <w:sdtContent>
      <w:p w:rsidR="00791EDA" w:rsidRDefault="008B1470">
        <w:pPr>
          <w:pStyle w:val="Header"/>
          <w:jc w:val="right"/>
          <w:rPr>
            <w:noProof/>
          </w:rPr>
        </w:pPr>
        <w:r>
          <w:fldChar w:fldCharType="begin"/>
        </w:r>
        <w:r w:rsidR="00791EDA">
          <w:instrText xml:space="preserve"> PAGE   \* MERGEFORMAT </w:instrText>
        </w:r>
        <w:r>
          <w:fldChar w:fldCharType="separate"/>
        </w:r>
        <w:r w:rsidR="00DF7716">
          <w:rPr>
            <w:noProof/>
          </w:rPr>
          <w:t>7</w:t>
        </w:r>
        <w:r>
          <w:rPr>
            <w:noProof/>
          </w:rPr>
          <w:fldChar w:fldCharType="end"/>
        </w:r>
      </w:p>
      <w:p w:rsidR="00791EDA" w:rsidRDefault="00791EDA">
        <w:pPr>
          <w:pStyle w:val="Header"/>
          <w:jc w:val="right"/>
          <w:rPr>
            <w:noProof/>
          </w:rPr>
        </w:pPr>
        <w:r>
          <w:rPr>
            <w:noProof/>
          </w:rPr>
          <w:t xml:space="preserve">HB </w:t>
        </w:r>
        <w:r w:rsidR="00DF7716">
          <w:rPr>
            <w:noProof/>
          </w:rPr>
          <w:t>236</w:t>
        </w:r>
        <w:r>
          <w:rPr>
            <w:noProof/>
          </w:rPr>
          <w:t>/22</w:t>
        </w:r>
      </w:p>
      <w:p w:rsidR="00791EDA" w:rsidRDefault="00791EDA">
        <w:pPr>
          <w:pStyle w:val="Header"/>
          <w:jc w:val="right"/>
          <w:rPr>
            <w:noProof/>
          </w:rPr>
        </w:pPr>
        <w:r>
          <w:rPr>
            <w:noProof/>
          </w:rPr>
          <w:t>HC 1346/22</w:t>
        </w:r>
      </w:p>
      <w:p w:rsidR="00791EDA" w:rsidRDefault="00CA0287">
        <w:pPr>
          <w:pStyle w:val="Header"/>
          <w:jc w:val="right"/>
        </w:pPr>
        <w:r>
          <w:rPr>
            <w:noProof/>
          </w:rPr>
          <w:t>x</w:t>
        </w:r>
        <w:r w:rsidR="00791EDA">
          <w:rPr>
            <w:noProof/>
          </w:rPr>
          <w:t xml:space="preserve"> ref </w:t>
        </w:r>
        <w:r>
          <w:rPr>
            <w:noProof/>
          </w:rPr>
          <w:t xml:space="preserve">HC </w:t>
        </w:r>
        <w:r w:rsidR="00791EDA">
          <w:rPr>
            <w:noProof/>
          </w:rPr>
          <w:t xml:space="preserve">1926/18 &amp; </w:t>
        </w:r>
        <w:r>
          <w:rPr>
            <w:noProof/>
          </w:rPr>
          <w:t>HC</w:t>
        </w:r>
        <w:r w:rsidR="00791EDA">
          <w:rPr>
            <w:noProof/>
          </w:rPr>
          <w:t xml:space="preserve"> 1344/22</w:t>
        </w:r>
      </w:p>
    </w:sdtContent>
  </w:sdt>
  <w:p w:rsidR="00791EDA" w:rsidRDefault="00791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760FF"/>
    <w:multiLevelType w:val="hybridMultilevel"/>
    <w:tmpl w:val="43743A7C"/>
    <w:lvl w:ilvl="0" w:tplc="A84021F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57855D33"/>
    <w:multiLevelType w:val="hybridMultilevel"/>
    <w:tmpl w:val="8C4E2050"/>
    <w:lvl w:ilvl="0" w:tplc="9C7254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A0A4C24"/>
    <w:multiLevelType w:val="hybridMultilevel"/>
    <w:tmpl w:val="78527508"/>
    <w:lvl w:ilvl="0" w:tplc="CE4826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736D"/>
    <w:rsid w:val="0004336E"/>
    <w:rsid w:val="000514B3"/>
    <w:rsid w:val="000D179B"/>
    <w:rsid w:val="000F2A85"/>
    <w:rsid w:val="00121C25"/>
    <w:rsid w:val="00180A68"/>
    <w:rsid w:val="0019276E"/>
    <w:rsid w:val="001A2397"/>
    <w:rsid w:val="001A3609"/>
    <w:rsid w:val="001C064C"/>
    <w:rsid w:val="002161CF"/>
    <w:rsid w:val="002627FB"/>
    <w:rsid w:val="00287A22"/>
    <w:rsid w:val="002B279F"/>
    <w:rsid w:val="002C2844"/>
    <w:rsid w:val="002E3958"/>
    <w:rsid w:val="00416772"/>
    <w:rsid w:val="0047229F"/>
    <w:rsid w:val="004847FB"/>
    <w:rsid w:val="004A4333"/>
    <w:rsid w:val="004B59F9"/>
    <w:rsid w:val="004D491F"/>
    <w:rsid w:val="004D7583"/>
    <w:rsid w:val="005120CE"/>
    <w:rsid w:val="00524ECE"/>
    <w:rsid w:val="00535B25"/>
    <w:rsid w:val="005463E0"/>
    <w:rsid w:val="00582BD0"/>
    <w:rsid w:val="00590853"/>
    <w:rsid w:val="005A0360"/>
    <w:rsid w:val="005A7AC5"/>
    <w:rsid w:val="005D594B"/>
    <w:rsid w:val="0062736D"/>
    <w:rsid w:val="006B3B32"/>
    <w:rsid w:val="006B7CF3"/>
    <w:rsid w:val="006D411D"/>
    <w:rsid w:val="007034A1"/>
    <w:rsid w:val="0076405D"/>
    <w:rsid w:val="00780B9B"/>
    <w:rsid w:val="00783B01"/>
    <w:rsid w:val="00791EDA"/>
    <w:rsid w:val="00807A78"/>
    <w:rsid w:val="00825E08"/>
    <w:rsid w:val="008264FA"/>
    <w:rsid w:val="008850F2"/>
    <w:rsid w:val="00890DDA"/>
    <w:rsid w:val="008B1470"/>
    <w:rsid w:val="008C32D0"/>
    <w:rsid w:val="009103F1"/>
    <w:rsid w:val="00916948"/>
    <w:rsid w:val="00944F02"/>
    <w:rsid w:val="00990D48"/>
    <w:rsid w:val="009A0C11"/>
    <w:rsid w:val="00A426F0"/>
    <w:rsid w:val="00AC7C9B"/>
    <w:rsid w:val="00B92362"/>
    <w:rsid w:val="00BE2D1A"/>
    <w:rsid w:val="00BF7C63"/>
    <w:rsid w:val="00C9447D"/>
    <w:rsid w:val="00C949BB"/>
    <w:rsid w:val="00CA0287"/>
    <w:rsid w:val="00CB43CD"/>
    <w:rsid w:val="00CD6CE4"/>
    <w:rsid w:val="00D14F59"/>
    <w:rsid w:val="00D73301"/>
    <w:rsid w:val="00DF7716"/>
    <w:rsid w:val="00E332A9"/>
    <w:rsid w:val="00E55A19"/>
    <w:rsid w:val="00ED5ADE"/>
    <w:rsid w:val="00F11F07"/>
    <w:rsid w:val="00F54107"/>
    <w:rsid w:val="00FD08EE"/>
    <w:rsid w:val="00FD2C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C9AC8-DEFE-4B70-A1AA-B24A8B85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6D"/>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36D"/>
    <w:pPr>
      <w:spacing w:after="0" w:line="240" w:lineRule="auto"/>
    </w:pPr>
    <w:rPr>
      <w:rFonts w:ascii="Times New Roman" w:hAnsi="Times New Roman"/>
      <w:sz w:val="28"/>
    </w:rPr>
  </w:style>
  <w:style w:type="paragraph" w:styleId="ListParagraph">
    <w:name w:val="List Paragraph"/>
    <w:basedOn w:val="Normal"/>
    <w:uiPriority w:val="34"/>
    <w:qFormat/>
    <w:rsid w:val="00121C25"/>
    <w:pPr>
      <w:ind w:left="720"/>
      <w:contextualSpacing/>
    </w:pPr>
  </w:style>
  <w:style w:type="paragraph" w:styleId="Header">
    <w:name w:val="header"/>
    <w:basedOn w:val="Normal"/>
    <w:link w:val="HeaderChar"/>
    <w:uiPriority w:val="99"/>
    <w:unhideWhenUsed/>
    <w:rsid w:val="00791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EDA"/>
    <w:rPr>
      <w:rFonts w:ascii="Times New Roman" w:hAnsi="Times New Roman"/>
      <w:sz w:val="28"/>
    </w:rPr>
  </w:style>
  <w:style w:type="paragraph" w:styleId="Footer">
    <w:name w:val="footer"/>
    <w:basedOn w:val="Normal"/>
    <w:link w:val="FooterChar"/>
    <w:uiPriority w:val="99"/>
    <w:unhideWhenUsed/>
    <w:rsid w:val="00791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EDA"/>
    <w:rPr>
      <w:rFonts w:ascii="Times New Roman" w:hAnsi="Times New Roman"/>
      <w:sz w:val="28"/>
    </w:rPr>
  </w:style>
  <w:style w:type="paragraph" w:styleId="BalloonText">
    <w:name w:val="Balloon Text"/>
    <w:basedOn w:val="Normal"/>
    <w:link w:val="BalloonTextChar"/>
    <w:uiPriority w:val="99"/>
    <w:semiHidden/>
    <w:unhideWhenUsed/>
    <w:rsid w:val="00DF7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53</cp:revision>
  <cp:lastPrinted>2022-09-20T10:33:00Z</cp:lastPrinted>
  <dcterms:created xsi:type="dcterms:W3CDTF">2022-09-19T06:04:00Z</dcterms:created>
  <dcterms:modified xsi:type="dcterms:W3CDTF">2022-09-20T10:34:00Z</dcterms:modified>
</cp:coreProperties>
</file>