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CFC" w:rsidRDefault="00556CE4" w:rsidP="00556CE4">
      <w:pPr>
        <w:spacing w:line="360" w:lineRule="auto"/>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1B3A2A">
        <w:rPr>
          <w:b/>
          <w:sz w:val="24"/>
          <w:szCs w:val="24"/>
        </w:rPr>
        <w:t>222</w:t>
      </w:r>
      <w:r>
        <w:rPr>
          <w:b/>
          <w:sz w:val="24"/>
          <w:szCs w:val="24"/>
        </w:rPr>
        <w:t>/16</w:t>
      </w:r>
    </w:p>
    <w:p w:rsidR="00556CE4" w:rsidRDefault="00556CE4" w:rsidP="00556CE4">
      <w:pPr>
        <w:spacing w:line="360" w:lineRule="auto"/>
        <w:rPr>
          <w:b/>
          <w:sz w:val="24"/>
          <w:szCs w:val="24"/>
        </w:rPr>
      </w:pPr>
      <w:r>
        <w:rPr>
          <w:b/>
          <w:sz w:val="24"/>
          <w:szCs w:val="24"/>
        </w:rPr>
        <w:t>HELD AT HARARE 21 MARCH 2016</w:t>
      </w:r>
      <w:r>
        <w:rPr>
          <w:b/>
          <w:sz w:val="24"/>
          <w:szCs w:val="24"/>
        </w:rPr>
        <w:tab/>
      </w:r>
      <w:r>
        <w:rPr>
          <w:b/>
          <w:sz w:val="24"/>
          <w:szCs w:val="24"/>
        </w:rPr>
        <w:tab/>
      </w:r>
      <w:r>
        <w:rPr>
          <w:b/>
          <w:sz w:val="24"/>
          <w:szCs w:val="24"/>
        </w:rPr>
        <w:tab/>
      </w:r>
      <w:r>
        <w:rPr>
          <w:b/>
          <w:sz w:val="24"/>
          <w:szCs w:val="24"/>
        </w:rPr>
        <w:tab/>
        <w:t>CASE NO LC/H/1012/15</w:t>
      </w:r>
    </w:p>
    <w:p w:rsidR="00556CE4" w:rsidRDefault="00662695" w:rsidP="00556CE4">
      <w:pPr>
        <w:spacing w:line="360" w:lineRule="auto"/>
        <w:rPr>
          <w:b/>
          <w:sz w:val="24"/>
          <w:szCs w:val="24"/>
        </w:rPr>
      </w:pPr>
      <w:r>
        <w:rPr>
          <w:b/>
          <w:sz w:val="24"/>
          <w:szCs w:val="24"/>
        </w:rPr>
        <w:t>&amp; 22</w:t>
      </w:r>
      <w:r w:rsidR="00556CE4">
        <w:rPr>
          <w:b/>
          <w:sz w:val="24"/>
          <w:szCs w:val="24"/>
        </w:rPr>
        <w:t xml:space="preserve"> APRIL 2016</w:t>
      </w:r>
    </w:p>
    <w:p w:rsidR="00556CE4" w:rsidRDefault="00556CE4" w:rsidP="00556CE4">
      <w:pPr>
        <w:spacing w:line="360" w:lineRule="auto"/>
        <w:rPr>
          <w:sz w:val="24"/>
          <w:szCs w:val="24"/>
        </w:rPr>
      </w:pPr>
      <w:r>
        <w:rPr>
          <w:sz w:val="24"/>
          <w:szCs w:val="24"/>
        </w:rPr>
        <w:t>In the matter between:</w:t>
      </w:r>
    </w:p>
    <w:p w:rsidR="00556CE4" w:rsidRDefault="00556CE4" w:rsidP="00556CE4">
      <w:pPr>
        <w:spacing w:line="360" w:lineRule="auto"/>
        <w:rPr>
          <w:b/>
          <w:sz w:val="24"/>
          <w:szCs w:val="24"/>
        </w:rPr>
      </w:pPr>
      <w:r>
        <w:rPr>
          <w:b/>
          <w:sz w:val="24"/>
          <w:szCs w:val="24"/>
        </w:rPr>
        <w:t>SUCCESS MOTIVATION INSTITUTE OF ZIMBABWE</w:t>
      </w:r>
      <w:r>
        <w:rPr>
          <w:b/>
          <w:sz w:val="24"/>
          <w:szCs w:val="24"/>
        </w:rPr>
        <w:tab/>
      </w:r>
      <w:r>
        <w:rPr>
          <w:b/>
          <w:sz w:val="24"/>
          <w:szCs w:val="24"/>
        </w:rPr>
        <w:tab/>
        <w:t>Appellant</w:t>
      </w:r>
    </w:p>
    <w:p w:rsidR="00556CE4" w:rsidRDefault="00556CE4" w:rsidP="00556CE4">
      <w:pPr>
        <w:spacing w:line="360" w:lineRule="auto"/>
        <w:rPr>
          <w:b/>
          <w:sz w:val="24"/>
          <w:szCs w:val="24"/>
        </w:rPr>
      </w:pPr>
      <w:r>
        <w:rPr>
          <w:b/>
          <w:sz w:val="24"/>
          <w:szCs w:val="24"/>
        </w:rPr>
        <w:t>And</w:t>
      </w:r>
    </w:p>
    <w:p w:rsidR="00556CE4" w:rsidRDefault="00556CE4" w:rsidP="00556CE4">
      <w:pPr>
        <w:spacing w:line="360" w:lineRule="auto"/>
        <w:rPr>
          <w:b/>
          <w:sz w:val="24"/>
          <w:szCs w:val="24"/>
        </w:rPr>
      </w:pPr>
      <w:r>
        <w:rPr>
          <w:b/>
          <w:sz w:val="24"/>
          <w:szCs w:val="24"/>
        </w:rPr>
        <w:t>JINALA BALASANI</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Respondent</w:t>
      </w:r>
    </w:p>
    <w:p w:rsidR="00556CE4" w:rsidRDefault="00556CE4" w:rsidP="00556CE4">
      <w:pPr>
        <w:spacing w:line="360" w:lineRule="auto"/>
        <w:rPr>
          <w:sz w:val="24"/>
          <w:szCs w:val="24"/>
        </w:rPr>
      </w:pPr>
      <w:r>
        <w:rPr>
          <w:sz w:val="24"/>
          <w:szCs w:val="24"/>
        </w:rPr>
        <w:t>Before The Honourable F C Maxwell, Judge</w:t>
      </w:r>
    </w:p>
    <w:p w:rsidR="00556CE4" w:rsidRDefault="00556CE4" w:rsidP="00556CE4">
      <w:pPr>
        <w:spacing w:line="360" w:lineRule="auto"/>
        <w:rPr>
          <w:b/>
          <w:sz w:val="24"/>
          <w:szCs w:val="24"/>
        </w:rPr>
      </w:pPr>
      <w:r>
        <w:rPr>
          <w:b/>
          <w:sz w:val="24"/>
          <w:szCs w:val="24"/>
        </w:rPr>
        <w:t>For Ap</w:t>
      </w:r>
      <w:r w:rsidR="00350DDC">
        <w:rPr>
          <w:b/>
          <w:sz w:val="24"/>
          <w:szCs w:val="24"/>
        </w:rPr>
        <w:t>pellant</w:t>
      </w:r>
      <w:r w:rsidR="00350DDC">
        <w:rPr>
          <w:b/>
          <w:sz w:val="24"/>
          <w:szCs w:val="24"/>
        </w:rPr>
        <w:tab/>
      </w:r>
      <w:r w:rsidR="00350DDC">
        <w:rPr>
          <w:b/>
          <w:sz w:val="24"/>
          <w:szCs w:val="24"/>
        </w:rPr>
        <w:tab/>
      </w:r>
      <w:r w:rsidR="00350DDC">
        <w:rPr>
          <w:b/>
          <w:sz w:val="24"/>
          <w:szCs w:val="24"/>
        </w:rPr>
        <w:tab/>
        <w:t xml:space="preserve">Mr M C </w:t>
      </w:r>
      <w:proofErr w:type="spellStart"/>
      <w:r w:rsidR="00350DDC">
        <w:rPr>
          <w:b/>
          <w:sz w:val="24"/>
          <w:szCs w:val="24"/>
        </w:rPr>
        <w:t>Mukome</w:t>
      </w:r>
      <w:proofErr w:type="spellEnd"/>
      <w:r w:rsidR="00350DDC">
        <w:rPr>
          <w:b/>
          <w:sz w:val="24"/>
          <w:szCs w:val="24"/>
        </w:rPr>
        <w:t xml:space="preserve"> (Legal </w:t>
      </w:r>
      <w:r>
        <w:rPr>
          <w:b/>
          <w:sz w:val="24"/>
          <w:szCs w:val="24"/>
        </w:rPr>
        <w:t>Practitioner)</w:t>
      </w:r>
    </w:p>
    <w:p w:rsidR="00556CE4" w:rsidRDefault="00556CE4" w:rsidP="00556CE4">
      <w:pPr>
        <w:spacing w:line="360" w:lineRule="auto"/>
        <w:rPr>
          <w:b/>
          <w:sz w:val="24"/>
          <w:szCs w:val="24"/>
        </w:rPr>
      </w:pPr>
      <w:r>
        <w:rPr>
          <w:b/>
          <w:sz w:val="24"/>
          <w:szCs w:val="24"/>
        </w:rPr>
        <w:t>For Respondent</w:t>
      </w:r>
      <w:r>
        <w:rPr>
          <w:b/>
          <w:sz w:val="24"/>
          <w:szCs w:val="24"/>
        </w:rPr>
        <w:tab/>
      </w:r>
      <w:r>
        <w:rPr>
          <w:b/>
          <w:sz w:val="24"/>
          <w:szCs w:val="24"/>
        </w:rPr>
        <w:tab/>
        <w:t xml:space="preserve">Mr B </w:t>
      </w:r>
      <w:proofErr w:type="spellStart"/>
      <w:r>
        <w:rPr>
          <w:b/>
          <w:sz w:val="24"/>
          <w:szCs w:val="24"/>
        </w:rPr>
        <w:t>Magogo</w:t>
      </w:r>
      <w:proofErr w:type="spellEnd"/>
      <w:r>
        <w:rPr>
          <w:b/>
          <w:sz w:val="24"/>
          <w:szCs w:val="24"/>
        </w:rPr>
        <w:t xml:space="preserve"> (Legal Practitioner)</w:t>
      </w:r>
    </w:p>
    <w:p w:rsidR="00556CE4" w:rsidRDefault="00556CE4" w:rsidP="00556CE4">
      <w:pPr>
        <w:spacing w:line="360" w:lineRule="auto"/>
        <w:rPr>
          <w:b/>
          <w:sz w:val="24"/>
          <w:szCs w:val="24"/>
        </w:rPr>
      </w:pPr>
    </w:p>
    <w:p w:rsidR="00556CE4" w:rsidRDefault="00556CE4" w:rsidP="00556CE4">
      <w:pPr>
        <w:spacing w:line="360" w:lineRule="auto"/>
        <w:rPr>
          <w:b/>
          <w:sz w:val="24"/>
          <w:szCs w:val="24"/>
        </w:rPr>
      </w:pPr>
      <w:r>
        <w:rPr>
          <w:b/>
          <w:sz w:val="24"/>
          <w:szCs w:val="24"/>
        </w:rPr>
        <w:t>MAXWELL, J:</w:t>
      </w:r>
    </w:p>
    <w:p w:rsidR="00556CE4" w:rsidRDefault="00556CE4" w:rsidP="00556CE4">
      <w:pPr>
        <w:spacing w:after="0" w:line="360" w:lineRule="auto"/>
        <w:rPr>
          <w:sz w:val="24"/>
          <w:szCs w:val="24"/>
        </w:rPr>
      </w:pPr>
      <w:r>
        <w:rPr>
          <w:b/>
          <w:sz w:val="24"/>
          <w:szCs w:val="24"/>
        </w:rPr>
        <w:tab/>
      </w:r>
      <w:r>
        <w:rPr>
          <w:sz w:val="24"/>
          <w:szCs w:val="24"/>
        </w:rPr>
        <w:t>At the hearing of this matter I denied respondent the indulgence to file a notice of response belatedly.  The matter proceeded in terms of Rule 22 (b) (i).   The appeal was granted and the arbitral award was set aside.  The following are the reasons for that decision.</w:t>
      </w:r>
    </w:p>
    <w:p w:rsidR="00556CE4" w:rsidRDefault="00556CE4" w:rsidP="00556CE4">
      <w:pPr>
        <w:spacing w:after="0" w:line="360" w:lineRule="auto"/>
        <w:rPr>
          <w:sz w:val="24"/>
          <w:szCs w:val="24"/>
        </w:rPr>
      </w:pPr>
      <w:r>
        <w:rPr>
          <w:sz w:val="24"/>
          <w:szCs w:val="24"/>
        </w:rPr>
        <w:tab/>
        <w:t>On 10 November 2015 appellant noted an appeal in this court against an arbitral award.  On 12 November 2015 at 13.25 hours the respondent rec</w:t>
      </w:r>
      <w:r w:rsidR="00F94CA3">
        <w:rPr>
          <w:sz w:val="24"/>
          <w:szCs w:val="24"/>
        </w:rPr>
        <w:t>eived a notice by the Registrar inviting him to file a noti</w:t>
      </w:r>
      <w:r w:rsidR="00B434B5">
        <w:rPr>
          <w:sz w:val="24"/>
          <w:szCs w:val="24"/>
        </w:rPr>
        <w:t>ce of response to the appeal.  P</w:t>
      </w:r>
      <w:r w:rsidR="00F94CA3">
        <w:rPr>
          <w:sz w:val="24"/>
          <w:szCs w:val="24"/>
        </w:rPr>
        <w:t xml:space="preserve">age 6 of the record indicates that respondent was served personally and he signed in acknowledgement of receipt.  No notice of response was filed.  The matter was set down for hearing on 21 March 2016 in terms of Rule 22.  On 17 March 2016 Messrs </w:t>
      </w:r>
      <w:proofErr w:type="spellStart"/>
      <w:r w:rsidR="00F94CA3">
        <w:rPr>
          <w:sz w:val="24"/>
          <w:szCs w:val="24"/>
        </w:rPr>
        <w:t>Makuwaza</w:t>
      </w:r>
      <w:proofErr w:type="spellEnd"/>
      <w:r w:rsidR="00F94CA3">
        <w:rPr>
          <w:sz w:val="24"/>
          <w:szCs w:val="24"/>
        </w:rPr>
        <w:t xml:space="preserve"> &amp; </w:t>
      </w:r>
      <w:proofErr w:type="spellStart"/>
      <w:r w:rsidR="00F94CA3">
        <w:rPr>
          <w:sz w:val="24"/>
          <w:szCs w:val="24"/>
        </w:rPr>
        <w:t>Magogo</w:t>
      </w:r>
      <w:proofErr w:type="spellEnd"/>
      <w:r w:rsidR="00F94CA3">
        <w:rPr>
          <w:sz w:val="24"/>
          <w:szCs w:val="24"/>
        </w:rPr>
        <w:t xml:space="preserve"> Attorneys wrote to the appellant’s legal practitioner pointing out the</w:t>
      </w:r>
      <w:r w:rsidR="004F610A">
        <w:rPr>
          <w:sz w:val="24"/>
          <w:szCs w:val="24"/>
        </w:rPr>
        <w:t xml:space="preserve"> following</w:t>
      </w:r>
    </w:p>
    <w:p w:rsidR="004F610A" w:rsidRDefault="004F610A" w:rsidP="004F610A">
      <w:pPr>
        <w:pStyle w:val="ListParagraph"/>
        <w:numPr>
          <w:ilvl w:val="0"/>
          <w:numId w:val="1"/>
        </w:numPr>
        <w:spacing w:after="0" w:line="360" w:lineRule="auto"/>
      </w:pPr>
      <w:proofErr w:type="gramStart"/>
      <w:r>
        <w:t>they</w:t>
      </w:r>
      <w:proofErr w:type="gramEnd"/>
      <w:r>
        <w:t xml:space="preserve"> had assumed agency after receiving instructions late on 16 March 2016.</w:t>
      </w:r>
    </w:p>
    <w:p w:rsidR="004F610A" w:rsidRDefault="004F610A" w:rsidP="004F610A">
      <w:pPr>
        <w:pStyle w:val="ListParagraph"/>
        <w:numPr>
          <w:ilvl w:val="0"/>
          <w:numId w:val="1"/>
        </w:numPr>
        <w:spacing w:after="0" w:line="360" w:lineRule="auto"/>
      </w:pPr>
      <w:proofErr w:type="gramStart"/>
      <w:r>
        <w:lastRenderedPageBreak/>
        <w:t>they</w:t>
      </w:r>
      <w:proofErr w:type="gramEnd"/>
      <w:r>
        <w:t xml:space="preserve"> had received instructions to appear on the day and make an application for </w:t>
      </w:r>
      <w:proofErr w:type="spellStart"/>
      <w:r>
        <w:t>condonation</w:t>
      </w:r>
      <w:proofErr w:type="spellEnd"/>
      <w:r>
        <w:t xml:space="preserve"> or alternatively to show good cause why respondent did not file the Notice of Response.</w:t>
      </w:r>
    </w:p>
    <w:p w:rsidR="004F610A" w:rsidRDefault="004F610A" w:rsidP="004F610A">
      <w:pPr>
        <w:pStyle w:val="ListParagraph"/>
        <w:numPr>
          <w:ilvl w:val="0"/>
          <w:numId w:val="1"/>
        </w:numPr>
        <w:spacing w:after="0" w:line="360" w:lineRule="auto"/>
      </w:pPr>
      <w:proofErr w:type="gramStart"/>
      <w:r>
        <w:t>an</w:t>
      </w:r>
      <w:proofErr w:type="gramEnd"/>
      <w:r>
        <w:t xml:space="preserve"> affidavit from honourable</w:t>
      </w:r>
      <w:r w:rsidR="00B434B5">
        <w:t xml:space="preserve"> L </w:t>
      </w:r>
      <w:proofErr w:type="spellStart"/>
      <w:r w:rsidR="00B434B5">
        <w:t>Gabilo</w:t>
      </w:r>
      <w:proofErr w:type="spellEnd"/>
      <w:r w:rsidR="00B434B5">
        <w:t xml:space="preserve"> of E</w:t>
      </w:r>
      <w:r w:rsidR="001B3A2A">
        <w:t>arly Heads Consultancy .  R</w:t>
      </w:r>
      <w:r>
        <w:t>espondent’s erstwhile representative would form the basis of the application.</w:t>
      </w:r>
    </w:p>
    <w:p w:rsidR="004F610A" w:rsidRDefault="004F610A" w:rsidP="004F610A">
      <w:pPr>
        <w:pStyle w:val="ListParagraph"/>
        <w:numPr>
          <w:ilvl w:val="0"/>
          <w:numId w:val="1"/>
        </w:numPr>
        <w:spacing w:after="0" w:line="360" w:lineRule="auto"/>
      </w:pPr>
      <w:proofErr w:type="gramStart"/>
      <w:r>
        <w:t>they</w:t>
      </w:r>
      <w:proofErr w:type="gramEnd"/>
      <w:r>
        <w:t xml:space="preserve"> wanted to know the attitude of the applicant towards the intended application.</w:t>
      </w:r>
    </w:p>
    <w:p w:rsidR="00FE5ADD" w:rsidRDefault="004F610A" w:rsidP="004F610A">
      <w:pPr>
        <w:pStyle w:val="ListParagraph"/>
        <w:spacing w:after="0" w:line="360" w:lineRule="auto"/>
        <w:rPr>
          <w:sz w:val="24"/>
          <w:szCs w:val="24"/>
        </w:rPr>
      </w:pPr>
      <w:r>
        <w:rPr>
          <w:sz w:val="24"/>
          <w:szCs w:val="24"/>
        </w:rPr>
        <w:t xml:space="preserve">The letter had attached to it the affidavit of Lawrence </w:t>
      </w:r>
      <w:proofErr w:type="spellStart"/>
      <w:r>
        <w:rPr>
          <w:sz w:val="24"/>
          <w:szCs w:val="24"/>
        </w:rPr>
        <w:t>Gabilo</w:t>
      </w:r>
      <w:proofErr w:type="spellEnd"/>
      <w:r w:rsidR="00B434B5">
        <w:rPr>
          <w:sz w:val="24"/>
          <w:szCs w:val="24"/>
        </w:rPr>
        <w:t xml:space="preserve"> and</w:t>
      </w:r>
      <w:r>
        <w:rPr>
          <w:sz w:val="24"/>
          <w:szCs w:val="24"/>
        </w:rPr>
        <w:t xml:space="preserve"> was copied to the</w:t>
      </w:r>
    </w:p>
    <w:p w:rsidR="004F610A" w:rsidRDefault="00FE5ADD" w:rsidP="00FE5ADD">
      <w:pPr>
        <w:spacing w:after="0" w:line="360" w:lineRule="auto"/>
        <w:rPr>
          <w:sz w:val="24"/>
          <w:szCs w:val="24"/>
        </w:rPr>
      </w:pPr>
      <w:proofErr w:type="gramStart"/>
      <w:r>
        <w:rPr>
          <w:sz w:val="24"/>
          <w:szCs w:val="24"/>
        </w:rPr>
        <w:t>Registrar.</w:t>
      </w:r>
      <w:proofErr w:type="gramEnd"/>
      <w:r>
        <w:rPr>
          <w:sz w:val="24"/>
          <w:szCs w:val="24"/>
        </w:rPr>
        <w:t xml:space="preserve">  At the hearing of the matter counsel for respondent made an application for the court to extend an indulgence to respondent and allow him to file a notice of response and subsequently heads of argument.  The basis of the application was that courts are </w:t>
      </w:r>
      <w:r w:rsidR="00B434B5">
        <w:rPr>
          <w:sz w:val="24"/>
          <w:szCs w:val="24"/>
        </w:rPr>
        <w:t xml:space="preserve">disinclined </w:t>
      </w:r>
      <w:r>
        <w:rPr>
          <w:sz w:val="24"/>
          <w:szCs w:val="24"/>
        </w:rPr>
        <w:t>to punish litigants for the indiscretion of legal practitioners and that there were prospects of success for the respondent.  He went on to highlight the arguments in support of the respondent’s position in the main matter</w:t>
      </w:r>
      <w:r w:rsidRPr="00FE5ADD">
        <w:rPr>
          <w:sz w:val="24"/>
          <w:szCs w:val="24"/>
        </w:rPr>
        <w:t>.</w:t>
      </w:r>
    </w:p>
    <w:p w:rsidR="00FE5ADD" w:rsidRDefault="00FE5ADD" w:rsidP="00FE5ADD">
      <w:pPr>
        <w:spacing w:after="0" w:line="360" w:lineRule="auto"/>
        <w:rPr>
          <w:sz w:val="24"/>
          <w:szCs w:val="24"/>
        </w:rPr>
      </w:pPr>
      <w:r>
        <w:rPr>
          <w:sz w:val="24"/>
          <w:szCs w:val="24"/>
        </w:rPr>
        <w:tab/>
        <w:t xml:space="preserve">The court noted that respondent’s erstwhile representative is an arbitrator.  It also noted that in his address, counsel for respondent had not highlighted the reason stated in the affidavit for failure to file the notice of response.  Mr </w:t>
      </w:r>
      <w:proofErr w:type="spellStart"/>
      <w:r>
        <w:rPr>
          <w:sz w:val="24"/>
          <w:szCs w:val="24"/>
        </w:rPr>
        <w:t>Gabilo</w:t>
      </w:r>
      <w:proofErr w:type="spellEnd"/>
      <w:r>
        <w:rPr>
          <w:sz w:val="24"/>
          <w:szCs w:val="24"/>
        </w:rPr>
        <w:t xml:space="preserve"> stated the reason in the following terms</w:t>
      </w:r>
    </w:p>
    <w:p w:rsidR="00FE5ADD" w:rsidRDefault="00FE5ADD" w:rsidP="00FE5ADD">
      <w:pPr>
        <w:spacing w:after="0" w:line="240" w:lineRule="auto"/>
        <w:ind w:left="1440"/>
      </w:pPr>
      <w:r>
        <w:t>“I was unable to file response on appeal on time because my client was away and could not give me instructions bearing in mind that he would be represented by someone else due to lack of jurisdiction on my part to appear in the labour Court.”</w:t>
      </w:r>
    </w:p>
    <w:p w:rsidR="00FE5ADD" w:rsidRDefault="00FE5ADD" w:rsidP="00FE5ADD">
      <w:pPr>
        <w:spacing w:after="0" w:line="240" w:lineRule="auto"/>
        <w:ind w:left="1440"/>
      </w:pPr>
    </w:p>
    <w:p w:rsidR="00FE5ADD" w:rsidRDefault="00FE5ADD" w:rsidP="00FE5ADD">
      <w:pPr>
        <w:spacing w:after="0" w:line="360" w:lineRule="auto"/>
        <w:rPr>
          <w:sz w:val="24"/>
          <w:szCs w:val="24"/>
        </w:rPr>
      </w:pPr>
      <w:r>
        <w:tab/>
      </w:r>
      <w:r>
        <w:rPr>
          <w:sz w:val="24"/>
          <w:szCs w:val="24"/>
        </w:rPr>
        <w:t>Counsel for respondent indicated that the reason given was not accurate as the omission was due to an oversight on the part of the consultant.  In his address counsel for respondent seemed to suggest that the consultant may not have understood that even though he has no right of audience before this court, he could however assist respondent in filing the required documents.  That submission is not supported by the affidavit as it clearly acknowledges that the consultant would file a response and someone else would appear to argue the matter.</w:t>
      </w:r>
    </w:p>
    <w:p w:rsidR="00FE5ADD" w:rsidRDefault="00FE5ADD" w:rsidP="00FE5ADD">
      <w:pPr>
        <w:spacing w:after="0" w:line="360" w:lineRule="auto"/>
        <w:rPr>
          <w:sz w:val="24"/>
          <w:szCs w:val="24"/>
        </w:rPr>
      </w:pPr>
      <w:r>
        <w:rPr>
          <w:sz w:val="24"/>
          <w:szCs w:val="24"/>
        </w:rPr>
        <w:tab/>
        <w:t xml:space="preserve">Counsel for appellant stated that the application was not made on notice to him therefore he had no instructions from his client.  Counsel had appeared without any representative from the appellant.  Counsel for appellant stated further that prior to the hearing an agreement had been reached that counsel for respondent would seek a </w:t>
      </w:r>
      <w:r>
        <w:rPr>
          <w:sz w:val="24"/>
          <w:szCs w:val="24"/>
        </w:rPr>
        <w:lastRenderedPageBreak/>
        <w:t xml:space="preserve">postponement and subsequently file a formal application for </w:t>
      </w:r>
      <w:proofErr w:type="spellStart"/>
      <w:r>
        <w:rPr>
          <w:sz w:val="24"/>
          <w:szCs w:val="24"/>
        </w:rPr>
        <w:t>condonation</w:t>
      </w:r>
      <w:proofErr w:type="spellEnd"/>
      <w:r>
        <w:rPr>
          <w:sz w:val="24"/>
          <w:szCs w:val="24"/>
        </w:rPr>
        <w:t>.  Counsel was therefore opposed to the application and urged the court to proceed in terms of Rule 22.</w:t>
      </w:r>
    </w:p>
    <w:p w:rsidR="009461E8" w:rsidRDefault="009461E8" w:rsidP="00FE5ADD">
      <w:pPr>
        <w:spacing w:after="0" w:line="360" w:lineRule="auto"/>
        <w:rPr>
          <w:sz w:val="24"/>
          <w:szCs w:val="24"/>
        </w:rPr>
      </w:pPr>
      <w:r>
        <w:rPr>
          <w:sz w:val="24"/>
          <w:szCs w:val="24"/>
        </w:rPr>
        <w:tab/>
        <w:t>Counsel for respondent confirmed the agreement that had been reached prior to the hearing.  The reason for departure from the agreement was given as the fact that counsel for appellant’s response was not in line with the request that had been made.  In his understanding, the rules allowed a litigant in respondent’s position to appear before the court for one reason</w:t>
      </w:r>
      <w:r w:rsidR="00D43532">
        <w:rPr>
          <w:sz w:val="24"/>
          <w:szCs w:val="24"/>
        </w:rPr>
        <w:t xml:space="preserve"> </w:t>
      </w:r>
      <w:proofErr w:type="gramStart"/>
      <w:r w:rsidR="00D43532">
        <w:rPr>
          <w:sz w:val="24"/>
          <w:szCs w:val="24"/>
        </w:rPr>
        <w:t>only, that</w:t>
      </w:r>
      <w:proofErr w:type="gramEnd"/>
      <w:r w:rsidR="00D43532">
        <w:rPr>
          <w:sz w:val="24"/>
          <w:szCs w:val="24"/>
        </w:rPr>
        <w:t xml:space="preserve"> is, to show good cause why the notice of response was not filed.  In my view, his submission was to the effect that an application for </w:t>
      </w:r>
      <w:proofErr w:type="spellStart"/>
      <w:r w:rsidR="00D43532">
        <w:rPr>
          <w:sz w:val="24"/>
          <w:szCs w:val="24"/>
        </w:rPr>
        <w:t>condonation</w:t>
      </w:r>
      <w:proofErr w:type="spellEnd"/>
      <w:r w:rsidR="00D43532">
        <w:rPr>
          <w:sz w:val="24"/>
          <w:szCs w:val="24"/>
        </w:rPr>
        <w:t xml:space="preserve"> was not necessary in the circumstances.</w:t>
      </w:r>
    </w:p>
    <w:p w:rsidR="00D43532" w:rsidRDefault="00D43532" w:rsidP="00FE5ADD">
      <w:pPr>
        <w:spacing w:after="0" w:line="360" w:lineRule="auto"/>
        <w:rPr>
          <w:sz w:val="24"/>
          <w:szCs w:val="24"/>
        </w:rPr>
      </w:pPr>
      <w:r>
        <w:rPr>
          <w:sz w:val="24"/>
          <w:szCs w:val="24"/>
        </w:rPr>
        <w:tab/>
        <w:t xml:space="preserve">I find counsel for respondent’s attitude quite surprising.  He seems to have taken a very casual approach to this matter.  He should have exploited the courtesy that had been extended by counsel for appellant and applied for a postponement in order to file a written application for </w:t>
      </w:r>
      <w:proofErr w:type="spellStart"/>
      <w:r>
        <w:rPr>
          <w:sz w:val="24"/>
          <w:szCs w:val="24"/>
        </w:rPr>
        <w:t>condonation</w:t>
      </w:r>
      <w:proofErr w:type="spellEnd"/>
      <w:r>
        <w:rPr>
          <w:sz w:val="24"/>
          <w:szCs w:val="24"/>
        </w:rPr>
        <w:t xml:space="preserve"> of late filing of a notice of response.</w:t>
      </w:r>
    </w:p>
    <w:p w:rsidR="00D43532" w:rsidRDefault="00D43532" w:rsidP="00FE5ADD">
      <w:pPr>
        <w:spacing w:after="0" w:line="360" w:lineRule="auto"/>
        <w:rPr>
          <w:sz w:val="24"/>
          <w:szCs w:val="24"/>
        </w:rPr>
      </w:pPr>
      <w:r>
        <w:rPr>
          <w:sz w:val="24"/>
          <w:szCs w:val="24"/>
        </w:rPr>
        <w:tab/>
        <w:t xml:space="preserve">In the circumstances of this case, what called for </w:t>
      </w:r>
      <w:proofErr w:type="spellStart"/>
      <w:r>
        <w:rPr>
          <w:sz w:val="24"/>
          <w:szCs w:val="24"/>
        </w:rPr>
        <w:t>condonation</w:t>
      </w:r>
      <w:proofErr w:type="spellEnd"/>
      <w:r>
        <w:rPr>
          <w:sz w:val="24"/>
          <w:szCs w:val="24"/>
        </w:rPr>
        <w:t xml:space="preserve"> was not only the late filing of the notice of response but also the delay in seeking </w:t>
      </w:r>
      <w:proofErr w:type="spellStart"/>
      <w:r>
        <w:rPr>
          <w:sz w:val="24"/>
          <w:szCs w:val="24"/>
        </w:rPr>
        <w:t>condonation</w:t>
      </w:r>
      <w:proofErr w:type="spellEnd"/>
      <w:r>
        <w:rPr>
          <w:sz w:val="24"/>
          <w:szCs w:val="24"/>
        </w:rPr>
        <w:t xml:space="preserve">.  See </w:t>
      </w:r>
      <w:r>
        <w:rPr>
          <w:i/>
          <w:sz w:val="24"/>
          <w:szCs w:val="24"/>
        </w:rPr>
        <w:t>Highline Motor Spares &amp; Hardware</w:t>
      </w:r>
      <w:r>
        <w:rPr>
          <w:sz w:val="24"/>
          <w:szCs w:val="24"/>
        </w:rPr>
        <w:t xml:space="preserve"> (1993) </w:t>
      </w:r>
      <w:r>
        <w:rPr>
          <w:i/>
          <w:sz w:val="24"/>
          <w:szCs w:val="24"/>
        </w:rPr>
        <w:t>(Pvt) Ltd</w:t>
      </w:r>
      <w:r>
        <w:rPr>
          <w:sz w:val="24"/>
          <w:szCs w:val="24"/>
        </w:rPr>
        <w:t xml:space="preserve"> </w:t>
      </w:r>
      <w:r w:rsidRPr="00D43532">
        <w:rPr>
          <w:i/>
          <w:sz w:val="24"/>
          <w:szCs w:val="24"/>
        </w:rPr>
        <w:t>and Others</w:t>
      </w:r>
      <w:r>
        <w:rPr>
          <w:sz w:val="24"/>
          <w:szCs w:val="24"/>
        </w:rPr>
        <w:t xml:space="preserve"> v </w:t>
      </w:r>
      <w:proofErr w:type="spellStart"/>
      <w:r>
        <w:rPr>
          <w:i/>
          <w:sz w:val="24"/>
          <w:szCs w:val="24"/>
        </w:rPr>
        <w:t>Zimbank</w:t>
      </w:r>
      <w:proofErr w:type="spellEnd"/>
      <w:r>
        <w:rPr>
          <w:i/>
          <w:sz w:val="24"/>
          <w:szCs w:val="24"/>
        </w:rPr>
        <w:t xml:space="preserve"> </w:t>
      </w:r>
      <w:r>
        <w:rPr>
          <w:sz w:val="24"/>
          <w:szCs w:val="24"/>
        </w:rPr>
        <w:t>SC 37/02.  This is so because respondent was personally served with the notice by the Registrar.  It must have been him who delivered the notice to the consultant.  It is not clear why instructions were not given when the respondent met the consultant.  What is before the court is the consultant’s statement that respondent had been away and could not give instructions which statement was discredited by counsel for respondent.  There is no indication of when respondent met the consultant.  The notice b</w:t>
      </w:r>
      <w:r w:rsidR="00823124">
        <w:rPr>
          <w:sz w:val="24"/>
          <w:szCs w:val="24"/>
        </w:rPr>
        <w:t>y the Registrar was served on respondent on 12 November 2015.  The consultant’s affidavit is dated 16 March 2016.  There is no explanation of what was happening between 12 November 2015 and 16 March 2016.  An indulgence may be granted at the discretion of the court.  It is not a right obtainable on demand.  The litigant seeking an indulgence must satisfy the court that there are compelling circumstances which would justify a finding in his favour.  To that end, it is imperative that he be candid and honest with the court.  See</w:t>
      </w:r>
      <w:r w:rsidR="00823124">
        <w:rPr>
          <w:i/>
          <w:sz w:val="24"/>
          <w:szCs w:val="24"/>
        </w:rPr>
        <w:t xml:space="preserve"> Paul Gary Friendship </w:t>
      </w:r>
      <w:r w:rsidR="00823124">
        <w:rPr>
          <w:sz w:val="24"/>
          <w:szCs w:val="24"/>
        </w:rPr>
        <w:t xml:space="preserve">v </w:t>
      </w:r>
      <w:r w:rsidR="00823124">
        <w:rPr>
          <w:i/>
          <w:sz w:val="24"/>
          <w:szCs w:val="24"/>
        </w:rPr>
        <w:t xml:space="preserve">Cargo Carriers Ltd </w:t>
      </w:r>
      <w:r w:rsidR="00823124" w:rsidRPr="00823124">
        <w:rPr>
          <w:i/>
          <w:sz w:val="24"/>
          <w:szCs w:val="24"/>
        </w:rPr>
        <w:t xml:space="preserve">&amp; </w:t>
      </w:r>
      <w:proofErr w:type="gramStart"/>
      <w:r w:rsidR="00823124" w:rsidRPr="00823124">
        <w:rPr>
          <w:i/>
          <w:sz w:val="24"/>
          <w:szCs w:val="24"/>
        </w:rPr>
        <w:t>Another</w:t>
      </w:r>
      <w:proofErr w:type="gramEnd"/>
      <w:r w:rsidR="00823124" w:rsidRPr="00823124">
        <w:rPr>
          <w:i/>
          <w:sz w:val="24"/>
          <w:szCs w:val="24"/>
        </w:rPr>
        <w:t xml:space="preserve"> </w:t>
      </w:r>
      <w:r w:rsidR="00823124">
        <w:rPr>
          <w:sz w:val="24"/>
          <w:szCs w:val="24"/>
        </w:rPr>
        <w:t>SC 1/13.</w:t>
      </w:r>
    </w:p>
    <w:p w:rsidR="00823124" w:rsidRDefault="00823124" w:rsidP="00FE5ADD">
      <w:pPr>
        <w:spacing w:after="0" w:line="360" w:lineRule="auto"/>
        <w:rPr>
          <w:sz w:val="24"/>
          <w:szCs w:val="24"/>
        </w:rPr>
      </w:pPr>
      <w:r>
        <w:rPr>
          <w:sz w:val="24"/>
          <w:szCs w:val="24"/>
        </w:rPr>
        <w:lastRenderedPageBreak/>
        <w:tab/>
        <w:t xml:space="preserve">I am not persuaded that a basis has been laid for </w:t>
      </w:r>
      <w:r w:rsidR="00B434B5">
        <w:rPr>
          <w:sz w:val="24"/>
          <w:szCs w:val="24"/>
        </w:rPr>
        <w:t xml:space="preserve">me </w:t>
      </w:r>
      <w:r>
        <w:rPr>
          <w:sz w:val="24"/>
          <w:szCs w:val="24"/>
        </w:rPr>
        <w:t>to exercise my discretion in respondent’s favour.  He has not been candid and honest with the court.  There are facts and issues which should have been sworn to in order to assist the court to exercise its discretion in an informed manner.</w:t>
      </w:r>
    </w:p>
    <w:p w:rsidR="00281390" w:rsidRDefault="00823124" w:rsidP="00FE5ADD">
      <w:pPr>
        <w:spacing w:after="0" w:line="360" w:lineRule="auto"/>
        <w:rPr>
          <w:sz w:val="24"/>
          <w:szCs w:val="24"/>
        </w:rPr>
      </w:pPr>
      <w:r>
        <w:rPr>
          <w:sz w:val="24"/>
          <w:szCs w:val="24"/>
        </w:rPr>
        <w:tab/>
        <w:t>Even though counsel for respondent address</w:t>
      </w:r>
      <w:r w:rsidR="00281390">
        <w:rPr>
          <w:sz w:val="24"/>
          <w:szCs w:val="24"/>
        </w:rPr>
        <w:t>ed</w:t>
      </w:r>
      <w:r>
        <w:rPr>
          <w:sz w:val="24"/>
          <w:szCs w:val="24"/>
        </w:rPr>
        <w:t xml:space="preserve"> the court on the prospects of success, I find it not necessary to consider them.  It has been held that in cases of flagrant breach of the rules, especially where there is no acceptable explanation therefore, an indulgence may be refused whatever the merits of the matter are.  See </w:t>
      </w:r>
      <w:r>
        <w:rPr>
          <w:i/>
          <w:sz w:val="24"/>
          <w:szCs w:val="24"/>
        </w:rPr>
        <w:t xml:space="preserve">Bishop Elson </w:t>
      </w:r>
      <w:proofErr w:type="spellStart"/>
      <w:r>
        <w:rPr>
          <w:i/>
          <w:sz w:val="24"/>
          <w:szCs w:val="24"/>
        </w:rPr>
        <w:t>Madoda</w:t>
      </w:r>
      <w:proofErr w:type="spellEnd"/>
      <w:r>
        <w:rPr>
          <w:i/>
          <w:sz w:val="24"/>
          <w:szCs w:val="24"/>
        </w:rPr>
        <w:t xml:space="preserve"> </w:t>
      </w:r>
      <w:proofErr w:type="spellStart"/>
      <w:r>
        <w:rPr>
          <w:i/>
          <w:sz w:val="24"/>
          <w:szCs w:val="24"/>
        </w:rPr>
        <w:t>Jakazi</w:t>
      </w:r>
      <w:proofErr w:type="spellEnd"/>
      <w:r>
        <w:rPr>
          <w:i/>
          <w:sz w:val="24"/>
          <w:szCs w:val="24"/>
        </w:rPr>
        <w:t xml:space="preserve"> &amp; Another </w:t>
      </w:r>
      <w:r>
        <w:rPr>
          <w:sz w:val="24"/>
          <w:szCs w:val="24"/>
        </w:rPr>
        <w:t xml:space="preserve">v </w:t>
      </w:r>
      <w:r>
        <w:rPr>
          <w:i/>
          <w:sz w:val="24"/>
          <w:szCs w:val="24"/>
        </w:rPr>
        <w:t xml:space="preserve">Central Africa and Others </w:t>
      </w:r>
      <w:r>
        <w:rPr>
          <w:sz w:val="24"/>
          <w:szCs w:val="24"/>
        </w:rPr>
        <w:t xml:space="preserve">SC 10/13.  </w:t>
      </w:r>
      <w:proofErr w:type="spellStart"/>
      <w:proofErr w:type="gramStart"/>
      <w:r w:rsidRPr="00823124">
        <w:rPr>
          <w:i/>
          <w:sz w:val="24"/>
          <w:szCs w:val="24"/>
        </w:rPr>
        <w:t>Tshivhase</w:t>
      </w:r>
      <w:proofErr w:type="spellEnd"/>
      <w:r w:rsidRPr="00823124">
        <w:rPr>
          <w:i/>
          <w:sz w:val="24"/>
          <w:szCs w:val="24"/>
        </w:rPr>
        <w:t xml:space="preserve"> Royal Council</w:t>
      </w:r>
      <w:r w:rsidR="00281390">
        <w:rPr>
          <w:i/>
          <w:sz w:val="24"/>
          <w:szCs w:val="24"/>
        </w:rPr>
        <w:t xml:space="preserve"> &amp; Another </w:t>
      </w:r>
      <w:r w:rsidR="00281390">
        <w:rPr>
          <w:sz w:val="24"/>
          <w:szCs w:val="24"/>
        </w:rPr>
        <w:t xml:space="preserve">v </w:t>
      </w:r>
      <w:proofErr w:type="spellStart"/>
      <w:r w:rsidR="00281390">
        <w:rPr>
          <w:i/>
          <w:sz w:val="24"/>
          <w:szCs w:val="24"/>
        </w:rPr>
        <w:t>Tshivhase</w:t>
      </w:r>
      <w:proofErr w:type="spellEnd"/>
      <w:r w:rsidR="00281390">
        <w:rPr>
          <w:i/>
          <w:sz w:val="24"/>
          <w:szCs w:val="24"/>
        </w:rPr>
        <w:t xml:space="preserve"> &amp; Another</w:t>
      </w:r>
      <w:r w:rsidR="00281390">
        <w:rPr>
          <w:sz w:val="24"/>
          <w:szCs w:val="24"/>
        </w:rPr>
        <w:t xml:space="preserve"> 1992 (4) SA 852.</w:t>
      </w:r>
      <w:proofErr w:type="gramEnd"/>
    </w:p>
    <w:p w:rsidR="00823124" w:rsidRDefault="00281390" w:rsidP="00FE5ADD">
      <w:pPr>
        <w:spacing w:after="0" w:line="360" w:lineRule="auto"/>
        <w:rPr>
          <w:sz w:val="24"/>
          <w:szCs w:val="24"/>
        </w:rPr>
      </w:pPr>
      <w:r>
        <w:rPr>
          <w:sz w:val="24"/>
          <w:szCs w:val="24"/>
        </w:rPr>
        <w:tab/>
        <w:t>It is for the above reasons that respondent was denied the indulgence</w:t>
      </w:r>
      <w:r w:rsidR="000E5217">
        <w:rPr>
          <w:i/>
          <w:sz w:val="24"/>
          <w:szCs w:val="24"/>
        </w:rPr>
        <w:t xml:space="preserve"> </w:t>
      </w:r>
      <w:r w:rsidRPr="00281390">
        <w:rPr>
          <w:sz w:val="24"/>
          <w:szCs w:val="24"/>
        </w:rPr>
        <w:t>to file the notice</w:t>
      </w:r>
      <w:r>
        <w:rPr>
          <w:sz w:val="24"/>
          <w:szCs w:val="24"/>
        </w:rPr>
        <w:t xml:space="preserve"> of response out of time.</w:t>
      </w:r>
    </w:p>
    <w:p w:rsidR="00281390" w:rsidRDefault="00281390" w:rsidP="00FE5ADD">
      <w:pPr>
        <w:spacing w:after="0" w:line="360" w:lineRule="auto"/>
        <w:rPr>
          <w:sz w:val="24"/>
          <w:szCs w:val="24"/>
        </w:rPr>
      </w:pPr>
    </w:p>
    <w:p w:rsidR="00281390" w:rsidRDefault="00281390" w:rsidP="00FE5ADD">
      <w:pPr>
        <w:spacing w:after="0" w:line="360" w:lineRule="auto"/>
        <w:rPr>
          <w:sz w:val="24"/>
          <w:szCs w:val="24"/>
        </w:rPr>
      </w:pPr>
    </w:p>
    <w:p w:rsidR="00281390" w:rsidRDefault="00F4701D" w:rsidP="00FE5ADD">
      <w:pPr>
        <w:spacing w:after="0" w:line="360" w:lineRule="auto"/>
      </w:pPr>
      <w:r>
        <w:rPr>
          <w:i/>
        </w:rPr>
        <w:t xml:space="preserve">M C </w:t>
      </w:r>
      <w:proofErr w:type="spellStart"/>
      <w:r>
        <w:rPr>
          <w:i/>
        </w:rPr>
        <w:t>Muk</w:t>
      </w:r>
      <w:bookmarkStart w:id="0" w:name="_GoBack"/>
      <w:bookmarkEnd w:id="0"/>
      <w:r w:rsidR="00281390">
        <w:rPr>
          <w:i/>
        </w:rPr>
        <w:t>ome</w:t>
      </w:r>
      <w:proofErr w:type="spellEnd"/>
      <w:r w:rsidR="00281390">
        <w:rPr>
          <w:i/>
        </w:rPr>
        <w:t xml:space="preserve"> Legal Practitioners, </w:t>
      </w:r>
      <w:r w:rsidR="00281390">
        <w:t>appellant’s legal practitioners</w:t>
      </w:r>
    </w:p>
    <w:p w:rsidR="00281390" w:rsidRPr="00281390" w:rsidRDefault="00281390" w:rsidP="00FE5ADD">
      <w:pPr>
        <w:spacing w:after="0" w:line="360" w:lineRule="auto"/>
      </w:pPr>
      <w:proofErr w:type="spellStart"/>
      <w:r>
        <w:rPr>
          <w:i/>
        </w:rPr>
        <w:t>Makuwaza</w:t>
      </w:r>
      <w:proofErr w:type="spellEnd"/>
      <w:r>
        <w:rPr>
          <w:i/>
        </w:rPr>
        <w:t xml:space="preserve"> &amp; </w:t>
      </w:r>
      <w:proofErr w:type="spellStart"/>
      <w:r>
        <w:rPr>
          <w:i/>
        </w:rPr>
        <w:t>Magogo</w:t>
      </w:r>
      <w:proofErr w:type="spellEnd"/>
      <w:r>
        <w:rPr>
          <w:i/>
        </w:rPr>
        <w:t xml:space="preserve"> Attorneys,</w:t>
      </w:r>
      <w:r>
        <w:t xml:space="preserve"> respondent’s legal practitioners</w:t>
      </w:r>
    </w:p>
    <w:p w:rsidR="00FE5ADD" w:rsidRPr="004F610A" w:rsidRDefault="00FE5ADD" w:rsidP="004F610A">
      <w:pPr>
        <w:pStyle w:val="ListParagraph"/>
        <w:spacing w:after="0" w:line="360" w:lineRule="auto"/>
        <w:rPr>
          <w:sz w:val="24"/>
          <w:szCs w:val="24"/>
        </w:rPr>
      </w:pPr>
    </w:p>
    <w:sectPr w:rsidR="00FE5ADD" w:rsidRPr="004F610A" w:rsidSect="001B3A2A">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DCD" w:rsidRDefault="005D1DCD" w:rsidP="004F610A">
      <w:pPr>
        <w:spacing w:after="0" w:line="240" w:lineRule="auto"/>
      </w:pPr>
      <w:r>
        <w:separator/>
      </w:r>
    </w:p>
  </w:endnote>
  <w:endnote w:type="continuationSeparator" w:id="0">
    <w:p w:rsidR="005D1DCD" w:rsidRDefault="005D1DCD" w:rsidP="004F6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5892023"/>
      <w:docPartObj>
        <w:docPartGallery w:val="Page Numbers (Bottom of Page)"/>
        <w:docPartUnique/>
      </w:docPartObj>
    </w:sdtPr>
    <w:sdtEndPr>
      <w:rPr>
        <w:noProof/>
      </w:rPr>
    </w:sdtEndPr>
    <w:sdtContent>
      <w:p w:rsidR="00823124" w:rsidRDefault="00823124">
        <w:pPr>
          <w:pStyle w:val="Footer"/>
          <w:jc w:val="right"/>
        </w:pPr>
        <w:r>
          <w:fldChar w:fldCharType="begin"/>
        </w:r>
        <w:r>
          <w:instrText xml:space="preserve"> PAGE   \* MERGEFORMAT </w:instrText>
        </w:r>
        <w:r>
          <w:fldChar w:fldCharType="separate"/>
        </w:r>
        <w:r w:rsidR="00F4701D">
          <w:rPr>
            <w:noProof/>
          </w:rPr>
          <w:t>4</w:t>
        </w:r>
        <w:r>
          <w:rPr>
            <w:noProof/>
          </w:rPr>
          <w:fldChar w:fldCharType="end"/>
        </w:r>
      </w:p>
    </w:sdtContent>
  </w:sdt>
  <w:p w:rsidR="00823124" w:rsidRDefault="008231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DCD" w:rsidRDefault="005D1DCD" w:rsidP="004F610A">
      <w:pPr>
        <w:spacing w:after="0" w:line="240" w:lineRule="auto"/>
      </w:pPr>
      <w:r>
        <w:separator/>
      </w:r>
    </w:p>
  </w:footnote>
  <w:footnote w:type="continuationSeparator" w:id="0">
    <w:p w:rsidR="005D1DCD" w:rsidRDefault="005D1DCD" w:rsidP="004F61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A2A" w:rsidRDefault="001B3A2A" w:rsidP="001B3A2A">
    <w:pPr>
      <w:spacing w:line="360" w:lineRule="auto"/>
      <w:ind w:left="5040" w:firstLine="720"/>
      <w:rPr>
        <w:b/>
        <w:sz w:val="24"/>
        <w:szCs w:val="24"/>
      </w:rPr>
    </w:pPr>
    <w:r>
      <w:rPr>
        <w:b/>
        <w:sz w:val="24"/>
        <w:szCs w:val="24"/>
      </w:rPr>
      <w:t>JUDGMENT NO LC/H/222/16</w:t>
    </w:r>
  </w:p>
  <w:p w:rsidR="00823124" w:rsidRDefault="00823124" w:rsidP="004F610A">
    <w:pPr>
      <w:spacing w:line="360" w:lineRule="auto"/>
      <w:ind w:left="5760" w:firstLine="720"/>
      <w:rPr>
        <w:b/>
        <w:sz w:val="24"/>
        <w:szCs w:val="24"/>
      </w:rPr>
    </w:pPr>
  </w:p>
  <w:p w:rsidR="00823124" w:rsidRDefault="008231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645C5"/>
    <w:multiLevelType w:val="hybridMultilevel"/>
    <w:tmpl w:val="53EAC4C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CE4"/>
    <w:rsid w:val="000E5217"/>
    <w:rsid w:val="001B3A2A"/>
    <w:rsid w:val="00281390"/>
    <w:rsid w:val="00350DDC"/>
    <w:rsid w:val="00467CF7"/>
    <w:rsid w:val="004F610A"/>
    <w:rsid w:val="005242A5"/>
    <w:rsid w:val="00556CE4"/>
    <w:rsid w:val="005D1DCD"/>
    <w:rsid w:val="00662695"/>
    <w:rsid w:val="00690F78"/>
    <w:rsid w:val="00713216"/>
    <w:rsid w:val="00823124"/>
    <w:rsid w:val="009461E8"/>
    <w:rsid w:val="009749A6"/>
    <w:rsid w:val="00B434B5"/>
    <w:rsid w:val="00D43532"/>
    <w:rsid w:val="00F4701D"/>
    <w:rsid w:val="00F94CA3"/>
    <w:rsid w:val="00FA5CFC"/>
    <w:rsid w:val="00FE5AD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10A"/>
    <w:pPr>
      <w:ind w:left="720"/>
      <w:contextualSpacing/>
    </w:pPr>
  </w:style>
  <w:style w:type="paragraph" w:styleId="Header">
    <w:name w:val="header"/>
    <w:basedOn w:val="Normal"/>
    <w:link w:val="HeaderChar"/>
    <w:uiPriority w:val="99"/>
    <w:unhideWhenUsed/>
    <w:rsid w:val="004F61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610A"/>
  </w:style>
  <w:style w:type="paragraph" w:styleId="Footer">
    <w:name w:val="footer"/>
    <w:basedOn w:val="Normal"/>
    <w:link w:val="FooterChar"/>
    <w:uiPriority w:val="99"/>
    <w:unhideWhenUsed/>
    <w:rsid w:val="004F61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610A"/>
  </w:style>
  <w:style w:type="paragraph" w:styleId="BalloonText">
    <w:name w:val="Balloon Text"/>
    <w:basedOn w:val="Normal"/>
    <w:link w:val="BalloonTextChar"/>
    <w:uiPriority w:val="99"/>
    <w:semiHidden/>
    <w:unhideWhenUsed/>
    <w:rsid w:val="00350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D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10A"/>
    <w:pPr>
      <w:ind w:left="720"/>
      <w:contextualSpacing/>
    </w:pPr>
  </w:style>
  <w:style w:type="paragraph" w:styleId="Header">
    <w:name w:val="header"/>
    <w:basedOn w:val="Normal"/>
    <w:link w:val="HeaderChar"/>
    <w:uiPriority w:val="99"/>
    <w:unhideWhenUsed/>
    <w:rsid w:val="004F61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610A"/>
  </w:style>
  <w:style w:type="paragraph" w:styleId="Footer">
    <w:name w:val="footer"/>
    <w:basedOn w:val="Normal"/>
    <w:link w:val="FooterChar"/>
    <w:uiPriority w:val="99"/>
    <w:unhideWhenUsed/>
    <w:rsid w:val="004F61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610A"/>
  </w:style>
  <w:style w:type="paragraph" w:styleId="BalloonText">
    <w:name w:val="Balloon Text"/>
    <w:basedOn w:val="Normal"/>
    <w:link w:val="BalloonTextChar"/>
    <w:uiPriority w:val="99"/>
    <w:semiHidden/>
    <w:unhideWhenUsed/>
    <w:rsid w:val="00350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D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4</Pages>
  <Words>1068</Words>
  <Characters>6093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cp:lastPrinted>2016-04-04T08:41:00Z</cp:lastPrinted>
  <dcterms:created xsi:type="dcterms:W3CDTF">2016-04-04T07:14:00Z</dcterms:created>
  <dcterms:modified xsi:type="dcterms:W3CDTF">2016-04-19T08:41:00Z</dcterms:modified>
</cp:coreProperties>
</file>