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688" w:rsidRPr="00BB5311" w:rsidRDefault="0098131F" w:rsidP="00804845">
      <w:pPr>
        <w:jc w:val="both"/>
      </w:pPr>
      <w:r w:rsidRPr="00BB5311">
        <w:t>STRAUSS LOGISTICS ZIMBABWE (PRIVATE) LIMITED</w:t>
      </w:r>
    </w:p>
    <w:p w:rsidR="00D51688" w:rsidRPr="00BB5311" w:rsidRDefault="00804845" w:rsidP="00804845">
      <w:pPr>
        <w:jc w:val="both"/>
      </w:pPr>
      <w:r w:rsidRPr="00BB5311">
        <w:t>v</w:t>
      </w:r>
      <w:r w:rsidR="00D51688" w:rsidRPr="00BB5311">
        <w:t>ersus</w:t>
      </w:r>
    </w:p>
    <w:p w:rsidR="00804845" w:rsidRDefault="00FD4F29" w:rsidP="00804845">
      <w:pPr>
        <w:jc w:val="both"/>
      </w:pPr>
      <w:r w:rsidRPr="00BB5311">
        <w:t xml:space="preserve">GIFT </w:t>
      </w:r>
      <w:r w:rsidR="00E36C94" w:rsidRPr="00BB5311">
        <w:t xml:space="preserve">ABRAHAM </w:t>
      </w:r>
    </w:p>
    <w:p w:rsidR="00804845" w:rsidRDefault="00804845" w:rsidP="00804845">
      <w:pPr>
        <w:jc w:val="both"/>
      </w:pPr>
      <w:r>
        <w:t>and</w:t>
      </w:r>
    </w:p>
    <w:p w:rsidR="00D51688" w:rsidRDefault="00F75C68" w:rsidP="00804845">
      <w:pPr>
        <w:jc w:val="both"/>
      </w:pPr>
      <w:r w:rsidRPr="00BB5311">
        <w:t>1</w:t>
      </w:r>
      <w:r w:rsidR="00FD4F29" w:rsidRPr="00BB5311">
        <w:t>99 OTHERS</w:t>
      </w:r>
    </w:p>
    <w:p w:rsidR="00804845" w:rsidRPr="00BB5311" w:rsidRDefault="00804845" w:rsidP="00804845">
      <w:pPr>
        <w:jc w:val="both"/>
      </w:pPr>
    </w:p>
    <w:p w:rsidR="00804845" w:rsidRDefault="00804845" w:rsidP="00804845">
      <w:pPr>
        <w:spacing w:line="360" w:lineRule="auto"/>
        <w:jc w:val="both"/>
      </w:pPr>
    </w:p>
    <w:p w:rsidR="00D51688" w:rsidRPr="00BB5311" w:rsidRDefault="00D51688" w:rsidP="00804845">
      <w:pPr>
        <w:jc w:val="both"/>
      </w:pPr>
      <w:r w:rsidRPr="00BB5311">
        <w:t>HIGH COURT OF ZIMBABWE</w:t>
      </w:r>
    </w:p>
    <w:p w:rsidR="00D51688" w:rsidRPr="00BB5311" w:rsidRDefault="00D51688" w:rsidP="00804845">
      <w:pPr>
        <w:jc w:val="both"/>
      </w:pPr>
      <w:r w:rsidRPr="00BB5311">
        <w:t>DEME J</w:t>
      </w:r>
    </w:p>
    <w:p w:rsidR="00D51688" w:rsidRPr="00BB5311" w:rsidRDefault="0098131F" w:rsidP="00804845">
      <w:pPr>
        <w:jc w:val="both"/>
      </w:pPr>
      <w:r w:rsidRPr="00BB5311">
        <w:t>H</w:t>
      </w:r>
      <w:r w:rsidR="00D51688" w:rsidRPr="00BB5311">
        <w:t xml:space="preserve">ARARE, </w:t>
      </w:r>
      <w:r w:rsidR="00B23625">
        <w:t xml:space="preserve">28, </w:t>
      </w:r>
      <w:r w:rsidR="00F75C68" w:rsidRPr="00BB5311">
        <w:t xml:space="preserve">29 </w:t>
      </w:r>
      <w:r w:rsidR="00B23625">
        <w:t>July &amp; 14 September 2022</w:t>
      </w:r>
    </w:p>
    <w:p w:rsidR="00D51688" w:rsidRPr="00BB5311" w:rsidRDefault="00D51688" w:rsidP="00E36C94">
      <w:pPr>
        <w:spacing w:line="360" w:lineRule="auto"/>
        <w:jc w:val="both"/>
      </w:pPr>
    </w:p>
    <w:p w:rsidR="00D51688" w:rsidRPr="00BB5311" w:rsidRDefault="00D51688" w:rsidP="00E36C94">
      <w:pPr>
        <w:spacing w:line="360" w:lineRule="auto"/>
        <w:jc w:val="both"/>
        <w:rPr>
          <w:b/>
        </w:rPr>
      </w:pPr>
      <w:r w:rsidRPr="00BB5311">
        <w:rPr>
          <w:b/>
        </w:rPr>
        <w:t xml:space="preserve"> </w:t>
      </w:r>
      <w:r w:rsidR="004A6F17" w:rsidRPr="00BB5311">
        <w:rPr>
          <w:b/>
        </w:rPr>
        <w:t xml:space="preserve">Urgent Chamber </w:t>
      </w:r>
      <w:r w:rsidRPr="00BB5311">
        <w:rPr>
          <w:b/>
        </w:rPr>
        <w:t>Application</w:t>
      </w:r>
    </w:p>
    <w:p w:rsidR="00D51688" w:rsidRPr="00BB5311" w:rsidRDefault="00D51688" w:rsidP="00E36C94">
      <w:pPr>
        <w:spacing w:line="360" w:lineRule="auto"/>
        <w:jc w:val="both"/>
        <w:rPr>
          <w:b/>
        </w:rPr>
      </w:pPr>
    </w:p>
    <w:p w:rsidR="00D51688" w:rsidRPr="00BB5311" w:rsidRDefault="00804845" w:rsidP="00804845">
      <w:pPr>
        <w:jc w:val="both"/>
      </w:pPr>
      <w:r w:rsidRPr="00C47FC1">
        <w:t>Adv</w:t>
      </w:r>
      <w:r w:rsidR="00484AA3" w:rsidRPr="00BB5311">
        <w:rPr>
          <w:i/>
        </w:rPr>
        <w:t xml:space="preserve"> T Magwaliba </w:t>
      </w:r>
      <w:r w:rsidR="00484AA3" w:rsidRPr="00C47FC1">
        <w:t>with</w:t>
      </w:r>
      <w:r w:rsidR="00484AA3" w:rsidRPr="00BB5311">
        <w:rPr>
          <w:i/>
        </w:rPr>
        <w:t xml:space="preserve"> </w:t>
      </w:r>
      <w:r w:rsidR="00FC61B7" w:rsidRPr="00BB5311">
        <w:rPr>
          <w:i/>
        </w:rPr>
        <w:t>Mr</w:t>
      </w:r>
      <w:r w:rsidR="00484AA3" w:rsidRPr="00BB5311">
        <w:rPr>
          <w:i/>
        </w:rPr>
        <w:t xml:space="preserve"> C Daitai,</w:t>
      </w:r>
      <w:r w:rsidR="00FC61B7">
        <w:rPr>
          <w:i/>
        </w:rPr>
        <w:t xml:space="preserve"> </w:t>
      </w:r>
      <w:r w:rsidR="00484AA3" w:rsidRPr="00C47FC1">
        <w:t>Ms</w:t>
      </w:r>
      <w:r w:rsidR="00484AA3" w:rsidRPr="00BB5311">
        <w:rPr>
          <w:i/>
        </w:rPr>
        <w:t xml:space="preserve"> E</w:t>
      </w:r>
      <w:r>
        <w:rPr>
          <w:i/>
        </w:rPr>
        <w:t xml:space="preserve"> Chimombe </w:t>
      </w:r>
      <w:r w:rsidRPr="00C47FC1">
        <w:t>and Mr</w:t>
      </w:r>
      <w:r w:rsidR="00484AA3" w:rsidRPr="00BB5311">
        <w:rPr>
          <w:i/>
        </w:rPr>
        <w:t xml:space="preserve"> S </w:t>
      </w:r>
      <w:r w:rsidR="00FC61B7" w:rsidRPr="00BB5311">
        <w:rPr>
          <w:i/>
        </w:rPr>
        <w:t>Banda,</w:t>
      </w:r>
      <w:r w:rsidR="00D51688" w:rsidRPr="00BB5311">
        <w:t xml:space="preserve"> for the applicant</w:t>
      </w:r>
    </w:p>
    <w:p w:rsidR="00D51688" w:rsidRPr="00BB5311" w:rsidRDefault="00BC752E" w:rsidP="00804845">
      <w:pPr>
        <w:jc w:val="both"/>
      </w:pPr>
      <w:r w:rsidRPr="00C47FC1">
        <w:t>Mr</w:t>
      </w:r>
      <w:r w:rsidRPr="00BB5311">
        <w:rPr>
          <w:i/>
        </w:rPr>
        <w:t xml:space="preserve"> O Shava </w:t>
      </w:r>
      <w:bookmarkStart w:id="0" w:name="_GoBack"/>
      <w:r w:rsidRPr="00C47FC1">
        <w:t>with Mr</w:t>
      </w:r>
      <w:bookmarkEnd w:id="0"/>
      <w:r w:rsidRPr="00BB5311">
        <w:rPr>
          <w:i/>
        </w:rPr>
        <w:t xml:space="preserve"> Mutsvandiani</w:t>
      </w:r>
      <w:r w:rsidR="00D51688" w:rsidRPr="00BB5311">
        <w:rPr>
          <w:i/>
        </w:rPr>
        <w:t xml:space="preserve">, </w:t>
      </w:r>
      <w:r w:rsidR="00D51688" w:rsidRPr="00BB5311">
        <w:t>for the respondent</w:t>
      </w:r>
      <w:r w:rsidRPr="00BB5311">
        <w:t>s</w:t>
      </w:r>
    </w:p>
    <w:p w:rsidR="00D51688" w:rsidRPr="00BB5311" w:rsidRDefault="00D51688" w:rsidP="00E36C94">
      <w:pPr>
        <w:spacing w:line="360" w:lineRule="auto"/>
        <w:jc w:val="both"/>
      </w:pPr>
    </w:p>
    <w:p w:rsidR="00CD6F7D" w:rsidRPr="00BB5311" w:rsidRDefault="00D51688" w:rsidP="00E36C94">
      <w:pPr>
        <w:spacing w:line="360" w:lineRule="auto"/>
        <w:jc w:val="both"/>
      </w:pPr>
      <w:r w:rsidRPr="00BB5311">
        <w:tab/>
      </w:r>
      <w:r w:rsidRPr="00804845">
        <w:rPr>
          <w:b/>
        </w:rPr>
        <w:t>DEME J</w:t>
      </w:r>
      <w:r w:rsidRPr="00BB5311">
        <w:t>:</w:t>
      </w:r>
      <w:r w:rsidR="00AB15FE" w:rsidRPr="00BB5311">
        <w:t xml:space="preserve"> </w:t>
      </w:r>
      <w:r w:rsidR="00804845">
        <w:t xml:space="preserve"> </w:t>
      </w:r>
      <w:r w:rsidR="00AB15FE" w:rsidRPr="00BB5311">
        <w:t xml:space="preserve">The </w:t>
      </w:r>
      <w:r w:rsidR="00804845">
        <w:t>a</w:t>
      </w:r>
      <w:r w:rsidR="00AB15FE" w:rsidRPr="00BB5311">
        <w:t xml:space="preserve">pplicant approached </w:t>
      </w:r>
      <w:r w:rsidR="00FC61B7" w:rsidRPr="00BB5311">
        <w:t>this court</w:t>
      </w:r>
      <w:r w:rsidR="00AB15FE" w:rsidRPr="00BB5311">
        <w:t xml:space="preserve"> on an urgent basis seeking </w:t>
      </w:r>
      <w:r w:rsidR="00A324D2">
        <w:t xml:space="preserve">the relief for the return of motor vehicles based on the principles of </w:t>
      </w:r>
      <w:r w:rsidR="007A275C" w:rsidRPr="00BB5311">
        <w:t>spoliation order or vindicatory action</w:t>
      </w:r>
      <w:r w:rsidR="00A324D2">
        <w:t xml:space="preserve">. The </w:t>
      </w:r>
      <w:r w:rsidR="00804845">
        <w:t>a</w:t>
      </w:r>
      <w:r w:rsidR="00A324D2">
        <w:t xml:space="preserve">pplicant’s </w:t>
      </w:r>
      <w:r w:rsidR="00084066">
        <w:t xml:space="preserve">relief </w:t>
      </w:r>
      <w:r w:rsidR="00084066" w:rsidRPr="00BB5311">
        <w:t>was</w:t>
      </w:r>
      <w:r w:rsidR="007A275C" w:rsidRPr="00BB5311">
        <w:t xml:space="preserve"> couched in the following way</w:t>
      </w:r>
      <w:r w:rsidR="00AB15FE" w:rsidRPr="00BB5311">
        <w:t>:</w:t>
      </w:r>
    </w:p>
    <w:p w:rsidR="00AB15FE" w:rsidRPr="00EB1A65" w:rsidRDefault="00EB1A65" w:rsidP="00EA4614">
      <w:pPr>
        <w:ind w:left="360" w:hanging="360"/>
        <w:jc w:val="both"/>
        <w:rPr>
          <w:sz w:val="22"/>
          <w:szCs w:val="22"/>
        </w:rPr>
      </w:pPr>
      <w:r>
        <w:rPr>
          <w:sz w:val="22"/>
          <w:szCs w:val="22"/>
        </w:rPr>
        <w:tab/>
      </w:r>
      <w:r w:rsidR="00EF452E" w:rsidRPr="00EB1A65">
        <w:rPr>
          <w:sz w:val="22"/>
          <w:szCs w:val="22"/>
        </w:rPr>
        <w:t xml:space="preserve">“1. </w:t>
      </w:r>
      <w:r w:rsidR="00EA4614" w:rsidRPr="00EB1A65">
        <w:rPr>
          <w:sz w:val="22"/>
          <w:szCs w:val="22"/>
        </w:rPr>
        <w:tab/>
      </w:r>
      <w:r w:rsidR="00EF452E" w:rsidRPr="00EB1A65">
        <w:rPr>
          <w:sz w:val="22"/>
          <w:szCs w:val="22"/>
        </w:rPr>
        <w:t xml:space="preserve">The </w:t>
      </w:r>
      <w:r w:rsidR="00FC61B7" w:rsidRPr="00EB1A65">
        <w:rPr>
          <w:sz w:val="22"/>
          <w:szCs w:val="22"/>
        </w:rPr>
        <w:t>1</w:t>
      </w:r>
      <w:r w:rsidR="00FC61B7" w:rsidRPr="00EB1A65">
        <w:rPr>
          <w:sz w:val="22"/>
          <w:szCs w:val="22"/>
          <w:vertAlign w:val="superscript"/>
        </w:rPr>
        <w:t>st</w:t>
      </w:r>
      <w:r w:rsidR="00FC61B7" w:rsidRPr="00EB1A65">
        <w:rPr>
          <w:sz w:val="22"/>
          <w:szCs w:val="22"/>
        </w:rPr>
        <w:t xml:space="preserve"> up</w:t>
      </w:r>
      <w:r w:rsidR="00EF452E" w:rsidRPr="00EB1A65">
        <w:rPr>
          <w:sz w:val="22"/>
          <w:szCs w:val="22"/>
        </w:rPr>
        <w:t xml:space="preserve"> to 199</w:t>
      </w:r>
      <w:r w:rsidR="00EF452E" w:rsidRPr="00EB1A65">
        <w:rPr>
          <w:sz w:val="22"/>
          <w:szCs w:val="22"/>
          <w:vertAlign w:val="superscript"/>
        </w:rPr>
        <w:t>th</w:t>
      </w:r>
      <w:r w:rsidR="00EA4614" w:rsidRPr="00EB1A65">
        <w:rPr>
          <w:sz w:val="22"/>
          <w:szCs w:val="22"/>
        </w:rPr>
        <w:t xml:space="preserve"> r</w:t>
      </w:r>
      <w:r w:rsidR="00EF452E" w:rsidRPr="00EB1A65">
        <w:rPr>
          <w:sz w:val="22"/>
          <w:szCs w:val="22"/>
        </w:rPr>
        <w:t>espondents shall:-</w:t>
      </w:r>
    </w:p>
    <w:p w:rsidR="00EF452E" w:rsidRPr="00EB1A65" w:rsidRDefault="00EB1A65" w:rsidP="00EB1A65">
      <w:pPr>
        <w:pStyle w:val="ListParagraph"/>
        <w:ind w:hanging="360"/>
        <w:jc w:val="both"/>
        <w:rPr>
          <w:sz w:val="22"/>
          <w:szCs w:val="22"/>
        </w:rPr>
      </w:pPr>
      <w:r>
        <w:rPr>
          <w:sz w:val="22"/>
          <w:szCs w:val="22"/>
        </w:rPr>
        <w:t xml:space="preserve"> 1.1</w:t>
      </w:r>
      <w:r>
        <w:rPr>
          <w:sz w:val="22"/>
          <w:szCs w:val="22"/>
        </w:rPr>
        <w:tab/>
      </w:r>
      <w:r w:rsidR="00EA4614" w:rsidRPr="00EB1A65">
        <w:rPr>
          <w:sz w:val="22"/>
          <w:szCs w:val="22"/>
        </w:rPr>
        <w:t>I</w:t>
      </w:r>
      <w:r w:rsidR="00EF452E" w:rsidRPr="00EB1A65">
        <w:rPr>
          <w:sz w:val="22"/>
          <w:szCs w:val="22"/>
        </w:rPr>
        <w:t xml:space="preserve">n respect of unloaded and empty vehicles constituting horses and trailers </w:t>
      </w:r>
      <w:r w:rsidR="006A3D35" w:rsidRPr="00EB1A65">
        <w:rPr>
          <w:sz w:val="22"/>
          <w:szCs w:val="22"/>
        </w:rPr>
        <w:t xml:space="preserve">belonging to the </w:t>
      </w:r>
      <w:r w:rsidR="00EA4614" w:rsidRPr="00EB1A65">
        <w:rPr>
          <w:sz w:val="22"/>
          <w:szCs w:val="22"/>
        </w:rPr>
        <w:t>a</w:t>
      </w:r>
      <w:r w:rsidR="006A3D35" w:rsidRPr="00EB1A65">
        <w:rPr>
          <w:sz w:val="22"/>
          <w:szCs w:val="22"/>
        </w:rPr>
        <w:t xml:space="preserve">pplicant which are in their possession forthwith return such vehicles to the </w:t>
      </w:r>
      <w:r w:rsidR="00EA4614" w:rsidRPr="00EB1A65">
        <w:rPr>
          <w:sz w:val="22"/>
          <w:szCs w:val="22"/>
        </w:rPr>
        <w:t>a</w:t>
      </w:r>
      <w:r w:rsidR="006A3D35" w:rsidRPr="00EB1A65">
        <w:rPr>
          <w:sz w:val="22"/>
          <w:szCs w:val="22"/>
        </w:rPr>
        <w:t>pplicant’s premises at No. 116</w:t>
      </w:r>
      <w:r w:rsidR="00422C2D" w:rsidRPr="00EB1A65">
        <w:rPr>
          <w:sz w:val="22"/>
          <w:szCs w:val="22"/>
        </w:rPr>
        <w:t xml:space="preserve"> Dagenham Road, Willowvale, Harare upon the service of this order on the 200</w:t>
      </w:r>
      <w:r w:rsidR="00422C2D" w:rsidRPr="00EB1A65">
        <w:rPr>
          <w:sz w:val="22"/>
          <w:szCs w:val="22"/>
          <w:vertAlign w:val="superscript"/>
        </w:rPr>
        <w:t>th</w:t>
      </w:r>
      <w:r w:rsidR="00422C2D" w:rsidRPr="00EB1A65">
        <w:rPr>
          <w:sz w:val="22"/>
          <w:szCs w:val="22"/>
        </w:rPr>
        <w:t xml:space="preserve"> </w:t>
      </w:r>
      <w:r w:rsidR="00EA4614" w:rsidRPr="00EB1A65">
        <w:rPr>
          <w:sz w:val="22"/>
          <w:szCs w:val="22"/>
        </w:rPr>
        <w:t>r</w:t>
      </w:r>
      <w:r w:rsidR="00422C2D" w:rsidRPr="00EB1A65">
        <w:rPr>
          <w:sz w:val="22"/>
          <w:szCs w:val="22"/>
        </w:rPr>
        <w:t>espondent or their legal practitioners.</w:t>
      </w:r>
    </w:p>
    <w:p w:rsidR="00422C2D" w:rsidRPr="00EB1A65" w:rsidRDefault="00EB1A65" w:rsidP="00EB1A65">
      <w:pPr>
        <w:pStyle w:val="ListParagraph"/>
        <w:ind w:left="360"/>
        <w:jc w:val="both"/>
        <w:rPr>
          <w:sz w:val="22"/>
          <w:szCs w:val="22"/>
        </w:rPr>
      </w:pPr>
      <w:r>
        <w:rPr>
          <w:sz w:val="22"/>
          <w:szCs w:val="22"/>
        </w:rPr>
        <w:t>1.2</w:t>
      </w:r>
      <w:r>
        <w:rPr>
          <w:sz w:val="22"/>
          <w:szCs w:val="22"/>
        </w:rPr>
        <w:tab/>
      </w:r>
      <w:r w:rsidR="00E9224D" w:rsidRPr="00EB1A65">
        <w:rPr>
          <w:sz w:val="22"/>
          <w:szCs w:val="22"/>
        </w:rPr>
        <w:t xml:space="preserve">In respect of loaded vehicles constituting horses and trailers belonging to the </w:t>
      </w:r>
      <w:r w:rsidR="00EA4614" w:rsidRPr="00EB1A65">
        <w:rPr>
          <w:sz w:val="22"/>
          <w:szCs w:val="22"/>
        </w:rPr>
        <w:t>a</w:t>
      </w:r>
      <w:r w:rsidR="00E9224D" w:rsidRPr="00EB1A65">
        <w:rPr>
          <w:sz w:val="22"/>
          <w:szCs w:val="22"/>
        </w:rPr>
        <w:t xml:space="preserve">pplicant which </w:t>
      </w:r>
      <w:r>
        <w:rPr>
          <w:sz w:val="22"/>
          <w:szCs w:val="22"/>
        </w:rPr>
        <w:tab/>
      </w:r>
      <w:r w:rsidR="00E9224D" w:rsidRPr="00EB1A65">
        <w:rPr>
          <w:sz w:val="22"/>
          <w:szCs w:val="22"/>
        </w:rPr>
        <w:t>are in their possession forthwith deliver any products presently loaded o</w:t>
      </w:r>
      <w:r w:rsidR="00EA4614" w:rsidRPr="00EB1A65">
        <w:rPr>
          <w:sz w:val="22"/>
          <w:szCs w:val="22"/>
        </w:rPr>
        <w:t xml:space="preserve">n the trucks and return </w:t>
      </w:r>
      <w:r>
        <w:rPr>
          <w:sz w:val="22"/>
          <w:szCs w:val="22"/>
        </w:rPr>
        <w:tab/>
      </w:r>
      <w:r w:rsidR="00EA4614" w:rsidRPr="00EB1A65">
        <w:rPr>
          <w:sz w:val="22"/>
          <w:szCs w:val="22"/>
        </w:rPr>
        <w:t>to the a</w:t>
      </w:r>
      <w:r w:rsidR="00E9224D" w:rsidRPr="00EB1A65">
        <w:rPr>
          <w:sz w:val="22"/>
          <w:szCs w:val="22"/>
        </w:rPr>
        <w:t xml:space="preserve">pplicant such motor vehicles at the </w:t>
      </w:r>
      <w:r w:rsidR="00EA4614" w:rsidRPr="00EB1A65">
        <w:rPr>
          <w:sz w:val="22"/>
          <w:szCs w:val="22"/>
        </w:rPr>
        <w:t>a</w:t>
      </w:r>
      <w:r w:rsidR="00E9224D" w:rsidRPr="00EB1A65">
        <w:rPr>
          <w:sz w:val="22"/>
          <w:szCs w:val="22"/>
        </w:rPr>
        <w:t xml:space="preserve">pplicant’s premises at No. 116 Dagenham Road, </w:t>
      </w:r>
      <w:r>
        <w:rPr>
          <w:sz w:val="22"/>
          <w:szCs w:val="22"/>
        </w:rPr>
        <w:tab/>
      </w:r>
      <w:r w:rsidR="00E9224D" w:rsidRPr="00EB1A65">
        <w:rPr>
          <w:sz w:val="22"/>
          <w:szCs w:val="22"/>
        </w:rPr>
        <w:t>Willowvale, Harare.</w:t>
      </w:r>
    </w:p>
    <w:p w:rsidR="007834B9" w:rsidRPr="00EB1A65" w:rsidRDefault="00EB1A65" w:rsidP="00EA4614">
      <w:pPr>
        <w:ind w:left="360" w:hanging="360"/>
        <w:jc w:val="both"/>
        <w:rPr>
          <w:sz w:val="22"/>
          <w:szCs w:val="22"/>
        </w:rPr>
      </w:pPr>
      <w:r>
        <w:rPr>
          <w:sz w:val="22"/>
          <w:szCs w:val="22"/>
        </w:rPr>
        <w:tab/>
        <w:t>2.</w:t>
      </w:r>
      <w:r>
        <w:rPr>
          <w:sz w:val="22"/>
          <w:szCs w:val="22"/>
        </w:rPr>
        <w:tab/>
      </w:r>
      <w:r w:rsidR="007834B9" w:rsidRPr="00EB1A65">
        <w:rPr>
          <w:sz w:val="22"/>
          <w:szCs w:val="22"/>
        </w:rPr>
        <w:t>The 200</w:t>
      </w:r>
      <w:r w:rsidR="007834B9" w:rsidRPr="00EB1A65">
        <w:rPr>
          <w:sz w:val="22"/>
          <w:szCs w:val="22"/>
          <w:vertAlign w:val="superscript"/>
        </w:rPr>
        <w:t>th</w:t>
      </w:r>
      <w:r w:rsidR="007834B9" w:rsidRPr="00EB1A65">
        <w:rPr>
          <w:sz w:val="22"/>
          <w:szCs w:val="22"/>
        </w:rPr>
        <w:t xml:space="preserve"> </w:t>
      </w:r>
      <w:r w:rsidR="00EA4614" w:rsidRPr="00EB1A65">
        <w:rPr>
          <w:sz w:val="22"/>
          <w:szCs w:val="22"/>
        </w:rPr>
        <w:t>r</w:t>
      </w:r>
      <w:r w:rsidR="007834B9" w:rsidRPr="00EB1A65">
        <w:rPr>
          <w:sz w:val="22"/>
          <w:szCs w:val="22"/>
        </w:rPr>
        <w:t xml:space="preserve">espondent shall not interfere with the </w:t>
      </w:r>
      <w:r w:rsidR="00EA4614" w:rsidRPr="00EB1A65">
        <w:rPr>
          <w:sz w:val="22"/>
          <w:szCs w:val="22"/>
        </w:rPr>
        <w:t>a</w:t>
      </w:r>
      <w:r w:rsidR="007834B9" w:rsidRPr="00EB1A65">
        <w:rPr>
          <w:sz w:val="22"/>
          <w:szCs w:val="22"/>
        </w:rPr>
        <w:t xml:space="preserve">pplicant or the Sheriff or his lawful assistants </w:t>
      </w:r>
      <w:r>
        <w:rPr>
          <w:sz w:val="22"/>
          <w:szCs w:val="22"/>
        </w:rPr>
        <w:tab/>
      </w:r>
      <w:r w:rsidR="007834B9" w:rsidRPr="00EB1A65">
        <w:rPr>
          <w:sz w:val="22"/>
          <w:szCs w:val="22"/>
        </w:rPr>
        <w:t>or 1</w:t>
      </w:r>
      <w:r w:rsidR="007834B9" w:rsidRPr="00EB1A65">
        <w:rPr>
          <w:sz w:val="22"/>
          <w:szCs w:val="22"/>
          <w:vertAlign w:val="superscript"/>
        </w:rPr>
        <w:t>st</w:t>
      </w:r>
      <w:r w:rsidR="007834B9" w:rsidRPr="00EB1A65">
        <w:rPr>
          <w:sz w:val="22"/>
          <w:szCs w:val="22"/>
        </w:rPr>
        <w:t xml:space="preserve"> up to 199</w:t>
      </w:r>
      <w:r w:rsidR="007834B9" w:rsidRPr="00EB1A65">
        <w:rPr>
          <w:sz w:val="22"/>
          <w:szCs w:val="22"/>
          <w:vertAlign w:val="superscript"/>
        </w:rPr>
        <w:t>th</w:t>
      </w:r>
      <w:r w:rsidR="007834B9" w:rsidRPr="00EB1A65">
        <w:rPr>
          <w:sz w:val="22"/>
          <w:szCs w:val="22"/>
        </w:rPr>
        <w:t xml:space="preserve"> </w:t>
      </w:r>
      <w:r w:rsidR="00EA4614" w:rsidRPr="00EB1A65">
        <w:rPr>
          <w:sz w:val="22"/>
          <w:szCs w:val="22"/>
        </w:rPr>
        <w:t>r</w:t>
      </w:r>
      <w:r w:rsidR="007834B9" w:rsidRPr="00EB1A65">
        <w:rPr>
          <w:sz w:val="22"/>
          <w:szCs w:val="22"/>
        </w:rPr>
        <w:t xml:space="preserve">espondents during the process of delivery to the </w:t>
      </w:r>
      <w:r w:rsidR="00EA4614" w:rsidRPr="00EB1A65">
        <w:rPr>
          <w:sz w:val="22"/>
          <w:szCs w:val="22"/>
        </w:rPr>
        <w:t>a</w:t>
      </w:r>
      <w:r w:rsidR="007834B9" w:rsidRPr="00EB1A65">
        <w:rPr>
          <w:sz w:val="22"/>
          <w:szCs w:val="22"/>
        </w:rPr>
        <w:t xml:space="preserve">pplicant of its motor vehicles </w:t>
      </w:r>
      <w:r>
        <w:rPr>
          <w:sz w:val="22"/>
          <w:szCs w:val="22"/>
        </w:rPr>
        <w:tab/>
      </w:r>
      <w:r w:rsidR="007834B9" w:rsidRPr="00EB1A65">
        <w:rPr>
          <w:sz w:val="22"/>
          <w:szCs w:val="22"/>
        </w:rPr>
        <w:t>referred to in paragraphs 1.1 and 1.2 of this order.</w:t>
      </w:r>
    </w:p>
    <w:p w:rsidR="007834B9" w:rsidRDefault="00EB1A65" w:rsidP="00EA4614">
      <w:pPr>
        <w:ind w:left="360" w:hanging="360"/>
        <w:jc w:val="both"/>
        <w:rPr>
          <w:sz w:val="22"/>
          <w:szCs w:val="22"/>
        </w:rPr>
      </w:pPr>
      <w:r>
        <w:rPr>
          <w:sz w:val="22"/>
          <w:szCs w:val="22"/>
        </w:rPr>
        <w:tab/>
        <w:t>3.</w:t>
      </w:r>
      <w:r>
        <w:rPr>
          <w:sz w:val="22"/>
          <w:szCs w:val="22"/>
        </w:rPr>
        <w:tab/>
      </w:r>
      <w:r w:rsidR="007834B9" w:rsidRPr="00EB1A65">
        <w:rPr>
          <w:sz w:val="22"/>
          <w:szCs w:val="22"/>
        </w:rPr>
        <w:t>The 200</w:t>
      </w:r>
      <w:r w:rsidR="007834B9" w:rsidRPr="00EB1A65">
        <w:rPr>
          <w:sz w:val="22"/>
          <w:szCs w:val="22"/>
          <w:vertAlign w:val="superscript"/>
        </w:rPr>
        <w:t>th</w:t>
      </w:r>
      <w:r w:rsidR="007834B9" w:rsidRPr="00EB1A65">
        <w:rPr>
          <w:sz w:val="22"/>
          <w:szCs w:val="22"/>
        </w:rPr>
        <w:t xml:space="preserve"> </w:t>
      </w:r>
      <w:r w:rsidR="00EA4614" w:rsidRPr="00EB1A65">
        <w:rPr>
          <w:sz w:val="22"/>
          <w:szCs w:val="22"/>
        </w:rPr>
        <w:t>r</w:t>
      </w:r>
      <w:r w:rsidR="007834B9" w:rsidRPr="00EB1A65">
        <w:rPr>
          <w:sz w:val="22"/>
          <w:szCs w:val="22"/>
        </w:rPr>
        <w:t xml:space="preserve">espondent shall pay costs of this application on </w:t>
      </w:r>
      <w:r w:rsidR="00EA4614" w:rsidRPr="00EB1A65">
        <w:rPr>
          <w:sz w:val="22"/>
          <w:szCs w:val="22"/>
        </w:rPr>
        <w:t xml:space="preserve">a legal practitioner and client </w:t>
      </w:r>
      <w:r w:rsidR="007834B9" w:rsidRPr="00EB1A65">
        <w:rPr>
          <w:sz w:val="22"/>
          <w:szCs w:val="22"/>
        </w:rPr>
        <w:t>scale.”</w:t>
      </w:r>
    </w:p>
    <w:p w:rsidR="00EB1A65" w:rsidRPr="00EB1A65" w:rsidRDefault="00EB1A65" w:rsidP="00EA4614">
      <w:pPr>
        <w:ind w:left="360" w:hanging="360"/>
        <w:jc w:val="both"/>
        <w:rPr>
          <w:sz w:val="22"/>
          <w:szCs w:val="22"/>
        </w:rPr>
      </w:pPr>
    </w:p>
    <w:p w:rsidR="00AD15E7" w:rsidRDefault="00EA4614" w:rsidP="00E36C94">
      <w:pPr>
        <w:spacing w:line="360" w:lineRule="auto"/>
        <w:jc w:val="both"/>
      </w:pPr>
      <w:r>
        <w:tab/>
      </w:r>
      <w:r w:rsidR="003B5FE7" w:rsidRPr="00BB5311">
        <w:t>Facts for this matter are common cause save as may be highlighted.</w:t>
      </w:r>
      <w:r w:rsidR="00DC0A56" w:rsidRPr="00BB5311">
        <w:t xml:space="preserve"> The </w:t>
      </w:r>
      <w:r w:rsidR="00515023">
        <w:t>1</w:t>
      </w:r>
      <w:r w:rsidR="00515023" w:rsidRPr="00515023">
        <w:rPr>
          <w:vertAlign w:val="superscript"/>
        </w:rPr>
        <w:t>st</w:t>
      </w:r>
      <w:r w:rsidR="00515023">
        <w:t xml:space="preserve"> </w:t>
      </w:r>
      <w:r w:rsidR="00DC0A56" w:rsidRPr="00BB5311">
        <w:t>up to 199</w:t>
      </w:r>
      <w:r w:rsidR="00DC0A56" w:rsidRPr="00BB5311">
        <w:rPr>
          <w:vertAlign w:val="superscript"/>
        </w:rPr>
        <w:t>th</w:t>
      </w:r>
      <w:r w:rsidR="00DC0A56" w:rsidRPr="00BB5311">
        <w:t xml:space="preserve"> </w:t>
      </w:r>
      <w:r>
        <w:t>r</w:t>
      </w:r>
      <w:r w:rsidR="00DC0A56" w:rsidRPr="00BB5311">
        <w:t xml:space="preserve">espondents </w:t>
      </w:r>
      <w:r w:rsidR="00E42090" w:rsidRPr="00BB5311">
        <w:t xml:space="preserve">were, at the material time, </w:t>
      </w:r>
      <w:r w:rsidR="00DC0A56" w:rsidRPr="00BB5311">
        <w:t>the employees of the</w:t>
      </w:r>
      <w:r w:rsidR="00E42090" w:rsidRPr="00BB5311">
        <w:t xml:space="preserve"> </w:t>
      </w:r>
      <w:r>
        <w:t>a</w:t>
      </w:r>
      <w:r w:rsidR="00E42090" w:rsidRPr="00BB5311">
        <w:t>pplicant. They were employed as drivers.</w:t>
      </w:r>
      <w:r w:rsidR="00236825" w:rsidRPr="00BB5311">
        <w:t xml:space="preserve"> The 200</w:t>
      </w:r>
      <w:r w:rsidR="00236825" w:rsidRPr="00BB5311">
        <w:rPr>
          <w:vertAlign w:val="superscript"/>
        </w:rPr>
        <w:t>th</w:t>
      </w:r>
      <w:r>
        <w:t xml:space="preserve"> r</w:t>
      </w:r>
      <w:r w:rsidR="00236825" w:rsidRPr="00BB5311">
        <w:t>espondent</w:t>
      </w:r>
      <w:r w:rsidR="00BD259A" w:rsidRPr="00BB5311">
        <w:t xml:space="preserve"> is the trade union for the </w:t>
      </w:r>
      <w:r w:rsidR="00515023">
        <w:t>1</w:t>
      </w:r>
      <w:r w:rsidR="00515023" w:rsidRPr="00515023">
        <w:rPr>
          <w:vertAlign w:val="superscript"/>
        </w:rPr>
        <w:t>st</w:t>
      </w:r>
      <w:r w:rsidR="00515023">
        <w:t xml:space="preserve"> </w:t>
      </w:r>
      <w:r w:rsidR="00BD259A" w:rsidRPr="00BB5311">
        <w:t>up to 199</w:t>
      </w:r>
      <w:r w:rsidR="00BD259A" w:rsidRPr="00BB5311">
        <w:rPr>
          <w:vertAlign w:val="superscript"/>
        </w:rPr>
        <w:t>th</w:t>
      </w:r>
      <w:r w:rsidR="00BD259A" w:rsidRPr="00BB5311">
        <w:t xml:space="preserve"> </w:t>
      </w:r>
      <w:r>
        <w:t>r</w:t>
      </w:r>
      <w:r w:rsidR="00BD259A" w:rsidRPr="00BB5311">
        <w:t>espondents.</w:t>
      </w:r>
      <w:r w:rsidR="002E09C6" w:rsidRPr="00BB5311">
        <w:t xml:space="preserve"> The </w:t>
      </w:r>
      <w:r>
        <w:t>a</w:t>
      </w:r>
      <w:r w:rsidR="002E09C6" w:rsidRPr="00BB5311">
        <w:t>pplicant, which is based in Zimbabwe</w:t>
      </w:r>
      <w:r w:rsidR="00FC61B7" w:rsidRPr="00BB5311">
        <w:t>, is</w:t>
      </w:r>
      <w:r w:rsidR="002E09C6" w:rsidRPr="00BB5311">
        <w:t xml:space="preserve"> involved in the business of transport and logistics for various types of cargo. It owns trucks </w:t>
      </w:r>
      <w:r w:rsidR="00FC61B7" w:rsidRPr="00BB5311">
        <w:t>which transport</w:t>
      </w:r>
      <w:r w:rsidR="002E09C6" w:rsidRPr="00BB5311">
        <w:t xml:space="preserve"> cargo to many countries including Mozambique, South Africa, Botswana</w:t>
      </w:r>
      <w:r w:rsidR="00AD15E7">
        <w:t xml:space="preserve"> and </w:t>
      </w:r>
      <w:r w:rsidR="002E09C6" w:rsidRPr="00BB5311">
        <w:t>Zambia.</w:t>
      </w:r>
      <w:r w:rsidR="00F402FC" w:rsidRPr="00BB5311">
        <w:t xml:space="preserve"> </w:t>
      </w:r>
    </w:p>
    <w:p w:rsidR="003B5FE7" w:rsidRPr="00BB5311" w:rsidRDefault="00C94797" w:rsidP="00E36C94">
      <w:pPr>
        <w:spacing w:line="360" w:lineRule="auto"/>
        <w:jc w:val="both"/>
      </w:pPr>
      <w:r>
        <w:tab/>
      </w:r>
      <w:r w:rsidR="00F402FC" w:rsidRPr="00BB5311">
        <w:t xml:space="preserve">According to the </w:t>
      </w:r>
      <w:r>
        <w:t>a</w:t>
      </w:r>
      <w:r w:rsidR="00F402FC" w:rsidRPr="00BB5311">
        <w:t xml:space="preserve">pplicant, the </w:t>
      </w:r>
      <w:r w:rsidR="00515023">
        <w:t>1</w:t>
      </w:r>
      <w:r w:rsidR="00515023" w:rsidRPr="00515023">
        <w:rPr>
          <w:vertAlign w:val="superscript"/>
        </w:rPr>
        <w:t>st</w:t>
      </w:r>
      <w:r w:rsidR="00515023">
        <w:t xml:space="preserve"> </w:t>
      </w:r>
      <w:r w:rsidR="00F402FC" w:rsidRPr="00BB5311">
        <w:t>to 199</w:t>
      </w:r>
      <w:r w:rsidR="00F402FC" w:rsidRPr="00BB5311">
        <w:rPr>
          <w:vertAlign w:val="superscript"/>
        </w:rPr>
        <w:t>th</w:t>
      </w:r>
      <w:r w:rsidR="00F402FC" w:rsidRPr="00BB5311">
        <w:t xml:space="preserve"> </w:t>
      </w:r>
      <w:r>
        <w:t>r</w:t>
      </w:r>
      <w:r w:rsidR="00FC61B7" w:rsidRPr="00BB5311">
        <w:t>espondents were</w:t>
      </w:r>
      <w:r w:rsidR="00447D85" w:rsidRPr="00BB5311">
        <w:t xml:space="preserve">, at the material time, </w:t>
      </w:r>
      <w:r w:rsidR="00FC61B7" w:rsidRPr="00BB5311">
        <w:t>in possession</w:t>
      </w:r>
      <w:r w:rsidR="00F402FC" w:rsidRPr="00BB5311">
        <w:t xml:space="preserve"> of various truc</w:t>
      </w:r>
      <w:r>
        <w:t>ks for the a</w:t>
      </w:r>
      <w:r w:rsidR="00F402FC" w:rsidRPr="00BB5311">
        <w:t>pplicant</w:t>
      </w:r>
      <w:r w:rsidR="00FC61B7" w:rsidRPr="00BB5311">
        <w:t>, a</w:t>
      </w:r>
      <w:r w:rsidR="00447D85" w:rsidRPr="00BB5311">
        <w:t xml:space="preserve"> point whic</w:t>
      </w:r>
      <w:r>
        <w:t>h is vehemently opposed by the r</w:t>
      </w:r>
      <w:r w:rsidR="00447D85" w:rsidRPr="00BB5311">
        <w:t>espondents who averred that</w:t>
      </w:r>
      <w:r>
        <w:t xml:space="preserve"> 103 trucks were parked at the a</w:t>
      </w:r>
      <w:r w:rsidR="00447D85" w:rsidRPr="00BB5311">
        <w:t xml:space="preserve">pplicant’s premises having </w:t>
      </w:r>
      <w:r w:rsidR="00AD15E7">
        <w:t xml:space="preserve">been </w:t>
      </w:r>
      <w:r w:rsidR="00447D85" w:rsidRPr="00BB5311">
        <w:lastRenderedPageBreak/>
        <w:t>forc</w:t>
      </w:r>
      <w:r w:rsidR="00344FC9" w:rsidRPr="00BB5311">
        <w:t xml:space="preserve">ibly </w:t>
      </w:r>
      <w:r>
        <w:t>taken from some of the r</w:t>
      </w:r>
      <w:r w:rsidR="00447D85" w:rsidRPr="00BB5311">
        <w:t>espondents</w:t>
      </w:r>
      <w:r w:rsidR="00F402FC" w:rsidRPr="00BB5311">
        <w:t>.</w:t>
      </w:r>
      <w:r w:rsidR="00B6383A" w:rsidRPr="00BB5311">
        <w:t xml:space="preserve"> </w:t>
      </w:r>
      <w:r w:rsidR="00482958" w:rsidRPr="00BB5311">
        <w:t xml:space="preserve"> The </w:t>
      </w:r>
      <w:r w:rsidR="00515023">
        <w:t>1</w:t>
      </w:r>
      <w:r w:rsidR="00515023" w:rsidRPr="00515023">
        <w:rPr>
          <w:vertAlign w:val="superscript"/>
        </w:rPr>
        <w:t>st</w:t>
      </w:r>
      <w:r w:rsidR="00515023">
        <w:t xml:space="preserve"> </w:t>
      </w:r>
      <w:r w:rsidR="00482958" w:rsidRPr="00BB5311">
        <w:t>up to 199</w:t>
      </w:r>
      <w:r w:rsidR="00482958" w:rsidRPr="00BB5311">
        <w:rPr>
          <w:vertAlign w:val="superscript"/>
        </w:rPr>
        <w:t>th</w:t>
      </w:r>
      <w:r w:rsidR="00482958" w:rsidRPr="00BB5311">
        <w:t xml:space="preserve"> Respondents </w:t>
      </w:r>
      <w:r w:rsidR="00D93811" w:rsidRPr="00BB5311">
        <w:t>embarked on an industrial action on 8 June 2022</w:t>
      </w:r>
      <w:r w:rsidR="00041B2B" w:rsidRPr="00BB5311">
        <w:t xml:space="preserve"> which was later held to be unlawful by the Minister of Public Service, Labour and Social Welfare</w:t>
      </w:r>
      <w:r w:rsidR="00AD15E7">
        <w:t xml:space="preserve"> (hereinafter </w:t>
      </w:r>
      <w:r w:rsidR="00084066">
        <w:t>called “</w:t>
      </w:r>
      <w:r w:rsidR="00AD15E7">
        <w:t>the Minister”</w:t>
      </w:r>
      <w:r w:rsidR="00084066">
        <w:t xml:space="preserve">) </w:t>
      </w:r>
      <w:r w:rsidR="00084066" w:rsidRPr="00BB5311">
        <w:t>on</w:t>
      </w:r>
      <w:r w:rsidR="00041B2B" w:rsidRPr="00BB5311">
        <w:t xml:space="preserve"> </w:t>
      </w:r>
      <w:r w:rsidR="00AD15E7">
        <w:t xml:space="preserve">or about </w:t>
      </w:r>
      <w:r w:rsidR="00084066">
        <w:t xml:space="preserve">22 </w:t>
      </w:r>
      <w:r w:rsidR="00084066" w:rsidRPr="00BB5311">
        <w:t>June</w:t>
      </w:r>
      <w:r>
        <w:t xml:space="preserve"> 2022 on the basis that the r</w:t>
      </w:r>
      <w:r w:rsidR="00041B2B" w:rsidRPr="00BB5311">
        <w:t xml:space="preserve">espondents did </w:t>
      </w:r>
      <w:r w:rsidR="00084066" w:rsidRPr="00BB5311">
        <w:t>not follow</w:t>
      </w:r>
      <w:r w:rsidR="00041B2B" w:rsidRPr="00BB5311">
        <w:t xml:space="preserve"> the procedure set out in </w:t>
      </w:r>
      <w:r>
        <w:t>s</w:t>
      </w:r>
      <w:r w:rsidR="00041B2B" w:rsidRPr="00BB5311">
        <w:t xml:space="preserve"> 104 of the Labour Act [</w:t>
      </w:r>
      <w:r w:rsidR="00041B2B" w:rsidRPr="00BB5311">
        <w:rPr>
          <w:i/>
        </w:rPr>
        <w:t>Chapter 28</w:t>
      </w:r>
      <w:r w:rsidR="00041B2B" w:rsidRPr="00C94797">
        <w:t>:</w:t>
      </w:r>
      <w:r w:rsidR="00041B2B" w:rsidRPr="00BB5311">
        <w:rPr>
          <w:i/>
        </w:rPr>
        <w:t>01</w:t>
      </w:r>
      <w:r w:rsidR="00041B2B" w:rsidRPr="00BB5311">
        <w:t>]</w:t>
      </w:r>
      <w:r w:rsidR="00AD15E7">
        <w:t xml:space="preserve"> (hereinafter called “the Labour Act”)</w:t>
      </w:r>
      <w:r w:rsidR="00041B2B" w:rsidRPr="00BB5311">
        <w:t>.</w:t>
      </w:r>
      <w:r w:rsidR="00067343" w:rsidRPr="00BB5311">
        <w:t xml:space="preserve"> The </w:t>
      </w:r>
      <w:r>
        <w:t>a</w:t>
      </w:r>
      <w:r w:rsidR="00067343" w:rsidRPr="00BB5311">
        <w:t xml:space="preserve">pplicant, on 5 July 2022, applied before the Labour Court for </w:t>
      </w:r>
      <w:r w:rsidR="00AD15E7">
        <w:t xml:space="preserve">the </w:t>
      </w:r>
      <w:r w:rsidR="00515023">
        <w:t>disposal order in terms of s</w:t>
      </w:r>
      <w:r w:rsidR="00067343" w:rsidRPr="00BB5311">
        <w:t xml:space="preserve"> 107 of the Labour Act.</w:t>
      </w:r>
      <w:r w:rsidR="004258B6" w:rsidRPr="00BB5311">
        <w:t xml:space="preserve"> </w:t>
      </w:r>
      <w:r w:rsidR="001E5FC1">
        <w:t>On 29 July 2022, the Labour Court</w:t>
      </w:r>
      <w:r w:rsidR="003B0232">
        <w:t>, in its determination of the disposal order</w:t>
      </w:r>
      <w:r w:rsidR="00084066">
        <w:t>, ruled</w:t>
      </w:r>
      <w:r w:rsidR="00A85018">
        <w:t xml:space="preserve"> that the 1</w:t>
      </w:r>
      <w:r w:rsidR="00A85018" w:rsidRPr="00A85018">
        <w:rPr>
          <w:vertAlign w:val="superscript"/>
        </w:rPr>
        <w:t>st</w:t>
      </w:r>
      <w:r w:rsidR="00A85018">
        <w:t>-199</w:t>
      </w:r>
      <w:r w:rsidR="00A85018" w:rsidRPr="00A85018">
        <w:rPr>
          <w:vertAlign w:val="superscript"/>
        </w:rPr>
        <w:t>th</w:t>
      </w:r>
      <w:r w:rsidR="00A85018">
        <w:t xml:space="preserve"> </w:t>
      </w:r>
      <w:r w:rsidR="00515023">
        <w:t>r</w:t>
      </w:r>
      <w:r w:rsidR="00084066">
        <w:t>espondents should</w:t>
      </w:r>
      <w:r w:rsidR="00B246C8">
        <w:t xml:space="preserve"> terminate the industrial action within seventy-two hours failing which the </w:t>
      </w:r>
      <w:r w:rsidR="00515023">
        <w:t>a</w:t>
      </w:r>
      <w:r w:rsidR="00B246C8">
        <w:t xml:space="preserve">pplicant may institute disciplinary action </w:t>
      </w:r>
      <w:r w:rsidR="003B0232">
        <w:t xml:space="preserve">against </w:t>
      </w:r>
      <w:r w:rsidR="00B246C8">
        <w:t xml:space="preserve">any individual who </w:t>
      </w:r>
      <w:r w:rsidR="00084066">
        <w:t>refuses to</w:t>
      </w:r>
      <w:r w:rsidR="00B246C8">
        <w:t xml:space="preserve"> c</w:t>
      </w:r>
      <w:r w:rsidR="003B0232">
        <w:t>o</w:t>
      </w:r>
      <w:r w:rsidR="002C3E0B">
        <w:t>mply with the order</w:t>
      </w:r>
      <w:r w:rsidR="004258B6" w:rsidRPr="00BB5311">
        <w:t>.</w:t>
      </w:r>
    </w:p>
    <w:p w:rsidR="007A3C95" w:rsidRPr="00BB5311" w:rsidRDefault="00515023" w:rsidP="00E36C94">
      <w:pPr>
        <w:spacing w:line="360" w:lineRule="auto"/>
        <w:jc w:val="both"/>
      </w:pPr>
      <w:r>
        <w:tab/>
        <w:t>The a</w:t>
      </w:r>
      <w:r w:rsidR="007A3C95" w:rsidRPr="00BB5311">
        <w:t xml:space="preserve">pplicant </w:t>
      </w:r>
      <w:r w:rsidR="00AD15E7">
        <w:t xml:space="preserve">alleged that </w:t>
      </w:r>
      <w:r w:rsidR="00AD15E7" w:rsidRPr="00BB5311">
        <w:t xml:space="preserve">it enjoyed peaceful and undisturbed possession of the trucks and trailers </w:t>
      </w:r>
      <w:r w:rsidR="00AD15E7">
        <w:t xml:space="preserve">and consequently </w:t>
      </w:r>
      <w:r w:rsidR="001B0F90">
        <w:t xml:space="preserve">moved the court to </w:t>
      </w:r>
      <w:r>
        <w:t>grant the</w:t>
      </w:r>
      <w:r w:rsidR="002C4A92">
        <w:t xml:space="preserve"> present application for the return of the motor vehicles</w:t>
      </w:r>
      <w:r w:rsidR="006B7C97" w:rsidRPr="00BB5311">
        <w:t xml:space="preserve">. </w:t>
      </w:r>
      <w:r w:rsidR="00FC61B7" w:rsidRPr="00BB5311">
        <w:t xml:space="preserve">The </w:t>
      </w:r>
      <w:r>
        <w:t>a</w:t>
      </w:r>
      <w:r w:rsidR="00FC61B7" w:rsidRPr="00BB5311">
        <w:t>pplicant</w:t>
      </w:r>
      <w:r w:rsidR="00D127DA" w:rsidRPr="00BB5311">
        <w:t xml:space="preserve"> further alleged that the 1</w:t>
      </w:r>
      <w:r w:rsidR="00D127DA" w:rsidRPr="00BB5311">
        <w:rPr>
          <w:vertAlign w:val="superscript"/>
        </w:rPr>
        <w:t>st</w:t>
      </w:r>
      <w:r w:rsidR="00D127DA" w:rsidRPr="00BB5311">
        <w:t xml:space="preserve"> up to 199</w:t>
      </w:r>
      <w:r w:rsidR="00D127DA" w:rsidRPr="00BB5311">
        <w:rPr>
          <w:vertAlign w:val="superscript"/>
        </w:rPr>
        <w:t>th</w:t>
      </w:r>
      <w:r w:rsidR="00D127DA" w:rsidRPr="00BB5311">
        <w:t xml:space="preserve"> Respondents have repudiated their employment contracts by continuing with the unlawful industrial action.</w:t>
      </w:r>
      <w:r w:rsidR="00AD06B1" w:rsidRPr="00BB5311">
        <w:t xml:space="preserve"> The </w:t>
      </w:r>
      <w:r w:rsidR="00E15242">
        <w:t>a</w:t>
      </w:r>
      <w:r w:rsidR="00AD06B1" w:rsidRPr="00BB5311">
        <w:t xml:space="preserve">pplicant further affirmed that the </w:t>
      </w:r>
      <w:r w:rsidR="00E15242">
        <w:t>r</w:t>
      </w:r>
      <w:r w:rsidR="00AD06B1" w:rsidRPr="00BB5311">
        <w:t>espondents have failed to return its property</w:t>
      </w:r>
      <w:r w:rsidR="001E3056" w:rsidRPr="00BB5311">
        <w:t xml:space="preserve"> which exposes the </w:t>
      </w:r>
      <w:r w:rsidR="00E15242">
        <w:t>a</w:t>
      </w:r>
      <w:r w:rsidR="001E3056" w:rsidRPr="00BB5311">
        <w:t>pplicant to financial loss</w:t>
      </w:r>
      <w:r w:rsidR="00C16678" w:rsidRPr="00BB5311">
        <w:t>.</w:t>
      </w:r>
      <w:r w:rsidR="006B6D84" w:rsidRPr="00BB5311">
        <w:t xml:space="preserve"> </w:t>
      </w:r>
      <w:r w:rsidR="006A6F8A" w:rsidRPr="00BB5311">
        <w:t xml:space="preserve"> The </w:t>
      </w:r>
      <w:r w:rsidR="00E15242">
        <w:t>a</w:t>
      </w:r>
      <w:r w:rsidR="006A6F8A" w:rsidRPr="00BB5311">
        <w:t xml:space="preserve">pplicant, alternatively, prayed for </w:t>
      </w:r>
      <w:r w:rsidR="00A324D2">
        <w:t xml:space="preserve">the return of the property based on the </w:t>
      </w:r>
      <w:r w:rsidR="006A6F8A" w:rsidRPr="00BB5311">
        <w:t xml:space="preserve">vindicatory </w:t>
      </w:r>
      <w:r w:rsidR="00FC61B7" w:rsidRPr="00BB5311">
        <w:t>action on</w:t>
      </w:r>
      <w:r w:rsidR="00E73EA8" w:rsidRPr="00BB5311">
        <w:t xml:space="preserve"> the basis that it owns the trucks and trailers.</w:t>
      </w:r>
      <w:r w:rsidR="002C05C9" w:rsidRPr="00BB5311">
        <w:t xml:space="preserve"> </w:t>
      </w:r>
      <w:r w:rsidR="003C56DB" w:rsidRPr="00BB5311">
        <w:t xml:space="preserve">According to the </w:t>
      </w:r>
      <w:r w:rsidR="00E15242">
        <w:t>applicant, the 1</w:t>
      </w:r>
      <w:r w:rsidR="00E15242" w:rsidRPr="00E15242">
        <w:rPr>
          <w:vertAlign w:val="superscript"/>
        </w:rPr>
        <w:t>st</w:t>
      </w:r>
      <w:r w:rsidR="00E15242">
        <w:t xml:space="preserve"> up to 199</w:t>
      </w:r>
      <w:r w:rsidR="00E15242" w:rsidRPr="00E15242">
        <w:rPr>
          <w:vertAlign w:val="superscript"/>
        </w:rPr>
        <w:t>th</w:t>
      </w:r>
      <w:r w:rsidR="00E15242">
        <w:t xml:space="preserve"> r</w:t>
      </w:r>
      <w:r w:rsidR="003C56DB" w:rsidRPr="00BB5311">
        <w:t xml:space="preserve">espondents are no longer </w:t>
      </w:r>
      <w:r w:rsidR="00E15242" w:rsidRPr="00BB5311">
        <w:t>taking instructions</w:t>
      </w:r>
      <w:r w:rsidR="003C56DB" w:rsidRPr="00BB5311">
        <w:t xml:space="preserve"> from it, as the employer but they are now influenced by the 200</w:t>
      </w:r>
      <w:r w:rsidR="00E15242" w:rsidRPr="00E15242">
        <w:rPr>
          <w:vertAlign w:val="superscript"/>
        </w:rPr>
        <w:t>th</w:t>
      </w:r>
      <w:r w:rsidR="00E15242">
        <w:t xml:space="preserve"> r</w:t>
      </w:r>
      <w:r w:rsidR="003C56DB" w:rsidRPr="00BB5311">
        <w:t xml:space="preserve">espondent which has resulted in serious financial loss for the </w:t>
      </w:r>
      <w:r w:rsidR="00E15242">
        <w:t>a</w:t>
      </w:r>
      <w:r w:rsidR="003C56DB" w:rsidRPr="00BB5311">
        <w:t>pplicant.</w:t>
      </w:r>
    </w:p>
    <w:p w:rsidR="003A04BC" w:rsidRPr="00BB5311" w:rsidRDefault="00E15242" w:rsidP="00E36C94">
      <w:pPr>
        <w:spacing w:line="360" w:lineRule="auto"/>
        <w:jc w:val="both"/>
      </w:pPr>
      <w:r>
        <w:tab/>
      </w:r>
      <w:r w:rsidR="003A04BC" w:rsidRPr="00BB5311">
        <w:t xml:space="preserve">At the hearing of the matter, both parties raised points </w:t>
      </w:r>
      <w:r w:rsidR="003A04BC" w:rsidRPr="00BB5311">
        <w:rPr>
          <w:i/>
        </w:rPr>
        <w:t>in limine.</w:t>
      </w:r>
      <w:r w:rsidR="00114D1C" w:rsidRPr="00BB5311">
        <w:rPr>
          <w:i/>
        </w:rPr>
        <w:t xml:space="preserve"> </w:t>
      </w:r>
      <w:r>
        <w:t>The a</w:t>
      </w:r>
      <w:r w:rsidR="00114D1C" w:rsidRPr="00BB5311">
        <w:t>pplicant raised the point</w:t>
      </w:r>
      <w:r w:rsidR="00114D1C" w:rsidRPr="00BB5311">
        <w:rPr>
          <w:i/>
        </w:rPr>
        <w:t xml:space="preserve"> in limine</w:t>
      </w:r>
      <w:r w:rsidR="00114D1C" w:rsidRPr="00BB5311">
        <w:rPr>
          <w:vertAlign w:val="superscript"/>
        </w:rPr>
        <w:t xml:space="preserve"> </w:t>
      </w:r>
      <w:r w:rsidR="00114D1C" w:rsidRPr="00BB5311">
        <w:t xml:space="preserve">to the effect that the opposing affidavit filed on behalf of the </w:t>
      </w:r>
      <w:r w:rsidR="00120C4D" w:rsidRPr="00BB5311">
        <w:t>1</w:t>
      </w:r>
      <w:r w:rsidR="00120C4D" w:rsidRPr="00BB5311">
        <w:rPr>
          <w:vertAlign w:val="superscript"/>
        </w:rPr>
        <w:t>st</w:t>
      </w:r>
      <w:r w:rsidR="00A03A56">
        <w:t xml:space="preserve"> to </w:t>
      </w:r>
      <w:r w:rsidR="00120C4D" w:rsidRPr="00BB5311">
        <w:t>199</w:t>
      </w:r>
      <w:r w:rsidR="00120C4D" w:rsidRPr="00BB5311">
        <w:rPr>
          <w:vertAlign w:val="superscript"/>
        </w:rPr>
        <w:t>th</w:t>
      </w:r>
      <w:r w:rsidR="00120C4D" w:rsidRPr="00BB5311">
        <w:t xml:space="preserve"> </w:t>
      </w:r>
      <w:r w:rsidR="00A03A56">
        <w:t>r</w:t>
      </w:r>
      <w:r w:rsidR="00120C4D" w:rsidRPr="00BB5311">
        <w:t xml:space="preserve">espondents is improperly before the court on the basis that the Workers Committee </w:t>
      </w:r>
      <w:r w:rsidR="005F0ABE">
        <w:t xml:space="preserve">which authorized the deponent of the Opposing Affidavit, by way of a resolution, to represent the </w:t>
      </w:r>
      <w:r w:rsidR="005F0ABE" w:rsidRPr="00A03A56">
        <w:t>1</w:t>
      </w:r>
      <w:r w:rsidR="005F0ABE" w:rsidRPr="00A03A56">
        <w:rPr>
          <w:vertAlign w:val="superscript"/>
        </w:rPr>
        <w:t>st</w:t>
      </w:r>
      <w:r w:rsidR="00A03A56">
        <w:t xml:space="preserve"> to </w:t>
      </w:r>
      <w:r w:rsidR="005F0ABE" w:rsidRPr="00A03A56">
        <w:t>199</w:t>
      </w:r>
      <w:r w:rsidR="005F0ABE" w:rsidRPr="00A03A56">
        <w:rPr>
          <w:vertAlign w:val="superscript"/>
        </w:rPr>
        <w:t>th</w:t>
      </w:r>
      <w:r w:rsidR="00A03A56">
        <w:t xml:space="preserve"> r</w:t>
      </w:r>
      <w:r w:rsidR="005F0ABE">
        <w:t xml:space="preserve">espondents </w:t>
      </w:r>
      <w:r w:rsidR="00FC61B7" w:rsidRPr="00BB5311">
        <w:t>has</w:t>
      </w:r>
      <w:r w:rsidR="00315C68" w:rsidRPr="00BB5311">
        <w:t xml:space="preserve"> no capacity to represent 1</w:t>
      </w:r>
      <w:r w:rsidR="00315C68" w:rsidRPr="00BB5311">
        <w:rPr>
          <w:vertAlign w:val="superscript"/>
        </w:rPr>
        <w:t>st</w:t>
      </w:r>
      <w:r w:rsidR="00A03A56">
        <w:t xml:space="preserve"> to </w:t>
      </w:r>
      <w:r w:rsidR="00315C68" w:rsidRPr="00BB5311">
        <w:t>199</w:t>
      </w:r>
      <w:r w:rsidR="00315C68" w:rsidRPr="00BB5311">
        <w:rPr>
          <w:vertAlign w:val="superscript"/>
        </w:rPr>
        <w:t>th</w:t>
      </w:r>
      <w:r w:rsidR="00315C68" w:rsidRPr="00BB5311">
        <w:t xml:space="preserve"> </w:t>
      </w:r>
      <w:r w:rsidR="00A03A56">
        <w:t>r</w:t>
      </w:r>
      <w:r w:rsidR="004004BC" w:rsidRPr="00BB5311">
        <w:t>espondents. The Oppo</w:t>
      </w:r>
      <w:r w:rsidR="00A03A56">
        <w:t>sing Affidavit deposed to by Mr</w:t>
      </w:r>
      <w:r w:rsidR="004004BC" w:rsidRPr="00BB5311">
        <w:t xml:space="preserve"> Mandizha, who is the Chairperson of </w:t>
      </w:r>
      <w:r w:rsidR="00FC61B7" w:rsidRPr="00BB5311">
        <w:t>the Workers</w:t>
      </w:r>
      <w:r w:rsidR="008F3932" w:rsidRPr="00BB5311">
        <w:t xml:space="preserve"> Committee is out </w:t>
      </w:r>
      <w:r w:rsidR="005F0ABE">
        <w:t xml:space="preserve">of </w:t>
      </w:r>
      <w:r w:rsidR="008F3932" w:rsidRPr="00BB5311">
        <w:t xml:space="preserve">order, according to the </w:t>
      </w:r>
      <w:r w:rsidR="00A03A56">
        <w:t>a</w:t>
      </w:r>
      <w:r w:rsidR="008F3932" w:rsidRPr="00BB5311">
        <w:t>pplicant</w:t>
      </w:r>
      <w:r w:rsidR="00E77910" w:rsidRPr="00BB5311">
        <w:t xml:space="preserve">’s counsel, Adv </w:t>
      </w:r>
      <w:r w:rsidR="00E77910" w:rsidRPr="00A03A56">
        <w:rPr>
          <w:i/>
        </w:rPr>
        <w:t>Magwaliba</w:t>
      </w:r>
      <w:r w:rsidR="008F3932" w:rsidRPr="00BB5311">
        <w:t>.</w:t>
      </w:r>
      <w:r w:rsidR="000D46A7" w:rsidRPr="00BB5311">
        <w:t xml:space="preserve">  </w:t>
      </w:r>
      <w:r w:rsidR="005F0ABE">
        <w:t xml:space="preserve">He </w:t>
      </w:r>
      <w:r w:rsidR="000D46A7" w:rsidRPr="00BB5311">
        <w:t xml:space="preserve">further submitted </w:t>
      </w:r>
      <w:r w:rsidR="00FC61B7" w:rsidRPr="00BB5311">
        <w:t xml:space="preserve">that </w:t>
      </w:r>
      <w:r w:rsidR="00A03A56">
        <w:t xml:space="preserve">Mr </w:t>
      </w:r>
      <w:r w:rsidR="005F0ABE">
        <w:t xml:space="preserve">Mandizha </w:t>
      </w:r>
      <w:r w:rsidR="00FC61B7" w:rsidRPr="00BB5311">
        <w:t>did</w:t>
      </w:r>
      <w:r w:rsidR="003A4527" w:rsidRPr="00BB5311">
        <w:t xml:space="preserve"> indicate that he was authorized by the Workers </w:t>
      </w:r>
      <w:r w:rsidR="00FC61B7" w:rsidRPr="00BB5311">
        <w:t xml:space="preserve">Committee </w:t>
      </w:r>
      <w:r w:rsidR="00A03A56" w:rsidRPr="00BB5311">
        <w:t>to represent</w:t>
      </w:r>
      <w:r w:rsidR="00A03A56">
        <w:t xml:space="preserve"> the other r</w:t>
      </w:r>
      <w:r w:rsidR="003A4527" w:rsidRPr="00BB5311">
        <w:t xml:space="preserve">espondents. On this basis alone, </w:t>
      </w:r>
      <w:r w:rsidR="00A03A56">
        <w:t>the a</w:t>
      </w:r>
      <w:r w:rsidR="00FC61B7" w:rsidRPr="00BB5311">
        <w:t>pplicant’s</w:t>
      </w:r>
      <w:r w:rsidR="003A4527" w:rsidRPr="00BB5311">
        <w:t xml:space="preserve"> counsel maintained </w:t>
      </w:r>
      <w:r w:rsidR="00FC61B7" w:rsidRPr="00BB5311">
        <w:t xml:space="preserve">that </w:t>
      </w:r>
      <w:r w:rsidR="005F0ABE">
        <w:t xml:space="preserve">the </w:t>
      </w:r>
      <w:r w:rsidR="00FC61B7" w:rsidRPr="00BB5311">
        <w:t>Opposing</w:t>
      </w:r>
      <w:r w:rsidR="003A4527" w:rsidRPr="00BB5311">
        <w:t xml:space="preserve"> Affidavit is made fatal</w:t>
      </w:r>
      <w:r w:rsidR="00A03A56">
        <w:t>ly defective. According to the a</w:t>
      </w:r>
      <w:r w:rsidR="003A4527" w:rsidRPr="00BB5311">
        <w:t xml:space="preserve">pplicant’s counsel, </w:t>
      </w:r>
      <w:r w:rsidR="00A03A56">
        <w:t>Mr</w:t>
      </w:r>
      <w:r w:rsidR="00721946">
        <w:t xml:space="preserve"> Mandizha </w:t>
      </w:r>
      <w:r w:rsidR="003A4527" w:rsidRPr="00BB5311">
        <w:t xml:space="preserve">did not make oath on his own behalf nor did he aver that he was authorized by the </w:t>
      </w:r>
      <w:r w:rsidR="00A03A56" w:rsidRPr="00BB5311">
        <w:t>1</w:t>
      </w:r>
      <w:r w:rsidR="00A03A56" w:rsidRPr="00BB5311">
        <w:rPr>
          <w:vertAlign w:val="superscript"/>
        </w:rPr>
        <w:t>st</w:t>
      </w:r>
      <w:r w:rsidR="00A03A56">
        <w:t xml:space="preserve"> to </w:t>
      </w:r>
      <w:r w:rsidR="00A03A56" w:rsidRPr="00BB5311">
        <w:t>199</w:t>
      </w:r>
      <w:r w:rsidR="00A03A56" w:rsidRPr="00BB5311">
        <w:rPr>
          <w:vertAlign w:val="superscript"/>
        </w:rPr>
        <w:t>th</w:t>
      </w:r>
      <w:r w:rsidR="00A03A56" w:rsidRPr="00BB5311">
        <w:t xml:space="preserve"> </w:t>
      </w:r>
      <w:r w:rsidR="00A03A56">
        <w:t>r</w:t>
      </w:r>
      <w:r w:rsidR="003A4527" w:rsidRPr="00BB5311">
        <w:t>espondents.</w:t>
      </w:r>
      <w:r w:rsidR="00D5350B" w:rsidRPr="00BB5311">
        <w:t xml:space="preserve"> </w:t>
      </w:r>
      <w:r w:rsidR="00A03A56">
        <w:t xml:space="preserve"> </w:t>
      </w:r>
      <w:r w:rsidR="00D5350B" w:rsidRPr="00BB5311">
        <w:t xml:space="preserve">Adv </w:t>
      </w:r>
      <w:r w:rsidR="00D5350B" w:rsidRPr="00A03A56">
        <w:rPr>
          <w:i/>
        </w:rPr>
        <w:t>Magwaliba</w:t>
      </w:r>
      <w:r w:rsidR="00D5350B" w:rsidRPr="00BB5311">
        <w:t xml:space="preserve"> relied </w:t>
      </w:r>
      <w:r w:rsidR="00EE35BC" w:rsidRPr="00BB5311">
        <w:t xml:space="preserve">on the case of </w:t>
      </w:r>
      <w:r w:rsidR="00EE35BC" w:rsidRPr="00A03A56">
        <w:rPr>
          <w:i/>
        </w:rPr>
        <w:t xml:space="preserve">Gweru </w:t>
      </w:r>
      <w:r w:rsidR="009A6EFA" w:rsidRPr="00A03A56">
        <w:rPr>
          <w:i/>
        </w:rPr>
        <w:t xml:space="preserve">Water </w:t>
      </w:r>
      <w:r w:rsidR="00EE35BC" w:rsidRPr="00A03A56">
        <w:rPr>
          <w:i/>
        </w:rPr>
        <w:t xml:space="preserve">Workers Committee </w:t>
      </w:r>
      <w:r w:rsidR="00EE35BC" w:rsidRPr="00A03A56">
        <w:t>v</w:t>
      </w:r>
      <w:r w:rsidR="00EE35BC" w:rsidRPr="00A03A56">
        <w:rPr>
          <w:i/>
        </w:rPr>
        <w:t xml:space="preserve"> City</w:t>
      </w:r>
      <w:r w:rsidR="00EE35BC" w:rsidRPr="00BB5311">
        <w:t xml:space="preserve"> </w:t>
      </w:r>
      <w:r w:rsidR="00EE35BC" w:rsidRPr="00A03A56">
        <w:rPr>
          <w:i/>
        </w:rPr>
        <w:t xml:space="preserve">of </w:t>
      </w:r>
      <w:r w:rsidR="00EE35BC" w:rsidRPr="00A03A56">
        <w:rPr>
          <w:i/>
        </w:rPr>
        <w:lastRenderedPageBreak/>
        <w:t>Gweru</w:t>
      </w:r>
      <w:r w:rsidR="00EE35BC" w:rsidRPr="00BB5311">
        <w:rPr>
          <w:rStyle w:val="FootnoteReference"/>
        </w:rPr>
        <w:footnoteReference w:id="1"/>
      </w:r>
      <w:r w:rsidR="00EE35BC" w:rsidRPr="00BB5311">
        <w:t>.</w:t>
      </w:r>
      <w:r w:rsidR="00A04539" w:rsidRPr="00BB5311">
        <w:t xml:space="preserve"> Adv </w:t>
      </w:r>
      <w:r w:rsidR="00A04539" w:rsidRPr="00A03A56">
        <w:rPr>
          <w:i/>
        </w:rPr>
        <w:t>Magwaliba</w:t>
      </w:r>
      <w:r w:rsidR="00A04539" w:rsidRPr="00BB5311">
        <w:t xml:space="preserve"> motivated the court to regard the matter as unopposed as the </w:t>
      </w:r>
      <w:r w:rsidR="00FC61B7" w:rsidRPr="00BB5311">
        <w:t>Opposing Affidavit</w:t>
      </w:r>
      <w:r w:rsidR="00A04539" w:rsidRPr="00BB5311">
        <w:t xml:space="preserve"> is improperly before the court.</w:t>
      </w:r>
    </w:p>
    <w:p w:rsidR="00AC128B" w:rsidRPr="00BB5311" w:rsidRDefault="00A03A56" w:rsidP="00E36C94">
      <w:pPr>
        <w:spacing w:line="360" w:lineRule="auto"/>
        <w:jc w:val="both"/>
        <w:rPr>
          <w:i/>
        </w:rPr>
      </w:pPr>
      <w:r>
        <w:tab/>
      </w:r>
      <w:r w:rsidR="00710B73" w:rsidRPr="00BB5311">
        <w:t xml:space="preserve">This was opposed by the </w:t>
      </w:r>
      <w:r>
        <w:t>r</w:t>
      </w:r>
      <w:r w:rsidR="00710B73" w:rsidRPr="00BB5311">
        <w:t xml:space="preserve">espondents. Mr </w:t>
      </w:r>
      <w:r w:rsidR="00710B73" w:rsidRPr="00A03A56">
        <w:rPr>
          <w:i/>
        </w:rPr>
        <w:t>Shava</w:t>
      </w:r>
      <w:r>
        <w:t>, on behalf of the r</w:t>
      </w:r>
      <w:r w:rsidR="00710B73" w:rsidRPr="00BB5311">
        <w:t xml:space="preserve">espondents, submitted </w:t>
      </w:r>
      <w:r w:rsidR="00FC61B7" w:rsidRPr="00BB5311">
        <w:t>that there</w:t>
      </w:r>
      <w:r w:rsidR="00951A77" w:rsidRPr="00BB5311">
        <w:t xml:space="preserve"> was an agre</w:t>
      </w:r>
      <w:r>
        <w:t>ement with the counsel for the applicant that one of the r</w:t>
      </w:r>
      <w:r w:rsidR="00951A77" w:rsidRPr="00BB5311">
        <w:t xml:space="preserve">espondents would depose onto the Opposing Affidavit on behalf of the rest of the </w:t>
      </w:r>
      <w:r>
        <w:t>r</w:t>
      </w:r>
      <w:r w:rsidR="00951A77" w:rsidRPr="00BB5311">
        <w:t>espondents having realized the impossibility of</w:t>
      </w:r>
      <w:r>
        <w:t xml:space="preserve"> having every r</w:t>
      </w:r>
      <w:r w:rsidR="00D65400" w:rsidRPr="00BB5311">
        <w:t>espondent signing an affidavit given the urgency of the matter.</w:t>
      </w:r>
      <w:r>
        <w:t xml:space="preserve"> Mr</w:t>
      </w:r>
      <w:r w:rsidR="00721D76" w:rsidRPr="00BB5311">
        <w:t xml:space="preserve"> </w:t>
      </w:r>
      <w:r w:rsidR="00721D76" w:rsidRPr="00A03A56">
        <w:rPr>
          <w:i/>
        </w:rPr>
        <w:t>Shava</w:t>
      </w:r>
      <w:r w:rsidR="00721D76" w:rsidRPr="00BB5311">
        <w:t xml:space="preserve"> further submitted that</w:t>
      </w:r>
      <w:r w:rsidR="005F34ED" w:rsidRPr="00BB5311">
        <w:t xml:space="preserve"> the </w:t>
      </w:r>
      <w:r w:rsidR="005F34ED" w:rsidRPr="00BB5311">
        <w:rPr>
          <w:i/>
        </w:rPr>
        <w:t xml:space="preserve">locus </w:t>
      </w:r>
      <w:r w:rsidR="00FC61B7" w:rsidRPr="00BB5311">
        <w:rPr>
          <w:i/>
        </w:rPr>
        <w:t xml:space="preserve">standi </w:t>
      </w:r>
      <w:r w:rsidR="00FC61B7" w:rsidRPr="00BB5311">
        <w:t>of</w:t>
      </w:r>
      <w:r w:rsidR="00DC3D00" w:rsidRPr="00BB5311">
        <w:t xml:space="preserve"> the Workers Committee </w:t>
      </w:r>
      <w:r w:rsidR="005F34ED" w:rsidRPr="00BB5311">
        <w:t>was improperly raised as the Workers Committee is not suing or being sued</w:t>
      </w:r>
      <w:r w:rsidR="00DC3D00" w:rsidRPr="00BB5311">
        <w:t xml:space="preserve"> in the present application</w:t>
      </w:r>
      <w:r w:rsidR="005F34ED" w:rsidRPr="00BB5311">
        <w:t>.</w:t>
      </w:r>
      <w:r w:rsidR="00750783" w:rsidRPr="00BB5311">
        <w:t xml:space="preserve"> </w:t>
      </w:r>
      <w:r w:rsidR="006537D9" w:rsidRPr="00BB5311">
        <w:t xml:space="preserve">He urged the court to dismiss the point </w:t>
      </w:r>
      <w:r w:rsidR="006537D9" w:rsidRPr="00BB5311">
        <w:rPr>
          <w:i/>
        </w:rPr>
        <w:t>in limine.</w:t>
      </w:r>
    </w:p>
    <w:p w:rsidR="00AE74CE" w:rsidRPr="00BB5311" w:rsidRDefault="00A03A56" w:rsidP="00E36C94">
      <w:pPr>
        <w:spacing w:line="360" w:lineRule="auto"/>
        <w:jc w:val="both"/>
      </w:pPr>
      <w:r>
        <w:tab/>
      </w:r>
      <w:r w:rsidR="00FC61B7" w:rsidRPr="00BB5311">
        <w:t xml:space="preserve">The </w:t>
      </w:r>
      <w:r>
        <w:t>r</w:t>
      </w:r>
      <w:r w:rsidR="00FC61B7" w:rsidRPr="00BB5311">
        <w:t>espondents</w:t>
      </w:r>
      <w:r w:rsidR="00770F76" w:rsidRPr="00BB5311">
        <w:t xml:space="preserve"> raised a point </w:t>
      </w:r>
      <w:r w:rsidR="00770F76" w:rsidRPr="00BB5311">
        <w:rPr>
          <w:i/>
        </w:rPr>
        <w:t>in limine</w:t>
      </w:r>
      <w:r w:rsidR="00770F76" w:rsidRPr="00BB5311">
        <w:t xml:space="preserve"> of urgency.</w:t>
      </w:r>
      <w:r>
        <w:t xml:space="preserve"> </w:t>
      </w:r>
      <w:r w:rsidR="00183234">
        <w:t xml:space="preserve"> </w:t>
      </w:r>
      <w:r>
        <w:t>Mr</w:t>
      </w:r>
      <w:r w:rsidR="001A1CDE" w:rsidRPr="00BB5311">
        <w:t xml:space="preserve">  </w:t>
      </w:r>
      <w:r w:rsidR="001A1CDE" w:rsidRPr="00A03A56">
        <w:rPr>
          <w:i/>
        </w:rPr>
        <w:t>Shava</w:t>
      </w:r>
      <w:r w:rsidR="001A1CDE" w:rsidRPr="00BB5311">
        <w:t xml:space="preserve"> submitted that the matter is not urgent as it was brought before the court many days</w:t>
      </w:r>
      <w:r w:rsidR="009B48F7" w:rsidRPr="00BB5311">
        <w:t xml:space="preserve"> after the need to act had arisen.</w:t>
      </w:r>
      <w:r w:rsidR="007458CB" w:rsidRPr="00BB5311">
        <w:t xml:space="preserve"> </w:t>
      </w:r>
      <w:r>
        <w:t xml:space="preserve"> </w:t>
      </w:r>
      <w:r w:rsidR="007458CB" w:rsidRPr="00BB5311">
        <w:t xml:space="preserve">According to the </w:t>
      </w:r>
      <w:r>
        <w:t>r</w:t>
      </w:r>
      <w:r w:rsidR="007458CB" w:rsidRPr="00BB5311">
        <w:t xml:space="preserve">espondents, the need to act arose on 8 June 2022 when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7458CB" w:rsidRPr="00BB5311">
        <w:t>espondents embarked on an industrial action.</w:t>
      </w:r>
      <w:r w:rsidR="00270F26" w:rsidRPr="00BB5311">
        <w:t xml:space="preserve"> From this date</w:t>
      </w:r>
      <w:r w:rsidR="00FC61B7" w:rsidRPr="00BB5311">
        <w:t>, the</w:t>
      </w:r>
      <w:r w:rsidR="009D4565" w:rsidRPr="00BB5311">
        <w:t xml:space="preserve"> </w:t>
      </w:r>
      <w:r>
        <w:t>a</w:t>
      </w:r>
      <w:r w:rsidR="00FC61B7" w:rsidRPr="00BB5311">
        <w:t>pplicant was</w:t>
      </w:r>
      <w:r w:rsidR="009D4565" w:rsidRPr="00BB5311">
        <w:t xml:space="preserve"> supposed to have swiftly approached this court and not to wait for numerous days before filing this application.</w:t>
      </w:r>
      <w:r w:rsidR="001678FE" w:rsidRPr="00BB5311">
        <w:t xml:space="preserve"> Mr</w:t>
      </w:r>
      <w:r>
        <w:t xml:space="preserve"> </w:t>
      </w:r>
      <w:r w:rsidR="001678FE" w:rsidRPr="00A03A56">
        <w:rPr>
          <w:i/>
        </w:rPr>
        <w:t>Shava</w:t>
      </w:r>
      <w:r w:rsidR="001678FE" w:rsidRPr="00BB5311">
        <w:t xml:space="preserve"> also submitted that it was clear to the </w:t>
      </w:r>
      <w:r>
        <w:t>a</w:t>
      </w:r>
      <w:r w:rsidR="001678FE" w:rsidRPr="00BB5311">
        <w:t>pp</w:t>
      </w:r>
      <w:r w:rsidR="00721946">
        <w:t>licant that the Labour Court has</w:t>
      </w:r>
      <w:r w:rsidR="001678FE" w:rsidRPr="00BB5311">
        <w:t xml:space="preserve"> no jurisdiction to determine the dispute of this nature. </w:t>
      </w:r>
      <w:r>
        <w:t>Mr</w:t>
      </w:r>
      <w:r w:rsidR="008D41D6" w:rsidRPr="00BB5311">
        <w:t xml:space="preserve"> </w:t>
      </w:r>
      <w:r w:rsidR="008D41D6" w:rsidRPr="00A03A56">
        <w:rPr>
          <w:i/>
        </w:rPr>
        <w:t>Shava</w:t>
      </w:r>
      <w:r w:rsidR="008D41D6" w:rsidRPr="00BB5311">
        <w:t xml:space="preserve"> further maintained that r</w:t>
      </w:r>
      <w:r w:rsidR="001678FE" w:rsidRPr="00BB5311">
        <w:t xml:space="preserve">ather, the </w:t>
      </w:r>
      <w:r>
        <w:t>a</w:t>
      </w:r>
      <w:r w:rsidR="001678FE" w:rsidRPr="00BB5311">
        <w:t xml:space="preserve">pplicant chose to pursue other ancillary matters before the Labour Court and failed to prioritise this matter if it verily believed that this matter </w:t>
      </w:r>
      <w:r w:rsidR="008D41D6" w:rsidRPr="00BB5311">
        <w:t xml:space="preserve">for the recovering of its vehicles </w:t>
      </w:r>
      <w:r w:rsidR="001678FE" w:rsidRPr="00BB5311">
        <w:t xml:space="preserve">was </w:t>
      </w:r>
      <w:r w:rsidR="00FC61B7" w:rsidRPr="00BB5311">
        <w:t>urgent. By</w:t>
      </w:r>
      <w:r w:rsidR="008D41D6" w:rsidRPr="00BB5311">
        <w:t xml:space="preserve"> doing this, according to the counsel for the </w:t>
      </w:r>
      <w:r>
        <w:t>r</w:t>
      </w:r>
      <w:r w:rsidR="008D41D6" w:rsidRPr="00BB5311">
        <w:t xml:space="preserve">espondents, the </w:t>
      </w:r>
      <w:r>
        <w:t>a</w:t>
      </w:r>
      <w:r w:rsidR="008D41D6" w:rsidRPr="00BB5311">
        <w:t>pplicant set its own timetable for doing things.</w:t>
      </w:r>
      <w:r w:rsidR="001E651C" w:rsidRPr="00BB5311">
        <w:t xml:space="preserve"> Mr </w:t>
      </w:r>
      <w:r w:rsidR="001E651C" w:rsidRPr="00A03A56">
        <w:rPr>
          <w:i/>
        </w:rPr>
        <w:t>Shava</w:t>
      </w:r>
      <w:r w:rsidR="001E651C" w:rsidRPr="00BB5311">
        <w:t xml:space="preserve"> also contended that the </w:t>
      </w:r>
      <w:r>
        <w:t>a</w:t>
      </w:r>
      <w:r w:rsidR="001E651C" w:rsidRPr="00BB5311">
        <w:t>pplicant failed to offer a reasonable explanation for the delay in filing the present application.</w:t>
      </w:r>
      <w:r w:rsidR="006F1E6F" w:rsidRPr="00BB5311">
        <w:t xml:space="preserve"> </w:t>
      </w:r>
      <w:r>
        <w:t xml:space="preserve"> </w:t>
      </w:r>
      <w:r w:rsidR="006F1E6F" w:rsidRPr="00BB5311">
        <w:t xml:space="preserve">According to the counsel for the </w:t>
      </w:r>
      <w:r>
        <w:t>r</w:t>
      </w:r>
      <w:r w:rsidR="006F1E6F" w:rsidRPr="00BB5311">
        <w:t>espondents, the delay is inordinate.</w:t>
      </w:r>
    </w:p>
    <w:p w:rsidR="00AD14B4" w:rsidRPr="00BB5311" w:rsidRDefault="00800335" w:rsidP="00E36C94">
      <w:pPr>
        <w:spacing w:line="360" w:lineRule="auto"/>
        <w:jc w:val="both"/>
      </w:pPr>
      <w:r>
        <w:tab/>
      </w:r>
      <w:r w:rsidR="00AE74CE" w:rsidRPr="00BB5311">
        <w:t xml:space="preserve">The </w:t>
      </w:r>
      <w:r w:rsidR="005C707C">
        <w:t>a</w:t>
      </w:r>
      <w:r w:rsidR="00AE74CE" w:rsidRPr="00BB5311">
        <w:t xml:space="preserve">pplicant opposed this point </w:t>
      </w:r>
      <w:r w:rsidR="00AE74CE" w:rsidRPr="00BB5311">
        <w:rPr>
          <w:i/>
        </w:rPr>
        <w:t>in limine</w:t>
      </w:r>
      <w:r w:rsidR="00AE74CE" w:rsidRPr="00BB5311">
        <w:t xml:space="preserve">. Adv </w:t>
      </w:r>
      <w:r w:rsidR="00AE74CE" w:rsidRPr="005C707C">
        <w:rPr>
          <w:i/>
        </w:rPr>
        <w:t>Magwaliba</w:t>
      </w:r>
      <w:r w:rsidR="00AE74CE" w:rsidRPr="00BB5311">
        <w:t xml:space="preserve"> submitted </w:t>
      </w:r>
      <w:r w:rsidR="00FC61B7" w:rsidRPr="00BB5311">
        <w:t>that this</w:t>
      </w:r>
      <w:r w:rsidR="00FE7275" w:rsidRPr="00BB5311">
        <w:t xml:space="preserve"> matter is urgent as the acts of the </w:t>
      </w:r>
      <w:r w:rsidR="005C707C">
        <w:t>r</w:t>
      </w:r>
      <w:r w:rsidR="00FE7275" w:rsidRPr="00BB5311">
        <w:t xml:space="preserve">espondents may result in the </w:t>
      </w:r>
      <w:r w:rsidR="005C707C">
        <w:t>a</w:t>
      </w:r>
      <w:r w:rsidR="00FE7275" w:rsidRPr="00BB5311">
        <w:t>pplicant’s liquidation</w:t>
      </w:r>
      <w:r w:rsidR="009E0A4C" w:rsidRPr="00BB5311">
        <w:t xml:space="preserve"> and insolvency</w:t>
      </w:r>
      <w:r w:rsidR="00FE7275" w:rsidRPr="00BB5311">
        <w:t>.</w:t>
      </w:r>
      <w:r w:rsidR="0006759D" w:rsidRPr="00BB5311">
        <w:t xml:space="preserve"> According to Adv </w:t>
      </w:r>
      <w:r w:rsidR="0006759D" w:rsidRPr="005C707C">
        <w:rPr>
          <w:i/>
        </w:rPr>
        <w:t>Magwaliba</w:t>
      </w:r>
      <w:r w:rsidR="0006759D" w:rsidRPr="00BB5311">
        <w:t xml:space="preserve">, the job action of the </w:t>
      </w:r>
      <w:r w:rsidR="005C707C" w:rsidRPr="00BB5311">
        <w:t>1</w:t>
      </w:r>
      <w:r w:rsidR="005C707C" w:rsidRPr="00BB5311">
        <w:rPr>
          <w:vertAlign w:val="superscript"/>
        </w:rPr>
        <w:t>st</w:t>
      </w:r>
      <w:r w:rsidR="005C707C">
        <w:t xml:space="preserve"> to </w:t>
      </w:r>
      <w:r w:rsidR="005C707C" w:rsidRPr="00BB5311">
        <w:t>199</w:t>
      </w:r>
      <w:r w:rsidR="005C707C" w:rsidRPr="00BB5311">
        <w:rPr>
          <w:vertAlign w:val="superscript"/>
        </w:rPr>
        <w:t>th</w:t>
      </w:r>
      <w:r w:rsidR="005C707C" w:rsidRPr="00BB5311">
        <w:t xml:space="preserve"> </w:t>
      </w:r>
      <w:r w:rsidR="005C707C">
        <w:t>r</w:t>
      </w:r>
      <w:r w:rsidR="0006759D" w:rsidRPr="00BB5311">
        <w:t xml:space="preserve">espondents was declared </w:t>
      </w:r>
      <w:r w:rsidR="00E24F31" w:rsidRPr="00BB5311">
        <w:t xml:space="preserve">to be unlawful </w:t>
      </w:r>
      <w:r w:rsidR="0006759D" w:rsidRPr="00BB5311">
        <w:t xml:space="preserve">by the Minister </w:t>
      </w:r>
      <w:r w:rsidR="00E24F31" w:rsidRPr="00BB5311">
        <w:t>on 22</w:t>
      </w:r>
      <w:r w:rsidR="0006759D" w:rsidRPr="00BB5311">
        <w:t xml:space="preserve"> June 2022.</w:t>
      </w:r>
      <w:r w:rsidR="00DF447B" w:rsidRPr="00BB5311">
        <w:t xml:space="preserve"> The Minister further ordered the</w:t>
      </w:r>
      <w:r w:rsidR="005C707C">
        <w:t xml:space="preserve"> </w:t>
      </w:r>
      <w:r w:rsidR="005C707C" w:rsidRPr="00BB5311">
        <w:t>1</w:t>
      </w:r>
      <w:r w:rsidR="005C707C" w:rsidRPr="00BB5311">
        <w:rPr>
          <w:vertAlign w:val="superscript"/>
        </w:rPr>
        <w:t>st</w:t>
      </w:r>
      <w:r w:rsidR="005C707C">
        <w:t xml:space="preserve"> to </w:t>
      </w:r>
      <w:r w:rsidR="005C707C" w:rsidRPr="00BB5311">
        <w:t>199</w:t>
      </w:r>
      <w:r w:rsidR="005C707C" w:rsidRPr="00BB5311">
        <w:rPr>
          <w:vertAlign w:val="superscript"/>
        </w:rPr>
        <w:t>th</w:t>
      </w:r>
      <w:r w:rsidR="005C707C" w:rsidRPr="00BB5311">
        <w:t xml:space="preserve"> </w:t>
      </w:r>
      <w:r w:rsidR="005C707C">
        <w:t>r</w:t>
      </w:r>
      <w:r w:rsidR="00DF447B" w:rsidRPr="00BB5311">
        <w:t>espondents to cease the job action within twenty-four hours.</w:t>
      </w:r>
      <w:r w:rsidR="00213400" w:rsidRPr="00BB5311">
        <w:t xml:space="preserve"> </w:t>
      </w:r>
      <w:r w:rsidR="005C707C">
        <w:t xml:space="preserve"> </w:t>
      </w:r>
      <w:r w:rsidR="00213400" w:rsidRPr="00BB5311">
        <w:t xml:space="preserve">He further submitted that the </w:t>
      </w:r>
      <w:r w:rsidR="005C707C" w:rsidRPr="00BB5311">
        <w:t>1</w:t>
      </w:r>
      <w:r w:rsidR="005C707C" w:rsidRPr="00BB5311">
        <w:rPr>
          <w:vertAlign w:val="superscript"/>
        </w:rPr>
        <w:t>st</w:t>
      </w:r>
      <w:r w:rsidR="005C707C">
        <w:t xml:space="preserve"> to </w:t>
      </w:r>
      <w:r w:rsidR="005C707C" w:rsidRPr="00BB5311">
        <w:t>199</w:t>
      </w:r>
      <w:r w:rsidR="005C707C" w:rsidRPr="00BB5311">
        <w:rPr>
          <w:vertAlign w:val="superscript"/>
        </w:rPr>
        <w:t>th</w:t>
      </w:r>
      <w:r w:rsidR="005C707C" w:rsidRPr="00BB5311">
        <w:t xml:space="preserve"> </w:t>
      </w:r>
      <w:r w:rsidR="005C707C">
        <w:t>r</w:t>
      </w:r>
      <w:r w:rsidR="00213400" w:rsidRPr="00BB5311">
        <w:t xml:space="preserve">espondents had the option of returning the vehicles to the </w:t>
      </w:r>
      <w:r w:rsidR="005C707C">
        <w:t>a</w:t>
      </w:r>
      <w:r w:rsidR="00213400" w:rsidRPr="00BB5311">
        <w:t>pplicant’s premises pending their industrial action which they did not do.</w:t>
      </w:r>
      <w:r w:rsidR="00D56B82" w:rsidRPr="00BB5311">
        <w:t xml:space="preserve"> Adv </w:t>
      </w:r>
      <w:r w:rsidR="00D56B82" w:rsidRPr="005C707C">
        <w:rPr>
          <w:i/>
        </w:rPr>
        <w:t xml:space="preserve">Magwaliba </w:t>
      </w:r>
      <w:r w:rsidR="00D56B82" w:rsidRPr="00BB5311">
        <w:t>further argued that the present application meets the threshold of commercial urgency. He referred the court to the case of</w:t>
      </w:r>
      <w:r w:rsidR="004C2698" w:rsidRPr="00BB5311">
        <w:t xml:space="preserve"> Silver</w:t>
      </w:r>
      <w:r w:rsidR="00EA1EF9" w:rsidRPr="00BB5311">
        <w:t>’s</w:t>
      </w:r>
      <w:r w:rsidR="004C2698" w:rsidRPr="00BB5311">
        <w:t xml:space="preserve"> Trucks </w:t>
      </w:r>
      <w:r w:rsidR="00D2764F" w:rsidRPr="00BB5311">
        <w:t xml:space="preserve">(Pvt) Ltd </w:t>
      </w:r>
      <w:r w:rsidR="004C2698" w:rsidRPr="00BB5311">
        <w:t>v Director of Customs</w:t>
      </w:r>
      <w:r w:rsidR="004C2698" w:rsidRPr="00BB5311">
        <w:rPr>
          <w:rStyle w:val="FootnoteReference"/>
        </w:rPr>
        <w:footnoteReference w:id="2"/>
      </w:r>
      <w:r w:rsidR="004C2698" w:rsidRPr="00BB5311">
        <w:t xml:space="preserve">. Adv </w:t>
      </w:r>
      <w:r w:rsidR="00FC61B7" w:rsidRPr="005C707C">
        <w:rPr>
          <w:i/>
        </w:rPr>
        <w:t>Magwaliba</w:t>
      </w:r>
      <w:r w:rsidR="00FC61B7" w:rsidRPr="00BB5311">
        <w:t xml:space="preserve"> submitted</w:t>
      </w:r>
      <w:r w:rsidR="00843FCD" w:rsidRPr="00BB5311">
        <w:t xml:space="preserve"> that the need to </w:t>
      </w:r>
      <w:r w:rsidR="00843FCD" w:rsidRPr="00BB5311">
        <w:lastRenderedPageBreak/>
        <w:t xml:space="preserve">act did not arise on 8 June 2022 when </w:t>
      </w:r>
      <w:r w:rsidR="005C707C">
        <w:t>r</w:t>
      </w:r>
      <w:r w:rsidR="00843FCD" w:rsidRPr="00BB5311">
        <w:t xml:space="preserve">espondents began their job action. Rather, he argued that the need to act only arose after the industrial action was declared to be unlawful by the Minister </w:t>
      </w:r>
      <w:r w:rsidR="001A64AD" w:rsidRPr="00BB5311">
        <w:t>on or about 22</w:t>
      </w:r>
      <w:r w:rsidR="00843FCD" w:rsidRPr="00BB5311">
        <w:t xml:space="preserve"> June 2022.</w:t>
      </w:r>
      <w:r w:rsidR="0011539B" w:rsidRPr="00BB5311">
        <w:t xml:space="preserve"> After the Minister’s declaration, Adv </w:t>
      </w:r>
      <w:r w:rsidR="0011539B" w:rsidRPr="005C707C">
        <w:rPr>
          <w:i/>
        </w:rPr>
        <w:t>Magwaliba</w:t>
      </w:r>
      <w:r w:rsidR="0011539B" w:rsidRPr="00BB5311">
        <w:t xml:space="preserve">, highlighted that the </w:t>
      </w:r>
      <w:r w:rsidR="00B672A1" w:rsidRPr="00BB5311">
        <w:t>1</w:t>
      </w:r>
      <w:r w:rsidR="00B672A1" w:rsidRPr="00BB5311">
        <w:rPr>
          <w:vertAlign w:val="superscript"/>
        </w:rPr>
        <w:t>st</w:t>
      </w:r>
      <w:r w:rsidR="00B672A1">
        <w:t xml:space="preserve"> to </w:t>
      </w:r>
      <w:r w:rsidR="00B672A1" w:rsidRPr="00BB5311">
        <w:t>199</w:t>
      </w:r>
      <w:r w:rsidR="00B672A1" w:rsidRPr="00BB5311">
        <w:rPr>
          <w:vertAlign w:val="superscript"/>
        </w:rPr>
        <w:t>th</w:t>
      </w:r>
      <w:r w:rsidR="00B672A1" w:rsidRPr="00BB5311">
        <w:t xml:space="preserve"> </w:t>
      </w:r>
      <w:r w:rsidR="00B672A1">
        <w:t>r</w:t>
      </w:r>
      <w:r w:rsidR="0011539B" w:rsidRPr="00BB5311">
        <w:t xml:space="preserve">espondents refused to terminate their unlawful job action which had prompted the </w:t>
      </w:r>
      <w:r w:rsidR="00B672A1">
        <w:t>a</w:t>
      </w:r>
      <w:r w:rsidR="0011539B" w:rsidRPr="00BB5311">
        <w:t>pplicant to file the present application</w:t>
      </w:r>
      <w:r w:rsidR="001A64AD" w:rsidRPr="00BB5311">
        <w:t xml:space="preserve"> on 21 July 2022, four weeks after the industrial action had been declared to be unlawful</w:t>
      </w:r>
      <w:r w:rsidR="0011539B" w:rsidRPr="00BB5311">
        <w:t>.</w:t>
      </w:r>
      <w:r w:rsidR="001A64AD" w:rsidRPr="00BB5311">
        <w:t xml:space="preserve"> </w:t>
      </w:r>
      <w:r w:rsidR="00D1657C">
        <w:t xml:space="preserve"> </w:t>
      </w:r>
      <w:r w:rsidR="001A64AD" w:rsidRPr="00BB5311">
        <w:t xml:space="preserve">He further contended </w:t>
      </w:r>
      <w:r w:rsidR="00FC61B7" w:rsidRPr="00BB5311">
        <w:t>that the</w:t>
      </w:r>
      <w:r w:rsidR="000B7C39" w:rsidRPr="00BB5311">
        <w:t xml:space="preserve"> </w:t>
      </w:r>
      <w:r w:rsidR="00D1657C">
        <w:t>a</w:t>
      </w:r>
      <w:r w:rsidR="000B7C39" w:rsidRPr="00BB5311">
        <w:t xml:space="preserve">pplicant also applied for the disposal order hoping that the </w:t>
      </w:r>
      <w:r w:rsidR="00D1657C" w:rsidRPr="00BB5311">
        <w:t>1</w:t>
      </w:r>
      <w:r w:rsidR="00D1657C" w:rsidRPr="00BB5311">
        <w:rPr>
          <w:vertAlign w:val="superscript"/>
        </w:rPr>
        <w:t>st</w:t>
      </w:r>
      <w:r w:rsidR="00D1657C">
        <w:t xml:space="preserve"> to </w:t>
      </w:r>
      <w:r w:rsidR="00D1657C" w:rsidRPr="00BB5311">
        <w:t>199</w:t>
      </w:r>
      <w:r w:rsidR="00D1657C" w:rsidRPr="00BB5311">
        <w:rPr>
          <w:vertAlign w:val="superscript"/>
        </w:rPr>
        <w:t>th</w:t>
      </w:r>
      <w:r w:rsidR="00D1657C" w:rsidRPr="00BB5311">
        <w:t xml:space="preserve"> </w:t>
      </w:r>
      <w:r w:rsidR="00D1657C">
        <w:t>r</w:t>
      </w:r>
      <w:r w:rsidR="000B7C39" w:rsidRPr="00BB5311">
        <w:t>espondents would cease their strike.</w:t>
      </w:r>
      <w:r w:rsidR="00540378" w:rsidRPr="00BB5311">
        <w:t xml:space="preserve">  The </w:t>
      </w:r>
      <w:r w:rsidR="00D1657C">
        <w:t>a</w:t>
      </w:r>
      <w:r w:rsidR="00540378" w:rsidRPr="00BB5311">
        <w:t xml:space="preserve">pplicant’s counsel implored the court </w:t>
      </w:r>
      <w:r w:rsidR="006F1391" w:rsidRPr="00BB5311">
        <w:t xml:space="preserve">to dismiss the point </w:t>
      </w:r>
      <w:r w:rsidR="006F1391" w:rsidRPr="00BB5311">
        <w:rPr>
          <w:i/>
        </w:rPr>
        <w:t>in limine</w:t>
      </w:r>
      <w:r w:rsidR="006F1391" w:rsidRPr="00BB5311">
        <w:t xml:space="preserve"> concerned.</w:t>
      </w:r>
    </w:p>
    <w:p w:rsidR="00BE4274" w:rsidRPr="00BB5311" w:rsidRDefault="00D1657C" w:rsidP="00E36C94">
      <w:pPr>
        <w:spacing w:line="360" w:lineRule="auto"/>
        <w:jc w:val="both"/>
      </w:pPr>
      <w:r>
        <w:tab/>
      </w:r>
      <w:r w:rsidR="00554D3B" w:rsidRPr="00BB5311">
        <w:t xml:space="preserve">The </w:t>
      </w:r>
      <w:r>
        <w:t>r</w:t>
      </w:r>
      <w:r w:rsidR="00554D3B" w:rsidRPr="00BB5311">
        <w:t xml:space="preserve">espondents also raised a further point </w:t>
      </w:r>
      <w:r w:rsidR="00554D3B" w:rsidRPr="00BB5311">
        <w:rPr>
          <w:i/>
        </w:rPr>
        <w:t xml:space="preserve">in </w:t>
      </w:r>
      <w:r w:rsidR="00FC61B7" w:rsidRPr="00BB5311">
        <w:rPr>
          <w:i/>
        </w:rPr>
        <w:t xml:space="preserve">limine </w:t>
      </w:r>
      <w:r w:rsidR="00FC61B7" w:rsidRPr="00BB5311">
        <w:t>to</w:t>
      </w:r>
      <w:r w:rsidR="00554D3B" w:rsidRPr="00BB5311">
        <w:t xml:space="preserve"> the effect that the relief sought by the </w:t>
      </w:r>
      <w:r w:rsidR="00084066" w:rsidRPr="00BB5311">
        <w:t>applicant</w:t>
      </w:r>
      <w:r w:rsidR="00554D3B" w:rsidRPr="00BB5311">
        <w:t xml:space="preserve"> is improper. The </w:t>
      </w:r>
      <w:r>
        <w:t>r</w:t>
      </w:r>
      <w:r w:rsidR="00554D3B" w:rsidRPr="00BB5311">
        <w:t xml:space="preserve">espondents, through their counsel, submitted that the </w:t>
      </w:r>
      <w:r>
        <w:t>a</w:t>
      </w:r>
      <w:r w:rsidR="00554D3B" w:rsidRPr="00BB5311">
        <w:t xml:space="preserve">pplicant prayed for the final order instead of </w:t>
      </w:r>
      <w:r w:rsidR="00084066" w:rsidRPr="00BB5311">
        <w:t>an</w:t>
      </w:r>
      <w:r w:rsidR="00554D3B" w:rsidRPr="00BB5311">
        <w:t xml:space="preserve"> interim order returnable to this court for confirmation on a particular day.</w:t>
      </w:r>
      <w:r w:rsidR="00A075D8" w:rsidRPr="00BB5311">
        <w:t xml:space="preserve"> Mr </w:t>
      </w:r>
      <w:r w:rsidR="00A075D8" w:rsidRPr="00D1657C">
        <w:rPr>
          <w:i/>
        </w:rPr>
        <w:t xml:space="preserve">Shava </w:t>
      </w:r>
      <w:r w:rsidR="00A075D8" w:rsidRPr="00BB5311">
        <w:t xml:space="preserve">referred the court to the case of </w:t>
      </w:r>
      <w:r w:rsidR="00A075D8" w:rsidRPr="00D1657C">
        <w:rPr>
          <w:i/>
        </w:rPr>
        <w:t xml:space="preserve">Madzingira </w:t>
      </w:r>
      <w:r w:rsidR="00A075D8" w:rsidRPr="00D1657C">
        <w:t>v</w:t>
      </w:r>
      <w:r w:rsidR="00A075D8" w:rsidRPr="00D1657C">
        <w:rPr>
          <w:i/>
        </w:rPr>
        <w:t xml:space="preserve"> Messenger of Court</w:t>
      </w:r>
      <w:r w:rsidR="00A075D8" w:rsidRPr="00BB5311">
        <w:rPr>
          <w:rStyle w:val="FootnoteReference"/>
        </w:rPr>
        <w:footnoteReference w:id="3"/>
      </w:r>
      <w:r w:rsidR="00A075D8" w:rsidRPr="00BB5311">
        <w:t>.</w:t>
      </w:r>
      <w:r w:rsidR="000F4EC8" w:rsidRPr="00BB5311">
        <w:t xml:space="preserve">  In response to this Adv </w:t>
      </w:r>
      <w:r w:rsidR="000F4EC8" w:rsidRPr="00D1657C">
        <w:rPr>
          <w:i/>
        </w:rPr>
        <w:t>Magwaliba</w:t>
      </w:r>
      <w:r w:rsidR="000F4EC8" w:rsidRPr="00BB5311">
        <w:t xml:space="preserve"> submitted that there is no law</w:t>
      </w:r>
      <w:r w:rsidR="00C64CCF" w:rsidRPr="00BB5311">
        <w:t xml:space="preserve"> which prevents the seeking of a final order on an urgent basis</w:t>
      </w:r>
      <w:r w:rsidR="00111F96" w:rsidRPr="00BB5311">
        <w:t xml:space="preserve"> if the </w:t>
      </w:r>
      <w:r>
        <w:t>a</w:t>
      </w:r>
      <w:r w:rsidR="00111F96" w:rsidRPr="00BB5311">
        <w:t>pplicant has established a clear right</w:t>
      </w:r>
      <w:r w:rsidR="00C64CCF" w:rsidRPr="00BB5311">
        <w:t>.</w:t>
      </w:r>
      <w:r w:rsidR="00DB6387" w:rsidRPr="00BB5311">
        <w:t xml:space="preserve"> </w:t>
      </w:r>
      <w:r>
        <w:t xml:space="preserve"> </w:t>
      </w:r>
      <w:r w:rsidR="00DB6387" w:rsidRPr="00BB5311">
        <w:t xml:space="preserve">He referred the court to the cases of </w:t>
      </w:r>
      <w:r w:rsidR="00DB6387" w:rsidRPr="00D1657C">
        <w:rPr>
          <w:i/>
        </w:rPr>
        <w:t xml:space="preserve">Universal Merchant </w:t>
      </w:r>
      <w:r w:rsidR="00DB6387" w:rsidRPr="00D1657C">
        <w:t>v</w:t>
      </w:r>
      <w:r w:rsidR="00DB6387" w:rsidRPr="00D1657C">
        <w:rPr>
          <w:i/>
        </w:rPr>
        <w:t xml:space="preserve"> Zimbabwe Independent</w:t>
      </w:r>
      <w:r w:rsidR="00DB6387" w:rsidRPr="00BB5311">
        <w:t xml:space="preserve"> </w:t>
      </w:r>
      <w:r w:rsidR="00DB6387" w:rsidRPr="00BB5311">
        <w:rPr>
          <w:rStyle w:val="FootnoteReference"/>
        </w:rPr>
        <w:footnoteReference w:id="4"/>
      </w:r>
      <w:r w:rsidR="00DB6387" w:rsidRPr="00BB5311">
        <w:t xml:space="preserve"> and</w:t>
      </w:r>
      <w:r w:rsidR="008512C5" w:rsidRPr="00BB5311">
        <w:t xml:space="preserve"> </w:t>
      </w:r>
      <w:r w:rsidRPr="00D1657C">
        <w:rPr>
          <w:i/>
        </w:rPr>
        <w:t>Artuz</w:t>
      </w:r>
      <w:r w:rsidRPr="00BB5311">
        <w:t xml:space="preserve"> </w:t>
      </w:r>
      <w:r>
        <w:t>v</w:t>
      </w:r>
      <w:r w:rsidRPr="00BB5311">
        <w:t xml:space="preserve"> </w:t>
      </w:r>
      <w:r w:rsidRPr="00D1657C">
        <w:rPr>
          <w:i/>
        </w:rPr>
        <w:t>Zanu PF</w:t>
      </w:r>
      <w:r w:rsidR="008512C5" w:rsidRPr="00BB5311">
        <w:rPr>
          <w:rStyle w:val="FootnoteReference"/>
        </w:rPr>
        <w:footnoteReference w:id="5"/>
      </w:r>
      <w:r w:rsidR="008512C5" w:rsidRPr="00BB5311">
        <w:t>.</w:t>
      </w:r>
      <w:r w:rsidR="007D4FE8" w:rsidRPr="00BB5311">
        <w:t xml:space="preserve"> The counsel for the </w:t>
      </w:r>
      <w:r>
        <w:t>a</w:t>
      </w:r>
      <w:r w:rsidR="007D4FE8" w:rsidRPr="00BB5311">
        <w:t xml:space="preserve">pplicant further maintained that the spoliation order can be obtained by way of a final order. He relied on the case of </w:t>
      </w:r>
      <w:r w:rsidR="007D4FE8" w:rsidRPr="00D1657C">
        <w:rPr>
          <w:i/>
        </w:rPr>
        <w:t>Blue Range</w:t>
      </w:r>
      <w:r w:rsidR="009B78BE" w:rsidRPr="00D1657C">
        <w:rPr>
          <w:i/>
        </w:rPr>
        <w:t>rs</w:t>
      </w:r>
      <w:r w:rsidR="007D4FE8" w:rsidRPr="00D1657C">
        <w:rPr>
          <w:i/>
        </w:rPr>
        <w:t xml:space="preserve"> </w:t>
      </w:r>
      <w:r w:rsidR="009B78BE" w:rsidRPr="00D1657C">
        <w:rPr>
          <w:i/>
        </w:rPr>
        <w:t>Estates (Pvt</w:t>
      </w:r>
      <w:r w:rsidR="00084066" w:rsidRPr="00D1657C">
        <w:rPr>
          <w:i/>
        </w:rPr>
        <w:t>) Ltd</w:t>
      </w:r>
      <w:r w:rsidR="009B78BE" w:rsidRPr="00D1657C">
        <w:rPr>
          <w:i/>
        </w:rPr>
        <w:t xml:space="preserve"> </w:t>
      </w:r>
      <w:r w:rsidR="009B78BE" w:rsidRPr="00D1657C">
        <w:t xml:space="preserve">v </w:t>
      </w:r>
      <w:r w:rsidR="009B78BE" w:rsidRPr="00D1657C">
        <w:rPr>
          <w:i/>
        </w:rPr>
        <w:t>Muduvi</w:t>
      </w:r>
      <w:r w:rsidR="007D4FE8" w:rsidRPr="00D1657C">
        <w:rPr>
          <w:i/>
        </w:rPr>
        <w:t>ri</w:t>
      </w:r>
      <w:r w:rsidR="009B78BE" w:rsidRPr="00D1657C">
        <w:rPr>
          <w:i/>
        </w:rPr>
        <w:t xml:space="preserve"> </w:t>
      </w:r>
      <w:r>
        <w:rPr>
          <w:i/>
        </w:rPr>
        <w:t xml:space="preserve">&amp; </w:t>
      </w:r>
      <w:r w:rsidR="009B78BE" w:rsidRPr="00D1657C">
        <w:rPr>
          <w:i/>
        </w:rPr>
        <w:t>Anor</w:t>
      </w:r>
      <w:r w:rsidR="007622E9" w:rsidRPr="00BB5311">
        <w:rPr>
          <w:rStyle w:val="FootnoteReference"/>
        </w:rPr>
        <w:footnoteReference w:id="6"/>
      </w:r>
      <w:r w:rsidR="007622E9" w:rsidRPr="00BB5311">
        <w:t>.</w:t>
      </w:r>
      <w:r w:rsidR="009E5F77" w:rsidRPr="00BB5311">
        <w:t xml:space="preserve"> He further submitted that the present application has satisfied the requirements of </w:t>
      </w:r>
      <w:r w:rsidR="00084066" w:rsidRPr="00BB5311">
        <w:t>the application</w:t>
      </w:r>
      <w:r w:rsidR="00DE76A0" w:rsidRPr="00BB5311">
        <w:t xml:space="preserve"> for spoliation order and thus he pleaded with the court to dismiss the point </w:t>
      </w:r>
      <w:r w:rsidR="00DE76A0" w:rsidRPr="00BB5311">
        <w:rPr>
          <w:i/>
        </w:rPr>
        <w:t>in limine</w:t>
      </w:r>
      <w:r w:rsidR="00DE76A0" w:rsidRPr="00BB5311">
        <w:t xml:space="preserve"> </w:t>
      </w:r>
      <w:r w:rsidR="001517BE">
        <w:t>concerned</w:t>
      </w:r>
      <w:r w:rsidR="00DE76A0" w:rsidRPr="00BB5311">
        <w:t>.</w:t>
      </w:r>
    </w:p>
    <w:p w:rsidR="00F2336C" w:rsidRPr="00BB5311" w:rsidRDefault="007172F1" w:rsidP="00E36C94">
      <w:pPr>
        <w:spacing w:line="360" w:lineRule="auto"/>
        <w:jc w:val="both"/>
      </w:pPr>
      <w:r>
        <w:tab/>
      </w:r>
      <w:r w:rsidR="00266405" w:rsidRPr="00BB5311">
        <w:t xml:space="preserve">In addition, </w:t>
      </w:r>
      <w:r>
        <w:t>the r</w:t>
      </w:r>
      <w:r w:rsidR="00084066" w:rsidRPr="00BB5311">
        <w:t>espondents</w:t>
      </w:r>
      <w:r w:rsidR="00266405" w:rsidRPr="00BB5311">
        <w:t>, through their counsel</w:t>
      </w:r>
      <w:r w:rsidR="00084066" w:rsidRPr="00BB5311">
        <w:t xml:space="preserve">, </w:t>
      </w:r>
      <w:r w:rsidR="009B4F69">
        <w:t xml:space="preserve">presented another point </w:t>
      </w:r>
      <w:r w:rsidR="009B4F69">
        <w:rPr>
          <w:i/>
        </w:rPr>
        <w:t xml:space="preserve">in </w:t>
      </w:r>
      <w:r w:rsidR="009B4F69" w:rsidRPr="007172F1">
        <w:rPr>
          <w:i/>
        </w:rPr>
        <w:t>limine</w:t>
      </w:r>
      <w:r w:rsidR="009B4F69">
        <w:t xml:space="preserve"> where it </w:t>
      </w:r>
      <w:r w:rsidR="00084066" w:rsidRPr="009B4F69">
        <w:t>submitted</w:t>
      </w:r>
      <w:r w:rsidR="00CC28AA" w:rsidRPr="00BB5311">
        <w:t xml:space="preserve"> that the present </w:t>
      </w:r>
      <w:r w:rsidR="00084066" w:rsidRPr="00BB5311">
        <w:t>application has</w:t>
      </w:r>
      <w:r w:rsidR="007362C9" w:rsidRPr="00BB5311">
        <w:t xml:space="preserve"> no cause of action. Mr </w:t>
      </w:r>
      <w:r w:rsidR="007362C9" w:rsidRPr="007172F1">
        <w:rPr>
          <w:i/>
        </w:rPr>
        <w:t>Shava</w:t>
      </w:r>
      <w:r w:rsidR="007362C9" w:rsidRPr="00BB5311">
        <w:t xml:space="preserve"> further argued that </w:t>
      </w:r>
      <w:r w:rsidR="00084066" w:rsidRPr="00BB5311">
        <w:t xml:space="preserve">the </w:t>
      </w:r>
      <w:r>
        <w:t>a</w:t>
      </w:r>
      <w:r w:rsidR="00084066" w:rsidRPr="00BB5311">
        <w:t>pplicant</w:t>
      </w:r>
      <w:r w:rsidR="00ED01B3" w:rsidRPr="00BB5311">
        <w:t xml:space="preserve"> seeks to advance the argument that the employment contracts had been repudiated through the unlawful job action while there is no sufficient evidence placed before the court satisfying that such contracts had been properly terminated.</w:t>
      </w:r>
      <w:r w:rsidR="00613E9A" w:rsidRPr="00BB5311">
        <w:t xml:space="preserve"> He further maintained that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613E9A" w:rsidRPr="00BB5311">
        <w:t xml:space="preserve">espondents are still employed by the </w:t>
      </w:r>
      <w:r>
        <w:t>a</w:t>
      </w:r>
      <w:r w:rsidR="00613E9A" w:rsidRPr="00BB5311">
        <w:t xml:space="preserve">pplicant. The contracts for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rsidR="00183234">
        <w:t>r</w:t>
      </w:r>
      <w:r w:rsidR="00183234" w:rsidRPr="00BB5311">
        <w:t>espondents’</w:t>
      </w:r>
      <w:r w:rsidR="00613E9A" w:rsidRPr="00BB5311">
        <w:t xml:space="preserve"> contracts still subsist, according to the counsel for the </w:t>
      </w:r>
      <w:r>
        <w:t>r</w:t>
      </w:r>
      <w:r w:rsidR="00613E9A" w:rsidRPr="00BB5311">
        <w:t>espondents.</w:t>
      </w:r>
      <w:r w:rsidR="00E77B24" w:rsidRPr="00BB5311">
        <w:t xml:space="preserve"> He further maintained that no order of a competent court</w:t>
      </w:r>
      <w:r w:rsidR="00216BFE" w:rsidRPr="00BB5311">
        <w:t xml:space="preserve"> </w:t>
      </w:r>
      <w:r w:rsidR="00E35AC3" w:rsidRPr="00BB5311">
        <w:t>has made a determination that such contracts have been terminated.</w:t>
      </w:r>
      <w:r w:rsidR="00205373" w:rsidRPr="00BB5311">
        <w:t xml:space="preserve"> He also asserted that it is unfounded that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lastRenderedPageBreak/>
        <w:t>r</w:t>
      </w:r>
      <w:r w:rsidR="00205373" w:rsidRPr="00BB5311">
        <w:t>espondents forc</w:t>
      </w:r>
      <w:r w:rsidR="00344FC9" w:rsidRPr="00BB5311">
        <w:t xml:space="preserve">ibly </w:t>
      </w:r>
      <w:r>
        <w:t>dispossessed the a</w:t>
      </w:r>
      <w:r w:rsidR="00205373" w:rsidRPr="00BB5311">
        <w:t xml:space="preserve">pplicant of its trucks when the </w:t>
      </w:r>
      <w:r>
        <w:t>a</w:t>
      </w:r>
      <w:r w:rsidR="00205373" w:rsidRPr="00BB5311">
        <w:t xml:space="preserve">pplicant gave the vehicles to the </w:t>
      </w:r>
      <w:r>
        <w:t>r</w:t>
      </w:r>
      <w:r w:rsidR="00205373" w:rsidRPr="00BB5311">
        <w:t>espondents</w:t>
      </w:r>
      <w:r w:rsidR="00570C08" w:rsidRPr="00BB5311">
        <w:t xml:space="preserve"> </w:t>
      </w:r>
      <w:r w:rsidR="001517BE">
        <w:t xml:space="preserve">some </w:t>
      </w:r>
      <w:r w:rsidR="00570C08" w:rsidRPr="00BB5311">
        <w:t>years ago as their tools of trade.</w:t>
      </w:r>
      <w:r w:rsidR="00F2336C" w:rsidRPr="00BB5311">
        <w:t xml:space="preserve"> The counsel for the </w:t>
      </w:r>
      <w:r>
        <w:t>r</w:t>
      </w:r>
      <w:r w:rsidR="00F2336C" w:rsidRPr="00BB5311">
        <w:t xml:space="preserve">espondents referred the court to the case of </w:t>
      </w:r>
      <w:r w:rsidR="00F2336C" w:rsidRPr="007172F1">
        <w:rPr>
          <w:i/>
        </w:rPr>
        <w:t xml:space="preserve">Masamba </w:t>
      </w:r>
      <w:r>
        <w:rPr>
          <w:i/>
        </w:rPr>
        <w:t>&amp;</w:t>
      </w:r>
      <w:r w:rsidR="00F2336C" w:rsidRPr="007172F1">
        <w:rPr>
          <w:i/>
        </w:rPr>
        <w:t xml:space="preserve"> Anor </w:t>
      </w:r>
      <w:r w:rsidR="00F2336C" w:rsidRPr="007172F1">
        <w:t>v</w:t>
      </w:r>
      <w:r w:rsidR="00F2336C" w:rsidRPr="007172F1">
        <w:rPr>
          <w:i/>
        </w:rPr>
        <w:t xml:space="preserve"> Director ZIMSEC</w:t>
      </w:r>
      <w:r w:rsidR="00F2336C" w:rsidRPr="00BB5311">
        <w:rPr>
          <w:rStyle w:val="FootnoteReference"/>
        </w:rPr>
        <w:footnoteReference w:id="7"/>
      </w:r>
      <w:r w:rsidR="00F2336C" w:rsidRPr="00BB5311">
        <w:t xml:space="preserve"> in an endeavor to motivate the court that the present application has no cause of action.</w:t>
      </w:r>
    </w:p>
    <w:p w:rsidR="00731E26" w:rsidRPr="00BB5311" w:rsidRDefault="007172F1" w:rsidP="00E36C94">
      <w:pPr>
        <w:spacing w:line="360" w:lineRule="auto"/>
        <w:jc w:val="both"/>
      </w:pPr>
      <w:r>
        <w:tab/>
      </w:r>
      <w:r w:rsidR="002411F6" w:rsidRPr="00BB5311">
        <w:t xml:space="preserve">In response, the </w:t>
      </w:r>
      <w:r>
        <w:t>a</w:t>
      </w:r>
      <w:r w:rsidR="002411F6" w:rsidRPr="00BB5311">
        <w:t>pplicant argued that the</w:t>
      </w:r>
      <w:r w:rsidR="00E25EA0" w:rsidRPr="00BB5311">
        <w:t xml:space="preserve"> tools of trade given to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E25EA0" w:rsidRPr="00BB5311">
        <w:t xml:space="preserve">espondents are for working and not for downing. Adv </w:t>
      </w:r>
      <w:r w:rsidR="00E25EA0" w:rsidRPr="007172F1">
        <w:rPr>
          <w:i/>
        </w:rPr>
        <w:t>Magwaliba</w:t>
      </w:r>
      <w:r w:rsidR="00E25EA0" w:rsidRPr="00BB5311">
        <w:t xml:space="preserve"> further contended that</w:t>
      </w:r>
      <w:r w:rsidR="00BE7DBC" w:rsidRPr="00BB5311">
        <w:t xml:space="preserve"> the </w:t>
      </w:r>
      <w:r>
        <w:t>r</w:t>
      </w:r>
      <w:r w:rsidR="00BE7DBC" w:rsidRPr="00BB5311">
        <w:t>espondents must return the tools of trade to the owner since they are no longer working.</w:t>
      </w:r>
      <w:r w:rsidR="00A022F8" w:rsidRPr="00BB5311">
        <w:t xml:space="preserve"> He further argued that by 22 June 2022, their right to strike ceased to exist as a result of a declaration</w:t>
      </w:r>
      <w:r w:rsidR="00617FA5" w:rsidRPr="00BB5311">
        <w:t xml:space="preserve"> that the industrial action is unlawful made by the Minister.</w:t>
      </w:r>
    </w:p>
    <w:p w:rsidR="005A413F" w:rsidRPr="00BB5311" w:rsidRDefault="007172F1" w:rsidP="00E36C94">
      <w:pPr>
        <w:spacing w:line="360" w:lineRule="auto"/>
        <w:jc w:val="both"/>
      </w:pPr>
      <w:r>
        <w:tab/>
      </w:r>
      <w:r w:rsidR="00731E26" w:rsidRPr="00BB5311">
        <w:t>The 200</w:t>
      </w:r>
      <w:r w:rsidR="00731E26" w:rsidRPr="00BB5311">
        <w:rPr>
          <w:vertAlign w:val="superscript"/>
        </w:rPr>
        <w:t>th</w:t>
      </w:r>
      <w:r>
        <w:t xml:space="preserve"> r</w:t>
      </w:r>
      <w:r w:rsidR="00731E26" w:rsidRPr="00BB5311">
        <w:t xml:space="preserve">espondent, through its counsel, </w:t>
      </w:r>
      <w:r w:rsidR="009B4F69">
        <w:t xml:space="preserve">raised a further point </w:t>
      </w:r>
      <w:r w:rsidR="009B4F69" w:rsidRPr="007172F1">
        <w:rPr>
          <w:i/>
        </w:rPr>
        <w:t>in limine</w:t>
      </w:r>
      <w:r w:rsidR="009B4F69">
        <w:t xml:space="preserve"> and </w:t>
      </w:r>
      <w:r w:rsidR="00731E26" w:rsidRPr="009B4F69">
        <w:t>argued</w:t>
      </w:r>
      <w:r w:rsidR="00731E26" w:rsidRPr="00BB5311">
        <w:t xml:space="preserve"> that it had been improperly joined to the present application as it lacks interest in the matter.</w:t>
      </w:r>
      <w:r>
        <w:t xml:space="preserve"> The counsel for the r</w:t>
      </w:r>
      <w:r w:rsidR="00C53618" w:rsidRPr="00BB5311">
        <w:t>espondents submitted that</w:t>
      </w:r>
      <w:r w:rsidR="0074690C" w:rsidRPr="00BB5311">
        <w:t xml:space="preserve"> it only came into the picture after the industrial action had begun.</w:t>
      </w:r>
      <w:r>
        <w:t xml:space="preserve">  Mr</w:t>
      </w:r>
      <w:r w:rsidR="005D0F65" w:rsidRPr="00BB5311">
        <w:t xml:space="preserve"> </w:t>
      </w:r>
      <w:r w:rsidR="005D0F65" w:rsidRPr="007172F1">
        <w:rPr>
          <w:i/>
        </w:rPr>
        <w:t xml:space="preserve">Shava </w:t>
      </w:r>
      <w:r w:rsidR="005D0F65" w:rsidRPr="00BB5311">
        <w:t>submitted that the 200</w:t>
      </w:r>
      <w:r w:rsidR="005D0F65" w:rsidRPr="00BB5311">
        <w:rPr>
          <w:vertAlign w:val="superscript"/>
        </w:rPr>
        <w:t>th</w:t>
      </w:r>
      <w:r>
        <w:t xml:space="preserve"> r</w:t>
      </w:r>
      <w:r w:rsidR="005D0F65" w:rsidRPr="00BB5311">
        <w:t xml:space="preserve">espondent interests in the matter is that it represents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5D0F65" w:rsidRPr="00BB5311">
        <w:t>espondents.</w:t>
      </w:r>
      <w:r w:rsidR="00925D10" w:rsidRPr="00BB5311">
        <w:t xml:space="preserve"> </w:t>
      </w:r>
      <w:r>
        <w:t xml:space="preserve"> </w:t>
      </w:r>
      <w:r w:rsidR="00925D10" w:rsidRPr="00BB5311">
        <w:t>He further contended that it is impossible for the 200</w:t>
      </w:r>
      <w:r w:rsidR="00925D10" w:rsidRPr="00BB5311">
        <w:rPr>
          <w:vertAlign w:val="superscript"/>
        </w:rPr>
        <w:t>th</w:t>
      </w:r>
      <w:r w:rsidR="00925D10" w:rsidRPr="00BB5311">
        <w:t xml:space="preserve"> </w:t>
      </w:r>
      <w:r>
        <w:t>r</w:t>
      </w:r>
      <w:r w:rsidR="00925D10" w:rsidRPr="00BB5311">
        <w:t>espondent to influence</w:t>
      </w:r>
      <w:r w:rsidR="00184E83" w:rsidRPr="00BB5311">
        <w:t xml:space="preserve">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184E83" w:rsidRPr="00BB5311">
        <w:t>espondents when it was not yet in the picture.</w:t>
      </w:r>
      <w:r w:rsidR="007B6E95" w:rsidRPr="00BB5311">
        <w:t xml:space="preserve">  Mr </w:t>
      </w:r>
      <w:r w:rsidR="00084066" w:rsidRPr="007172F1">
        <w:rPr>
          <w:i/>
        </w:rPr>
        <w:t xml:space="preserve">Shava </w:t>
      </w:r>
      <w:r w:rsidR="00084066" w:rsidRPr="00BB5311">
        <w:t>motivated</w:t>
      </w:r>
      <w:r w:rsidR="007B6E95" w:rsidRPr="00BB5311">
        <w:t xml:space="preserve"> the court</w:t>
      </w:r>
      <w:r w:rsidR="008A36AD" w:rsidRPr="00BB5311">
        <w:t xml:space="preserve"> to remove the 200</w:t>
      </w:r>
      <w:r w:rsidR="008A36AD" w:rsidRPr="00BB5311">
        <w:rPr>
          <w:vertAlign w:val="superscript"/>
        </w:rPr>
        <w:t>th</w:t>
      </w:r>
      <w:r w:rsidR="008A36AD" w:rsidRPr="00BB5311">
        <w:t xml:space="preserve"> </w:t>
      </w:r>
      <w:r>
        <w:t>r</w:t>
      </w:r>
      <w:r w:rsidR="008A36AD" w:rsidRPr="00BB5311">
        <w:t>espondent as a party to the proceedings.</w:t>
      </w:r>
      <w:r w:rsidR="00344B55" w:rsidRPr="00BB5311">
        <w:t xml:space="preserve"> </w:t>
      </w:r>
      <w:r w:rsidR="00B224B2" w:rsidRPr="00BB5311">
        <w:t xml:space="preserve">The </w:t>
      </w:r>
      <w:r>
        <w:t>a</w:t>
      </w:r>
      <w:r w:rsidR="00B224B2" w:rsidRPr="00BB5311">
        <w:t xml:space="preserve">pplicant opposed this point </w:t>
      </w:r>
      <w:r w:rsidR="00B224B2" w:rsidRPr="00BB5311">
        <w:rPr>
          <w:i/>
        </w:rPr>
        <w:t>in limine</w:t>
      </w:r>
      <w:r w:rsidR="00B224B2" w:rsidRPr="00BB5311">
        <w:t>.</w:t>
      </w:r>
      <w:r w:rsidR="00D02FD2" w:rsidRPr="00BB5311">
        <w:t xml:space="preserve"> Adv </w:t>
      </w:r>
      <w:r w:rsidR="00D02FD2" w:rsidRPr="007172F1">
        <w:rPr>
          <w:i/>
        </w:rPr>
        <w:t>Magwaliba</w:t>
      </w:r>
      <w:r w:rsidR="00D02FD2" w:rsidRPr="00BB5311">
        <w:t xml:space="preserve"> submitted that the </w:t>
      </w:r>
      <w:r w:rsidR="00886BFA" w:rsidRPr="00BB5311">
        <w:t>200</w:t>
      </w:r>
      <w:r w:rsidR="00886BFA" w:rsidRPr="00BB5311">
        <w:rPr>
          <w:vertAlign w:val="superscript"/>
        </w:rPr>
        <w:t>th</w:t>
      </w:r>
      <w:r w:rsidR="00886BFA" w:rsidRPr="00BB5311">
        <w:t xml:space="preserve"> </w:t>
      </w:r>
      <w:r>
        <w:t>r</w:t>
      </w:r>
      <w:r w:rsidR="00886BFA" w:rsidRPr="00BB5311">
        <w:t xml:space="preserve">espondent influenced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886BFA" w:rsidRPr="00BB5311">
        <w:t>espondents to embark on an industrial action</w:t>
      </w:r>
      <w:r w:rsidR="000E5F24" w:rsidRPr="00BB5311">
        <w:t xml:space="preserve"> through various methods of communication</w:t>
      </w:r>
      <w:r w:rsidR="00886BFA" w:rsidRPr="00BB5311">
        <w:t>.</w:t>
      </w:r>
      <w:r w:rsidR="00CC41CC" w:rsidRPr="00BB5311">
        <w:t xml:space="preserve"> He further maintained that </w:t>
      </w:r>
      <w:r w:rsidR="005E291B" w:rsidRPr="00BB5311">
        <w:t xml:space="preserve">in the premises </w:t>
      </w:r>
      <w:r w:rsidR="00CC41CC" w:rsidRPr="00BB5311">
        <w:t>the 200</w:t>
      </w:r>
      <w:r w:rsidR="00CC41CC" w:rsidRPr="00BB5311">
        <w:rPr>
          <w:vertAlign w:val="superscript"/>
        </w:rPr>
        <w:t>th</w:t>
      </w:r>
      <w:r w:rsidR="00CC41CC" w:rsidRPr="00BB5311">
        <w:t xml:space="preserve"> </w:t>
      </w:r>
      <w:r>
        <w:t>r</w:t>
      </w:r>
      <w:r w:rsidR="00CC41CC" w:rsidRPr="00BB5311">
        <w:t xml:space="preserve">espondent </w:t>
      </w:r>
      <w:r w:rsidR="007A1669" w:rsidRPr="00BB5311">
        <w:t xml:space="preserve">must </w:t>
      </w:r>
      <w:r w:rsidR="00CC41CC" w:rsidRPr="00BB5311">
        <w:t>be interdicted from interfering with the return of the vehicle</w:t>
      </w:r>
      <w:r>
        <w:t>s to the a</w:t>
      </w:r>
      <w:r w:rsidR="00CC41CC" w:rsidRPr="00BB5311">
        <w:t>pplicant’s premises.</w:t>
      </w:r>
    </w:p>
    <w:p w:rsidR="008303B6" w:rsidRPr="00BB5311" w:rsidRDefault="007172F1" w:rsidP="00E36C94">
      <w:pPr>
        <w:spacing w:line="360" w:lineRule="auto"/>
        <w:jc w:val="both"/>
      </w:pPr>
      <w:r>
        <w:tab/>
      </w:r>
      <w:r w:rsidR="005A413F" w:rsidRPr="00BB5311">
        <w:t xml:space="preserve">Lastly, the </w:t>
      </w:r>
      <w:r>
        <w:t>r</w:t>
      </w:r>
      <w:r w:rsidR="005A413F" w:rsidRPr="00BB5311">
        <w:t xml:space="preserve">espondents also raised </w:t>
      </w:r>
      <w:r w:rsidR="00084066" w:rsidRPr="00BB5311">
        <w:t>another point</w:t>
      </w:r>
      <w:r w:rsidR="005A413F" w:rsidRPr="00BB5311">
        <w:t xml:space="preserve"> </w:t>
      </w:r>
      <w:r w:rsidR="005A413F" w:rsidRPr="00BB5311">
        <w:rPr>
          <w:i/>
        </w:rPr>
        <w:t>in limine</w:t>
      </w:r>
      <w:r w:rsidR="005A413F" w:rsidRPr="00BB5311">
        <w:t xml:space="preserve"> where they highlighted that the present application is</w:t>
      </w:r>
      <w:r w:rsidR="00D973BE" w:rsidRPr="00BB5311">
        <w:t xml:space="preserve"> pregnant with material disputes</w:t>
      </w:r>
      <w:r w:rsidR="00EA4F20" w:rsidRPr="00BB5311">
        <w:t xml:space="preserve"> which cannot be resolved by way of affidavits</w:t>
      </w:r>
      <w:r w:rsidR="00D973BE" w:rsidRPr="00BB5311">
        <w:t>.</w:t>
      </w:r>
      <w:r w:rsidR="004D683A" w:rsidRPr="00BB5311">
        <w:t xml:space="preserve"> It is the case of the </w:t>
      </w:r>
      <w:r>
        <w:t>r</w:t>
      </w:r>
      <w:r w:rsidR="004D683A" w:rsidRPr="00BB5311">
        <w:t>espondents that about 103 vehicles have been forc</w:t>
      </w:r>
      <w:r w:rsidR="00344FC9" w:rsidRPr="00BB5311">
        <w:t xml:space="preserve">ibly </w:t>
      </w:r>
      <w:r>
        <w:t>taken from some of the r</w:t>
      </w:r>
      <w:r w:rsidR="004D683A" w:rsidRPr="00BB5311">
        <w:t xml:space="preserve">espondents by the </w:t>
      </w:r>
      <w:r>
        <w:t>a</w:t>
      </w:r>
      <w:r w:rsidR="004D683A" w:rsidRPr="00BB5311">
        <w:t>pplicant with the use of Police.</w:t>
      </w:r>
      <w:r>
        <w:t xml:space="preserve"> Mr</w:t>
      </w:r>
      <w:r w:rsidR="0054173E" w:rsidRPr="00BB5311">
        <w:t xml:space="preserve"> </w:t>
      </w:r>
      <w:r w:rsidR="0054173E" w:rsidRPr="007172F1">
        <w:rPr>
          <w:i/>
        </w:rPr>
        <w:t>Shava</w:t>
      </w:r>
      <w:r>
        <w:t>, on behalf of the r</w:t>
      </w:r>
      <w:r w:rsidR="0054173E" w:rsidRPr="00BB5311">
        <w:t xml:space="preserve">espondents submitted that </w:t>
      </w:r>
      <w:r>
        <w:t>this is why the a</w:t>
      </w:r>
      <w:r w:rsidR="006E1A9D" w:rsidRPr="00BB5311">
        <w:t>pplicant</w:t>
      </w:r>
      <w:r w:rsidR="003C6693">
        <w:t xml:space="preserve"> is</w:t>
      </w:r>
      <w:r w:rsidR="006E1A9D" w:rsidRPr="00BB5311">
        <w:t xml:space="preserve"> avoiding </w:t>
      </w:r>
      <w:r w:rsidR="001517BE">
        <w:t xml:space="preserve">clearly identifying </w:t>
      </w:r>
      <w:r w:rsidR="006E1A9D" w:rsidRPr="00BB5311">
        <w:t xml:space="preserve">the vehicles which are in </w:t>
      </w:r>
      <w:r w:rsidR="001517BE">
        <w:t xml:space="preserve">the </w:t>
      </w:r>
      <w:r w:rsidR="006E1A9D" w:rsidRPr="00BB5311">
        <w:t xml:space="preserve">possession of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6E1A9D" w:rsidRPr="00BB5311">
        <w:t>espondents</w:t>
      </w:r>
      <w:r w:rsidR="00FF64B6" w:rsidRPr="00BB5311">
        <w:t xml:space="preserve">. </w:t>
      </w:r>
      <w:r w:rsidR="00084066" w:rsidRPr="00BB5311">
        <w:t>The counsel</w:t>
      </w:r>
      <w:r w:rsidR="00317999" w:rsidRPr="00BB5311">
        <w:t xml:space="preserve"> further maintained that it is common cause that all trucks do have tracking system which can make it </w:t>
      </w:r>
      <w:r w:rsidR="00084066" w:rsidRPr="00BB5311">
        <w:t>easy to</w:t>
      </w:r>
      <w:r w:rsidR="00317999" w:rsidRPr="00BB5311">
        <w:t xml:space="preserve"> locate all the trucks in dispute.</w:t>
      </w:r>
      <w:r w:rsidR="00EA06F9" w:rsidRPr="00BB5311">
        <w:t xml:space="preserve"> The counsel for the </w:t>
      </w:r>
      <w:r>
        <w:t>r</w:t>
      </w:r>
      <w:r w:rsidR="00EA06F9" w:rsidRPr="00BB5311">
        <w:t xml:space="preserve">espondents also highlighted </w:t>
      </w:r>
      <w:r w:rsidR="00084066" w:rsidRPr="00BB5311">
        <w:t>that it</w:t>
      </w:r>
      <w:r w:rsidR="00543993" w:rsidRPr="00BB5311">
        <w:t xml:space="preserve"> is difficult to </w:t>
      </w:r>
      <w:r w:rsidR="00400995" w:rsidRPr="00BB5311">
        <w:t xml:space="preserve">verify the exact truck possessed by a particular </w:t>
      </w:r>
      <w:r>
        <w:t>r</w:t>
      </w:r>
      <w:r w:rsidR="00543993" w:rsidRPr="00BB5311">
        <w:t xml:space="preserve">espondent in light of the </w:t>
      </w:r>
      <w:r w:rsidR="00400995" w:rsidRPr="00BB5311">
        <w:t>present application</w:t>
      </w:r>
      <w:r w:rsidR="00543993" w:rsidRPr="00BB5311">
        <w:t xml:space="preserve">. </w:t>
      </w:r>
      <w:r w:rsidR="008457DC" w:rsidRPr="00BB5311">
        <w:t xml:space="preserve">He further submitted that </w:t>
      </w:r>
      <w:r w:rsidR="00084066" w:rsidRPr="00BB5311">
        <w:t>the</w:t>
      </w:r>
      <w:r w:rsidR="008457DC" w:rsidRPr="00BB5311">
        <w:t xml:space="preserve"> mere fact that the vehicles have not been identified makes the application fatally defective. According to </w:t>
      </w:r>
      <w:r w:rsidR="00084066" w:rsidRPr="00BB5311">
        <w:t>the counsel</w:t>
      </w:r>
      <w:r w:rsidR="008457DC" w:rsidRPr="00BB5311">
        <w:t xml:space="preserve"> for the </w:t>
      </w:r>
      <w:r>
        <w:t>r</w:t>
      </w:r>
      <w:r w:rsidR="008457DC" w:rsidRPr="00BB5311">
        <w:t xml:space="preserve">espondents, the </w:t>
      </w:r>
      <w:r w:rsidR="008457DC" w:rsidRPr="00BB5311">
        <w:lastRenderedPageBreak/>
        <w:t xml:space="preserve">present application is an empty order as it </w:t>
      </w:r>
      <w:r w:rsidR="00084066" w:rsidRPr="00BB5311">
        <w:t>is incapable</w:t>
      </w:r>
      <w:r w:rsidR="008457DC" w:rsidRPr="00BB5311">
        <w:t xml:space="preserve"> of enforcement. The nature of the </w:t>
      </w:r>
      <w:r w:rsidR="0000703D" w:rsidRPr="00BB5311">
        <w:t>dispute</w:t>
      </w:r>
      <w:r w:rsidR="008457DC" w:rsidRPr="00BB5311">
        <w:t>s</w:t>
      </w:r>
      <w:r w:rsidR="0000703D" w:rsidRPr="00BB5311">
        <w:t xml:space="preserve"> cannot be resolved by </w:t>
      </w:r>
      <w:r w:rsidR="00BA7479" w:rsidRPr="00BB5311">
        <w:t xml:space="preserve">way </w:t>
      </w:r>
      <w:r w:rsidR="0000703D" w:rsidRPr="00BB5311">
        <w:t>of motion procedure</w:t>
      </w:r>
      <w:r w:rsidR="008457DC" w:rsidRPr="00BB5311">
        <w:t xml:space="preserve"> according to the counsel of the </w:t>
      </w:r>
      <w:r>
        <w:t>r</w:t>
      </w:r>
      <w:r w:rsidR="008457DC" w:rsidRPr="00BB5311">
        <w:t>espondents</w:t>
      </w:r>
      <w:r w:rsidR="0000703D" w:rsidRPr="00BB5311">
        <w:t>.</w:t>
      </w:r>
    </w:p>
    <w:p w:rsidR="006E197F" w:rsidRPr="00BB5311" w:rsidRDefault="007172F1" w:rsidP="00E36C94">
      <w:pPr>
        <w:spacing w:line="360" w:lineRule="auto"/>
        <w:jc w:val="both"/>
      </w:pPr>
      <w:r>
        <w:tab/>
      </w:r>
      <w:r w:rsidR="008303B6" w:rsidRPr="00BB5311">
        <w:t xml:space="preserve">This point </w:t>
      </w:r>
      <w:r w:rsidR="008303B6" w:rsidRPr="007172F1">
        <w:rPr>
          <w:i/>
        </w:rPr>
        <w:t>in limine</w:t>
      </w:r>
      <w:r w:rsidR="008303B6" w:rsidRPr="00BB5311">
        <w:t xml:space="preserve"> for material disputes of fact was vehemently </w:t>
      </w:r>
      <w:r w:rsidR="001517BE">
        <w:t xml:space="preserve">opposed </w:t>
      </w:r>
      <w:r w:rsidR="008303B6" w:rsidRPr="00BB5311">
        <w:t xml:space="preserve">by the counsel for the </w:t>
      </w:r>
      <w:r>
        <w:t>a</w:t>
      </w:r>
      <w:r w:rsidR="008303B6" w:rsidRPr="00BB5311">
        <w:t xml:space="preserve">pplicant. He urged the court to adopt a robust approach. Adv </w:t>
      </w:r>
      <w:r w:rsidR="008303B6" w:rsidRPr="007172F1">
        <w:rPr>
          <w:i/>
        </w:rPr>
        <w:t>Magwaliba</w:t>
      </w:r>
      <w:r w:rsidR="008303B6" w:rsidRPr="00BB5311">
        <w:t xml:space="preserve"> submitted that many factors are common cause and hence there are no serious disputes. He further maintained that it is not in dispute that the </w:t>
      </w:r>
      <w:r>
        <w:t>a</w:t>
      </w:r>
      <w:r w:rsidR="008303B6" w:rsidRPr="00BB5311">
        <w:t xml:space="preserve">pplicant is the owner of the trucks. He also argued that </w:t>
      </w:r>
      <w:r w:rsidR="00084066" w:rsidRPr="00BB5311">
        <w:t xml:space="preserve">the </w:t>
      </w:r>
      <w:r w:rsidR="007247FC" w:rsidRPr="00BB5311">
        <w:t>1</w:t>
      </w:r>
      <w:r w:rsidR="007247FC" w:rsidRPr="00BB5311">
        <w:rPr>
          <w:vertAlign w:val="superscript"/>
        </w:rPr>
        <w:t>st</w:t>
      </w:r>
      <w:r w:rsidR="007247FC">
        <w:t xml:space="preserve"> to </w:t>
      </w:r>
      <w:r w:rsidR="007247FC" w:rsidRPr="00BB5311">
        <w:t>199</w:t>
      </w:r>
      <w:r w:rsidR="007247FC" w:rsidRPr="00BB5311">
        <w:rPr>
          <w:vertAlign w:val="superscript"/>
        </w:rPr>
        <w:t>th</w:t>
      </w:r>
      <w:r w:rsidR="007247FC" w:rsidRPr="00BB5311">
        <w:t xml:space="preserve"> </w:t>
      </w:r>
      <w:r w:rsidR="007247FC">
        <w:t>r</w:t>
      </w:r>
      <w:r w:rsidR="00084066" w:rsidRPr="00BB5311">
        <w:t>espondents</w:t>
      </w:r>
      <w:r w:rsidR="008828E9" w:rsidRPr="00BB5311">
        <w:t xml:space="preserve"> have been illegally holding onto the trucks since 22 June 2022. </w:t>
      </w:r>
      <w:r w:rsidR="00986742">
        <w:t xml:space="preserve"> </w:t>
      </w:r>
      <w:r w:rsidR="008828E9" w:rsidRPr="00BB5311">
        <w:t xml:space="preserve">He further contended that it is not in dispute that the </w:t>
      </w:r>
      <w:r w:rsidR="007247FC">
        <w:t>a</w:t>
      </w:r>
      <w:r w:rsidR="008828E9" w:rsidRPr="00BB5311">
        <w:t>pplicant requires the trucks for it to execute its business.</w:t>
      </w:r>
      <w:r w:rsidR="00D96438" w:rsidRPr="00BB5311">
        <w:t xml:space="preserve"> Adv </w:t>
      </w:r>
      <w:r w:rsidR="00D96438" w:rsidRPr="007247FC">
        <w:rPr>
          <w:i/>
        </w:rPr>
        <w:t>Magwaliba</w:t>
      </w:r>
      <w:r w:rsidR="00D96438" w:rsidRPr="00BB5311">
        <w:t xml:space="preserve"> further argued that there is no evidence suggesting </w:t>
      </w:r>
      <w:r w:rsidR="001517BE">
        <w:t xml:space="preserve">that </w:t>
      </w:r>
      <w:r w:rsidR="00D96438" w:rsidRPr="00BB5311">
        <w:t xml:space="preserve">the </w:t>
      </w:r>
      <w:r w:rsidR="007247FC">
        <w:t>r</w:t>
      </w:r>
      <w:r w:rsidR="00D96438" w:rsidRPr="00BB5311">
        <w:t xml:space="preserve">espondents returned 103 vehicles to the </w:t>
      </w:r>
      <w:r w:rsidR="007247FC">
        <w:t>a</w:t>
      </w:r>
      <w:r w:rsidR="00D96438" w:rsidRPr="00BB5311">
        <w:t xml:space="preserve">pplicant. </w:t>
      </w:r>
      <w:r w:rsidR="00306660" w:rsidRPr="00BB5311">
        <w:t xml:space="preserve"> He also claimed that in any event if it is proved that some of the vehicles have been returned, the writ for the delivery will be </w:t>
      </w:r>
      <w:r w:rsidR="00084066" w:rsidRPr="00BB5311">
        <w:t>issued in</w:t>
      </w:r>
      <w:r w:rsidR="00306660" w:rsidRPr="00BB5311">
        <w:t xml:space="preserve"> respect of the outstanding vehicles.</w:t>
      </w:r>
    </w:p>
    <w:p w:rsidR="00945820" w:rsidRPr="00BB5311" w:rsidRDefault="007247FC" w:rsidP="00E36C94">
      <w:pPr>
        <w:spacing w:line="360" w:lineRule="auto"/>
        <w:jc w:val="both"/>
      </w:pPr>
      <w:r>
        <w:tab/>
      </w:r>
      <w:r w:rsidR="00084066">
        <w:t>In determining</w:t>
      </w:r>
      <w:r w:rsidR="009778AD">
        <w:t xml:space="preserve"> the points </w:t>
      </w:r>
      <w:r w:rsidR="009778AD">
        <w:rPr>
          <w:i/>
        </w:rPr>
        <w:t xml:space="preserve">in limine, </w:t>
      </w:r>
      <w:r w:rsidR="009E029D" w:rsidRPr="00BB5311">
        <w:t xml:space="preserve">I will firstly deal with the </w:t>
      </w:r>
      <w:r>
        <w:t>a</w:t>
      </w:r>
      <w:r w:rsidR="009E029D" w:rsidRPr="00BB5311">
        <w:t xml:space="preserve">pplicant’s point </w:t>
      </w:r>
      <w:r w:rsidR="009E029D" w:rsidRPr="00BB5311">
        <w:rPr>
          <w:i/>
        </w:rPr>
        <w:t>in limine</w:t>
      </w:r>
      <w:r w:rsidR="009E029D" w:rsidRPr="00BB5311">
        <w:t xml:space="preserve"> due to its potential </w:t>
      </w:r>
      <w:r w:rsidR="00084066" w:rsidRPr="00BB5311">
        <w:t>effect upon</w:t>
      </w:r>
      <w:r w:rsidR="005C7CFC" w:rsidRPr="00BB5311">
        <w:t xml:space="preserve"> the Opposing Affidavit which is before the court. </w:t>
      </w:r>
      <w:r w:rsidR="00993347" w:rsidRPr="00BB5311">
        <w:t>I</w:t>
      </w:r>
      <w:r>
        <w:t xml:space="preserve"> </w:t>
      </w:r>
      <w:r w:rsidR="00993347" w:rsidRPr="00BB5311">
        <w:t xml:space="preserve">will thereafter address the points </w:t>
      </w:r>
      <w:r w:rsidR="00993347" w:rsidRPr="00BB5311">
        <w:rPr>
          <w:i/>
        </w:rPr>
        <w:t>in limine</w:t>
      </w:r>
      <w:r w:rsidR="00993347" w:rsidRPr="00BB5311">
        <w:t xml:space="preserve"> for the </w:t>
      </w:r>
      <w:r>
        <w:t>r</w:t>
      </w:r>
      <w:r w:rsidR="00993347" w:rsidRPr="00BB5311">
        <w:t>espondents.</w:t>
      </w:r>
    </w:p>
    <w:p w:rsidR="007213CC" w:rsidRPr="00BB5311" w:rsidRDefault="007247FC" w:rsidP="00E36C94">
      <w:pPr>
        <w:spacing w:line="360" w:lineRule="auto"/>
        <w:jc w:val="both"/>
      </w:pPr>
      <w:r>
        <w:tab/>
      </w:r>
      <w:r w:rsidR="00084066" w:rsidRPr="00BB5311">
        <w:t xml:space="preserve">The </w:t>
      </w:r>
      <w:r w:rsidR="00084066" w:rsidRPr="00986742">
        <w:rPr>
          <w:i/>
        </w:rPr>
        <w:t>locus</w:t>
      </w:r>
      <w:r w:rsidR="00945820" w:rsidRPr="00BB5311">
        <w:rPr>
          <w:i/>
        </w:rPr>
        <w:t xml:space="preserve"> </w:t>
      </w:r>
      <w:r w:rsidR="00084066" w:rsidRPr="00BB5311">
        <w:rPr>
          <w:i/>
        </w:rPr>
        <w:t xml:space="preserve">standi </w:t>
      </w:r>
      <w:r w:rsidR="00084066">
        <w:t>of the</w:t>
      </w:r>
      <w:r w:rsidR="00945820" w:rsidRPr="00BB5311">
        <w:t xml:space="preserve"> </w:t>
      </w:r>
      <w:r w:rsidR="00BB5311" w:rsidRPr="00BB5311">
        <w:t>Workers Committee</w:t>
      </w:r>
      <w:r w:rsidR="00945820" w:rsidRPr="00BB5311">
        <w:t xml:space="preserve"> was settled by the Supreme Court in the case of </w:t>
      </w:r>
      <w:r w:rsidR="00945820" w:rsidRPr="007247FC">
        <w:rPr>
          <w:i/>
        </w:rPr>
        <w:t xml:space="preserve">Gweru Water Workers Committee </w:t>
      </w:r>
      <w:r w:rsidR="00945820" w:rsidRPr="007247FC">
        <w:t>v</w:t>
      </w:r>
      <w:r w:rsidR="00945820" w:rsidRPr="007247FC">
        <w:rPr>
          <w:i/>
        </w:rPr>
        <w:t xml:space="preserve"> City of Gweru</w:t>
      </w:r>
      <w:r w:rsidR="00945820" w:rsidRPr="00BB5311">
        <w:t xml:space="preserve"> (</w:t>
      </w:r>
      <w:r w:rsidR="00945820" w:rsidRPr="00BB5311">
        <w:rPr>
          <w:i/>
        </w:rPr>
        <w:t>supra</w:t>
      </w:r>
      <w:r w:rsidR="00945820" w:rsidRPr="00BB5311">
        <w:t>) where the court held that</w:t>
      </w:r>
      <w:r>
        <w:t>:-</w:t>
      </w:r>
    </w:p>
    <w:p w:rsidR="007213CC" w:rsidRPr="000719B6" w:rsidRDefault="007247FC" w:rsidP="00E36C94">
      <w:pPr>
        <w:jc w:val="both"/>
        <w:rPr>
          <w:sz w:val="22"/>
          <w:szCs w:val="22"/>
        </w:rPr>
      </w:pPr>
      <w:r>
        <w:tab/>
      </w:r>
      <w:r w:rsidR="007213CC" w:rsidRPr="000719B6">
        <w:rPr>
          <w:sz w:val="22"/>
          <w:szCs w:val="22"/>
        </w:rPr>
        <w:t xml:space="preserve">“A workers committee set up in terms of s 23 of the Act cannot set up a written constitution in </w:t>
      </w:r>
      <w:r w:rsidR="000719B6">
        <w:rPr>
          <w:sz w:val="22"/>
          <w:szCs w:val="22"/>
        </w:rPr>
        <w:tab/>
      </w:r>
      <w:r w:rsidR="007213CC" w:rsidRPr="000719B6">
        <w:rPr>
          <w:sz w:val="22"/>
          <w:szCs w:val="22"/>
        </w:rPr>
        <w:t xml:space="preserve">order to imbue itself with the capacity to sue which it does not have under the statute in </w:t>
      </w:r>
      <w:r w:rsidR="000719B6">
        <w:rPr>
          <w:sz w:val="22"/>
          <w:szCs w:val="22"/>
        </w:rPr>
        <w:tab/>
      </w:r>
      <w:r w:rsidR="007213CC" w:rsidRPr="000719B6">
        <w:rPr>
          <w:sz w:val="22"/>
          <w:szCs w:val="22"/>
        </w:rPr>
        <w:t xml:space="preserve">terms of which it is formed. In </w:t>
      </w:r>
      <w:r w:rsidR="007213CC" w:rsidRPr="000719B6">
        <w:rPr>
          <w:i/>
          <w:sz w:val="22"/>
          <w:szCs w:val="22"/>
        </w:rPr>
        <w:t xml:space="preserve">CT Bolts </w:t>
      </w:r>
      <w:r w:rsidR="007213CC" w:rsidRPr="000719B6">
        <w:rPr>
          <w:sz w:val="22"/>
          <w:szCs w:val="22"/>
        </w:rPr>
        <w:t>v</w:t>
      </w:r>
      <w:r w:rsidR="007213CC" w:rsidRPr="000719B6">
        <w:rPr>
          <w:i/>
          <w:sz w:val="22"/>
          <w:szCs w:val="22"/>
        </w:rPr>
        <w:t xml:space="preserve"> Workers Committee</w:t>
      </w:r>
      <w:r w:rsidR="007213CC" w:rsidRPr="000719B6">
        <w:rPr>
          <w:sz w:val="22"/>
          <w:szCs w:val="22"/>
        </w:rPr>
        <w:t xml:space="preserve"> SC-</w:t>
      </w:r>
      <w:r w:rsidR="000719B6" w:rsidRPr="000719B6">
        <w:rPr>
          <w:sz w:val="22"/>
          <w:szCs w:val="22"/>
        </w:rPr>
        <w:t>1</w:t>
      </w:r>
      <w:r w:rsidR="007213CC" w:rsidRPr="000719B6">
        <w:rPr>
          <w:sz w:val="22"/>
          <w:szCs w:val="22"/>
        </w:rPr>
        <w:t xml:space="preserve">6-12 </w:t>
      </w:r>
      <w:r w:rsidRPr="000719B6">
        <w:rPr>
          <w:smallCaps/>
          <w:sz w:val="22"/>
          <w:szCs w:val="22"/>
        </w:rPr>
        <w:t>garwe ja</w:t>
      </w:r>
      <w:r w:rsidRPr="000719B6">
        <w:rPr>
          <w:sz w:val="22"/>
          <w:szCs w:val="22"/>
        </w:rPr>
        <w:t xml:space="preserve"> </w:t>
      </w:r>
      <w:r w:rsidR="007213CC" w:rsidRPr="000719B6">
        <w:rPr>
          <w:sz w:val="22"/>
          <w:szCs w:val="22"/>
        </w:rPr>
        <w:t>said:</w:t>
      </w:r>
      <w:r w:rsidRPr="000719B6">
        <w:rPr>
          <w:sz w:val="22"/>
          <w:szCs w:val="22"/>
        </w:rPr>
        <w:t>-</w:t>
      </w:r>
    </w:p>
    <w:p w:rsidR="00063F63" w:rsidRPr="000719B6" w:rsidRDefault="000719B6" w:rsidP="00E36C94">
      <w:pPr>
        <w:jc w:val="both"/>
        <w:rPr>
          <w:sz w:val="22"/>
          <w:szCs w:val="22"/>
        </w:rPr>
      </w:pPr>
      <w:r w:rsidRPr="000719B6">
        <w:rPr>
          <w:sz w:val="22"/>
          <w:szCs w:val="22"/>
        </w:rPr>
        <w:tab/>
      </w:r>
      <w:r w:rsidRPr="000719B6">
        <w:rPr>
          <w:sz w:val="22"/>
          <w:szCs w:val="22"/>
        </w:rPr>
        <w:tab/>
        <w:t>‘</w:t>
      </w:r>
      <w:r w:rsidR="007213CC" w:rsidRPr="000719B6">
        <w:rPr>
          <w:sz w:val="22"/>
          <w:szCs w:val="22"/>
        </w:rPr>
        <w:t xml:space="preserve">Under the common law, an unincorporated association, not being a legal </w:t>
      </w:r>
      <w:r>
        <w:rPr>
          <w:sz w:val="22"/>
          <w:szCs w:val="22"/>
        </w:rPr>
        <w:t>persona</w:t>
      </w:r>
      <w:r>
        <w:rPr>
          <w:sz w:val="22"/>
          <w:szCs w:val="22"/>
        </w:rPr>
        <w:tab/>
        <w:t>,</w:t>
      </w:r>
      <w:r w:rsidRPr="000719B6">
        <w:rPr>
          <w:sz w:val="22"/>
          <w:szCs w:val="22"/>
        </w:rPr>
        <w:tab/>
      </w:r>
      <w:r>
        <w:rPr>
          <w:sz w:val="22"/>
          <w:szCs w:val="22"/>
        </w:rPr>
        <w:tab/>
      </w:r>
      <w:r w:rsidR="007213CC" w:rsidRPr="000719B6">
        <w:rPr>
          <w:sz w:val="22"/>
          <w:szCs w:val="22"/>
        </w:rPr>
        <w:t xml:space="preserve">cannot as a general rule, sue or be sued in its name apart from the </w:t>
      </w:r>
      <w:r>
        <w:rPr>
          <w:sz w:val="22"/>
          <w:szCs w:val="22"/>
        </w:rPr>
        <w:t xml:space="preserve">individual members, </w:t>
      </w:r>
      <w:r>
        <w:rPr>
          <w:sz w:val="22"/>
          <w:szCs w:val="22"/>
        </w:rPr>
        <w:tab/>
      </w:r>
      <w:r w:rsidRPr="000719B6">
        <w:rPr>
          <w:sz w:val="22"/>
          <w:szCs w:val="22"/>
        </w:rPr>
        <w:tab/>
      </w:r>
      <w:r w:rsidR="007213CC" w:rsidRPr="000719B6">
        <w:rPr>
          <w:sz w:val="22"/>
          <w:szCs w:val="22"/>
        </w:rPr>
        <w:t xml:space="preserve">whose names have to be cited in the summons.  A </w:t>
      </w:r>
      <w:r w:rsidR="007213CC" w:rsidRPr="000719B6">
        <w:rPr>
          <w:i/>
          <w:sz w:val="22"/>
          <w:szCs w:val="22"/>
        </w:rPr>
        <w:t>universitas</w:t>
      </w:r>
      <w:r w:rsidR="007213CC" w:rsidRPr="000719B6">
        <w:rPr>
          <w:sz w:val="22"/>
          <w:szCs w:val="22"/>
        </w:rPr>
        <w:t xml:space="preserve"> on the other hand has the </w:t>
      </w:r>
      <w:r>
        <w:rPr>
          <w:sz w:val="22"/>
          <w:szCs w:val="22"/>
        </w:rPr>
        <w:tab/>
      </w:r>
      <w:r>
        <w:rPr>
          <w:sz w:val="22"/>
          <w:szCs w:val="22"/>
        </w:rPr>
        <w:tab/>
      </w:r>
      <w:r w:rsidR="007213CC" w:rsidRPr="000719B6">
        <w:rPr>
          <w:sz w:val="22"/>
          <w:szCs w:val="22"/>
        </w:rPr>
        <w:t xml:space="preserve">capacity, apart from the rights of the individuals forming it, to acquire rights and incur </w:t>
      </w:r>
      <w:r>
        <w:rPr>
          <w:sz w:val="22"/>
          <w:szCs w:val="22"/>
        </w:rPr>
        <w:tab/>
      </w:r>
      <w:r>
        <w:rPr>
          <w:sz w:val="22"/>
          <w:szCs w:val="22"/>
        </w:rPr>
        <w:tab/>
      </w:r>
      <w:r w:rsidR="007213CC" w:rsidRPr="000719B6">
        <w:rPr>
          <w:sz w:val="22"/>
          <w:szCs w:val="22"/>
        </w:rPr>
        <w:t xml:space="preserve">obligations.  The position is also established that a body that has no constitution is not </w:t>
      </w:r>
      <w:r>
        <w:rPr>
          <w:sz w:val="22"/>
          <w:szCs w:val="22"/>
        </w:rPr>
        <w:tab/>
      </w:r>
      <w:r>
        <w:rPr>
          <w:sz w:val="22"/>
          <w:szCs w:val="22"/>
        </w:rPr>
        <w:tab/>
      </w:r>
      <w:r w:rsidR="007213CC" w:rsidRPr="000719B6">
        <w:rPr>
          <w:sz w:val="22"/>
          <w:szCs w:val="22"/>
        </w:rPr>
        <w:t xml:space="preserve">a </w:t>
      </w:r>
      <w:r w:rsidR="007213CC" w:rsidRPr="000719B6">
        <w:rPr>
          <w:i/>
          <w:sz w:val="22"/>
          <w:szCs w:val="22"/>
        </w:rPr>
        <w:t>universitas</w:t>
      </w:r>
      <w:r w:rsidR="007213CC" w:rsidRPr="000719B6">
        <w:rPr>
          <w:sz w:val="22"/>
          <w:szCs w:val="22"/>
        </w:rPr>
        <w:t xml:space="preserve"> for it is the constitution that determines whether an association is or is not </w:t>
      </w:r>
      <w:r>
        <w:rPr>
          <w:sz w:val="22"/>
          <w:szCs w:val="22"/>
        </w:rPr>
        <w:tab/>
      </w:r>
      <w:r>
        <w:rPr>
          <w:sz w:val="22"/>
          <w:szCs w:val="22"/>
        </w:rPr>
        <w:tab/>
      </w:r>
      <w:r w:rsidR="007213CC" w:rsidRPr="000719B6">
        <w:rPr>
          <w:sz w:val="22"/>
          <w:szCs w:val="22"/>
        </w:rPr>
        <w:t xml:space="preserve">a </w:t>
      </w:r>
      <w:r w:rsidR="007213CC" w:rsidRPr="000719B6">
        <w:rPr>
          <w:i/>
          <w:sz w:val="22"/>
          <w:szCs w:val="22"/>
        </w:rPr>
        <w:t>universitas</w:t>
      </w:r>
      <w:r w:rsidR="007213CC" w:rsidRPr="000719B6">
        <w:rPr>
          <w:sz w:val="22"/>
          <w:szCs w:val="22"/>
        </w:rPr>
        <w:t xml:space="preserve">. On a proper interpretation of s 24 of the Act, it is clear that a workers </w:t>
      </w:r>
      <w:r>
        <w:rPr>
          <w:sz w:val="22"/>
          <w:szCs w:val="22"/>
        </w:rPr>
        <w:tab/>
      </w:r>
      <w:r>
        <w:rPr>
          <w:sz w:val="22"/>
          <w:szCs w:val="22"/>
        </w:rPr>
        <w:tab/>
      </w:r>
      <w:r w:rsidR="007213CC" w:rsidRPr="000719B6">
        <w:rPr>
          <w:sz w:val="22"/>
          <w:szCs w:val="22"/>
        </w:rPr>
        <w:t xml:space="preserve">committee exists to safeguard and champion the interests and welfare of the workers at </w:t>
      </w:r>
      <w:r>
        <w:rPr>
          <w:sz w:val="22"/>
          <w:szCs w:val="22"/>
        </w:rPr>
        <w:tab/>
      </w:r>
      <w:r>
        <w:rPr>
          <w:sz w:val="22"/>
          <w:szCs w:val="22"/>
        </w:rPr>
        <w:tab/>
      </w:r>
      <w:r w:rsidR="007213CC" w:rsidRPr="000719B6">
        <w:rPr>
          <w:sz w:val="22"/>
          <w:szCs w:val="22"/>
        </w:rPr>
        <w:t xml:space="preserve">the work place. It has no other function. There is no provision in the Act requiring </w:t>
      </w:r>
      <w:r w:rsidRPr="000719B6">
        <w:rPr>
          <w:sz w:val="22"/>
          <w:szCs w:val="22"/>
        </w:rPr>
        <w:tab/>
      </w:r>
      <w:r w:rsidRPr="000719B6">
        <w:rPr>
          <w:sz w:val="22"/>
          <w:szCs w:val="22"/>
        </w:rPr>
        <w:tab/>
      </w:r>
      <w:r w:rsidR="007213CC" w:rsidRPr="000719B6">
        <w:rPr>
          <w:sz w:val="22"/>
          <w:szCs w:val="22"/>
        </w:rPr>
        <w:t xml:space="preserve">a workers committee to adopt a constitution.  There is also no requirement for a </w:t>
      </w:r>
      <w:r w:rsidRPr="000719B6">
        <w:rPr>
          <w:sz w:val="22"/>
          <w:szCs w:val="22"/>
        </w:rPr>
        <w:tab/>
      </w:r>
      <w:r w:rsidRPr="000719B6">
        <w:rPr>
          <w:sz w:val="22"/>
          <w:szCs w:val="22"/>
        </w:rPr>
        <w:tab/>
      </w:r>
      <w:r>
        <w:rPr>
          <w:sz w:val="22"/>
          <w:szCs w:val="22"/>
        </w:rPr>
        <w:tab/>
      </w:r>
      <w:r w:rsidR="007213CC" w:rsidRPr="000719B6">
        <w:rPr>
          <w:sz w:val="22"/>
          <w:szCs w:val="22"/>
        </w:rPr>
        <w:t xml:space="preserve">workers committee to acquire rights apart from the rights of the individuals </w:t>
      </w:r>
      <w:r>
        <w:rPr>
          <w:sz w:val="22"/>
          <w:szCs w:val="22"/>
        </w:rPr>
        <w:t>forming</w:t>
      </w:r>
      <w:r w:rsidRPr="000719B6">
        <w:rPr>
          <w:sz w:val="22"/>
          <w:szCs w:val="22"/>
        </w:rPr>
        <w:tab/>
      </w:r>
      <w:r w:rsidRPr="000719B6">
        <w:rPr>
          <w:sz w:val="22"/>
          <w:szCs w:val="22"/>
        </w:rPr>
        <w:tab/>
      </w:r>
      <w:r w:rsidR="007213CC" w:rsidRPr="000719B6">
        <w:rPr>
          <w:sz w:val="22"/>
          <w:szCs w:val="22"/>
        </w:rPr>
        <w:t xml:space="preserve">it and the employees they represent.  There is also no provision for a workers committee </w:t>
      </w:r>
      <w:r>
        <w:rPr>
          <w:sz w:val="22"/>
          <w:szCs w:val="22"/>
        </w:rPr>
        <w:tab/>
      </w:r>
      <w:r>
        <w:rPr>
          <w:sz w:val="22"/>
          <w:szCs w:val="22"/>
        </w:rPr>
        <w:tab/>
      </w:r>
      <w:r w:rsidR="007213CC" w:rsidRPr="000719B6">
        <w:rPr>
          <w:sz w:val="22"/>
          <w:szCs w:val="22"/>
        </w:rPr>
        <w:t>to acquire assets in its own name</w:t>
      </w:r>
      <w:r w:rsidR="007213CC" w:rsidRPr="000719B6">
        <w:rPr>
          <w:i/>
          <w:sz w:val="22"/>
          <w:szCs w:val="22"/>
        </w:rPr>
        <w:t>.</w:t>
      </w:r>
      <w:r w:rsidRPr="000719B6">
        <w:rPr>
          <w:sz w:val="22"/>
          <w:szCs w:val="22"/>
        </w:rPr>
        <w:t>’”</w:t>
      </w:r>
    </w:p>
    <w:p w:rsidR="00063F63" w:rsidRPr="000719B6" w:rsidRDefault="00063F63" w:rsidP="00E36C94">
      <w:pPr>
        <w:jc w:val="both"/>
        <w:rPr>
          <w:b/>
          <w:sz w:val="22"/>
          <w:szCs w:val="22"/>
        </w:rPr>
      </w:pPr>
    </w:p>
    <w:p w:rsidR="00503DF4" w:rsidRPr="003C6693" w:rsidRDefault="00063F63" w:rsidP="00503DF4">
      <w:pPr>
        <w:spacing w:line="360" w:lineRule="auto"/>
        <w:jc w:val="both"/>
      </w:pPr>
      <w:r w:rsidRPr="003C6693">
        <w:t>The Supreme Court in the case of Gweru Water Workers Committee further remarked as follows:</w:t>
      </w:r>
    </w:p>
    <w:p w:rsidR="00503DF4" w:rsidRDefault="00503DF4" w:rsidP="00503DF4">
      <w:pPr>
        <w:jc w:val="both"/>
        <w:rPr>
          <w:b/>
          <w:sz w:val="22"/>
          <w:szCs w:val="22"/>
        </w:rPr>
      </w:pPr>
      <w:r>
        <w:rPr>
          <w:b/>
        </w:rPr>
        <w:tab/>
      </w:r>
      <w:r w:rsidR="00063F63" w:rsidRPr="00503DF4">
        <w:rPr>
          <w:sz w:val="22"/>
          <w:szCs w:val="22"/>
        </w:rPr>
        <w:t>“</w:t>
      </w:r>
      <w:r w:rsidR="00063F63" w:rsidRPr="00503DF4">
        <w:rPr>
          <w:iCs/>
          <w:sz w:val="22"/>
          <w:szCs w:val="22"/>
        </w:rPr>
        <w:t xml:space="preserve">A workers committee cannot sue for any rights in a court of law because if it did, it would be </w:t>
      </w:r>
      <w:r>
        <w:rPr>
          <w:iCs/>
          <w:sz w:val="22"/>
          <w:szCs w:val="22"/>
        </w:rPr>
        <w:tab/>
      </w:r>
      <w:r w:rsidR="00063F63" w:rsidRPr="00503DF4">
        <w:rPr>
          <w:iCs/>
          <w:sz w:val="22"/>
          <w:szCs w:val="22"/>
        </w:rPr>
        <w:t xml:space="preserve">acting without any authority.  Any organisation performing the functions listed in s 24 of the </w:t>
      </w:r>
      <w:r>
        <w:rPr>
          <w:iCs/>
          <w:sz w:val="22"/>
          <w:szCs w:val="22"/>
        </w:rPr>
        <w:tab/>
      </w:r>
      <w:r w:rsidR="00063F63" w:rsidRPr="00503DF4">
        <w:rPr>
          <w:iCs/>
          <w:sz w:val="22"/>
          <w:szCs w:val="22"/>
        </w:rPr>
        <w:t xml:space="preserve">Act cannot act outside the scope of those functions and contrary to what the regulations made </w:t>
      </w:r>
      <w:r>
        <w:rPr>
          <w:iCs/>
          <w:sz w:val="22"/>
          <w:szCs w:val="22"/>
        </w:rPr>
        <w:lastRenderedPageBreak/>
        <w:tab/>
      </w:r>
      <w:r w:rsidR="00063F63" w:rsidRPr="00503DF4">
        <w:rPr>
          <w:iCs/>
          <w:sz w:val="22"/>
          <w:szCs w:val="22"/>
        </w:rPr>
        <w:t xml:space="preserve">by the Minister under s 26 have prescribed.  Workers committees have no right to represent </w:t>
      </w:r>
      <w:r>
        <w:rPr>
          <w:iCs/>
          <w:sz w:val="22"/>
          <w:szCs w:val="22"/>
        </w:rPr>
        <w:tab/>
      </w:r>
      <w:r w:rsidR="00063F63" w:rsidRPr="00503DF4">
        <w:rPr>
          <w:iCs/>
          <w:sz w:val="22"/>
          <w:szCs w:val="22"/>
        </w:rPr>
        <w:t>employees in litigation</w:t>
      </w:r>
      <w:r>
        <w:rPr>
          <w:i/>
          <w:iCs/>
          <w:sz w:val="22"/>
          <w:szCs w:val="22"/>
        </w:rPr>
        <w:t>.</w:t>
      </w:r>
      <w:r w:rsidR="00063F63" w:rsidRPr="00503DF4">
        <w:rPr>
          <w:i/>
          <w:iCs/>
          <w:sz w:val="22"/>
          <w:szCs w:val="22"/>
        </w:rPr>
        <w:t xml:space="preserve"> Cold Storage Co National Workers Committee </w:t>
      </w:r>
      <w:r w:rsidR="00063F63" w:rsidRPr="00503DF4">
        <w:rPr>
          <w:iCs/>
          <w:sz w:val="22"/>
          <w:szCs w:val="22"/>
        </w:rPr>
        <w:t>v</w:t>
      </w:r>
      <w:r w:rsidR="00063F63" w:rsidRPr="00503DF4">
        <w:rPr>
          <w:i/>
          <w:iCs/>
          <w:sz w:val="22"/>
          <w:szCs w:val="22"/>
        </w:rPr>
        <w:t xml:space="preserve"> Cold Storage Co Ltd</w:t>
      </w:r>
      <w:r w:rsidR="00063F63" w:rsidRPr="00503DF4">
        <w:rPr>
          <w:iCs/>
          <w:sz w:val="22"/>
          <w:szCs w:val="22"/>
        </w:rPr>
        <w:t xml:space="preserve"> </w:t>
      </w:r>
      <w:r>
        <w:rPr>
          <w:iCs/>
          <w:sz w:val="22"/>
          <w:szCs w:val="22"/>
        </w:rPr>
        <w:tab/>
      </w:r>
      <w:r w:rsidR="00063F63" w:rsidRPr="00503DF4">
        <w:rPr>
          <w:iCs/>
          <w:sz w:val="22"/>
          <w:szCs w:val="22"/>
        </w:rPr>
        <w:t>2002(1) ZLR 141(H).”</w:t>
      </w:r>
    </w:p>
    <w:p w:rsidR="00503DF4" w:rsidRDefault="00503DF4" w:rsidP="00503DF4">
      <w:pPr>
        <w:jc w:val="both"/>
        <w:rPr>
          <w:iCs/>
        </w:rPr>
      </w:pPr>
      <w:r>
        <w:rPr>
          <w:iCs/>
        </w:rPr>
        <w:tab/>
      </w:r>
    </w:p>
    <w:p w:rsidR="001739D4" w:rsidRPr="00503DF4" w:rsidRDefault="00503DF4" w:rsidP="00503DF4">
      <w:pPr>
        <w:jc w:val="both"/>
        <w:rPr>
          <w:b/>
          <w:sz w:val="22"/>
          <w:szCs w:val="22"/>
        </w:rPr>
      </w:pPr>
      <w:r>
        <w:rPr>
          <w:iCs/>
        </w:rPr>
        <w:tab/>
      </w:r>
      <w:r w:rsidR="0070028C" w:rsidRPr="00BB5311">
        <w:rPr>
          <w:iCs/>
        </w:rPr>
        <w:t xml:space="preserve">Workers </w:t>
      </w:r>
      <w:r w:rsidR="00084066" w:rsidRPr="00BB5311">
        <w:rPr>
          <w:iCs/>
        </w:rPr>
        <w:t>Committee has</w:t>
      </w:r>
      <w:r w:rsidR="00FD54B1" w:rsidRPr="00BB5311">
        <w:rPr>
          <w:iCs/>
        </w:rPr>
        <w:t xml:space="preserve"> been defined in Section 2 of the Labour Act</w:t>
      </w:r>
      <w:r w:rsidR="009B22BA" w:rsidRPr="00BB5311">
        <w:rPr>
          <w:iCs/>
        </w:rPr>
        <w:t xml:space="preserve"> </w:t>
      </w:r>
      <w:r w:rsidR="0036077E" w:rsidRPr="00BB5311">
        <w:rPr>
          <w:iCs/>
        </w:rPr>
        <w:t>as</w:t>
      </w:r>
      <w:r w:rsidR="001739D4" w:rsidRPr="00BB5311">
        <w:rPr>
          <w:iCs/>
        </w:rPr>
        <w:t>:</w:t>
      </w:r>
    </w:p>
    <w:p w:rsidR="00503DF4" w:rsidRPr="00503DF4" w:rsidRDefault="001739D4" w:rsidP="00503DF4">
      <w:pPr>
        <w:ind w:firstLine="1440"/>
        <w:jc w:val="both"/>
        <w:rPr>
          <w:iCs/>
          <w:sz w:val="22"/>
          <w:szCs w:val="22"/>
        </w:rPr>
      </w:pPr>
      <w:r w:rsidRPr="00503DF4">
        <w:rPr>
          <w:iCs/>
          <w:sz w:val="22"/>
          <w:szCs w:val="22"/>
        </w:rPr>
        <w:t>“a workers committee appointed or elected in terms of Part VI”.</w:t>
      </w:r>
    </w:p>
    <w:p w:rsidR="00503DF4" w:rsidRDefault="00503DF4" w:rsidP="00503DF4">
      <w:pPr>
        <w:ind w:firstLine="1440"/>
        <w:jc w:val="both"/>
        <w:rPr>
          <w:iCs/>
        </w:rPr>
      </w:pPr>
    </w:p>
    <w:p w:rsidR="00B63C2E" w:rsidRPr="00BB5311" w:rsidRDefault="000A1FE2" w:rsidP="00503DF4">
      <w:pPr>
        <w:spacing w:line="360" w:lineRule="auto"/>
        <w:ind w:firstLine="630"/>
        <w:jc w:val="both"/>
        <w:rPr>
          <w:iCs/>
        </w:rPr>
      </w:pPr>
      <w:r w:rsidRPr="00BB5311">
        <w:rPr>
          <w:iCs/>
        </w:rPr>
        <w:t xml:space="preserve">Key </w:t>
      </w:r>
      <w:r w:rsidR="00084066" w:rsidRPr="00BB5311">
        <w:rPr>
          <w:iCs/>
        </w:rPr>
        <w:t>provisions of</w:t>
      </w:r>
      <w:r w:rsidR="00773C47" w:rsidRPr="00BB5311">
        <w:rPr>
          <w:iCs/>
        </w:rPr>
        <w:t xml:space="preserve"> Part VI of the Labour Act</w:t>
      </w:r>
      <w:r w:rsidR="00454CE1">
        <w:rPr>
          <w:iCs/>
        </w:rPr>
        <w:t xml:space="preserve"> are </w:t>
      </w:r>
      <w:r w:rsidR="00503DF4">
        <w:rPr>
          <w:iCs/>
        </w:rPr>
        <w:t>s</w:t>
      </w:r>
      <w:r w:rsidR="00B63C2E" w:rsidRPr="00BB5311">
        <w:rPr>
          <w:iCs/>
        </w:rPr>
        <w:t xml:space="preserve"> 23 which provide</w:t>
      </w:r>
      <w:r w:rsidR="00454CE1">
        <w:rPr>
          <w:iCs/>
        </w:rPr>
        <w:t>s</w:t>
      </w:r>
      <w:r w:rsidR="00B63C2E" w:rsidRPr="00BB5311">
        <w:rPr>
          <w:iCs/>
        </w:rPr>
        <w:t xml:space="preserve"> for the formation of the Workers Committee and </w:t>
      </w:r>
      <w:r w:rsidR="00503DF4">
        <w:rPr>
          <w:iCs/>
        </w:rPr>
        <w:t>s</w:t>
      </w:r>
      <w:r w:rsidR="00B63C2E" w:rsidRPr="00BB5311">
        <w:rPr>
          <w:iCs/>
        </w:rPr>
        <w:t xml:space="preserve"> 24 which sets up the functions of the Workers Committee. The </w:t>
      </w:r>
      <w:r w:rsidR="00503DF4">
        <w:rPr>
          <w:iCs/>
        </w:rPr>
        <w:t>s</w:t>
      </w:r>
      <w:r w:rsidR="00B63C2E" w:rsidRPr="00BB5311">
        <w:rPr>
          <w:iCs/>
        </w:rPr>
        <w:t>ections provide as follows:</w:t>
      </w:r>
    </w:p>
    <w:p w:rsidR="00340F57" w:rsidRPr="00D35D07" w:rsidRDefault="00B63C2E" w:rsidP="00D35D07">
      <w:pPr>
        <w:autoSpaceDE w:val="0"/>
        <w:autoSpaceDN w:val="0"/>
        <w:adjustRightInd w:val="0"/>
        <w:ind w:firstLine="720"/>
        <w:jc w:val="both"/>
        <w:rPr>
          <w:b/>
          <w:bCs/>
          <w:color w:val="000000"/>
          <w:sz w:val="22"/>
          <w:szCs w:val="22"/>
        </w:rPr>
      </w:pPr>
      <w:r w:rsidRPr="00D35D07">
        <w:rPr>
          <w:b/>
          <w:bCs/>
          <w:color w:val="000000"/>
          <w:sz w:val="22"/>
          <w:szCs w:val="22"/>
        </w:rPr>
        <w:t>“</w:t>
      </w:r>
      <w:r w:rsidR="00340F57" w:rsidRPr="00D35D07">
        <w:rPr>
          <w:b/>
          <w:bCs/>
          <w:color w:val="000000"/>
          <w:sz w:val="22"/>
          <w:szCs w:val="22"/>
        </w:rPr>
        <w:t>23 Formation of workers committees</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(1) Subject to this Act and any regulations, employees employed by any one employer may appoint or elect a workers committee to represent their interests:</w:t>
      </w:r>
    </w:p>
    <w:p w:rsidR="00340F57" w:rsidRPr="00D35D07" w:rsidRDefault="00183234" w:rsidP="00183234">
      <w:pPr>
        <w:autoSpaceDE w:val="0"/>
        <w:autoSpaceDN w:val="0"/>
        <w:adjustRightInd w:val="0"/>
        <w:ind w:left="1080" w:hanging="360"/>
        <w:jc w:val="both"/>
        <w:rPr>
          <w:color w:val="000000"/>
          <w:sz w:val="22"/>
          <w:szCs w:val="22"/>
        </w:rPr>
      </w:pPr>
      <w:r>
        <w:rPr>
          <w:color w:val="000000"/>
          <w:sz w:val="22"/>
          <w:szCs w:val="22"/>
        </w:rPr>
        <w:tab/>
      </w:r>
      <w:r w:rsidR="00340F57" w:rsidRPr="00D35D07">
        <w:rPr>
          <w:color w:val="000000"/>
          <w:sz w:val="22"/>
          <w:szCs w:val="22"/>
        </w:rPr>
        <w:t>Provided that no managerial employee shall be appointed or elected to a workers committee, nor shall a workers committee represent the interests of managerial employees, unless such workers committee is composed solely of managerial employees appointed or elected to represent their interests.</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(1a) Subject to subsection (1b), the composition and procedure of</w:t>
      </w:r>
      <w:r w:rsidR="00454CE1" w:rsidRPr="00D35D07">
        <w:rPr>
          <w:color w:val="000000"/>
          <w:sz w:val="22"/>
          <w:szCs w:val="22"/>
        </w:rPr>
        <w:t xml:space="preserve"> a workers committee shall be as </w:t>
      </w:r>
      <w:r w:rsidRPr="00D35D07">
        <w:rPr>
          <w:color w:val="000000"/>
          <w:sz w:val="22"/>
          <w:szCs w:val="22"/>
        </w:rPr>
        <w:t>determined by the employees at the workplace concerned.</w:t>
      </w:r>
    </w:p>
    <w:p w:rsidR="00340F57" w:rsidRPr="00D35D07" w:rsidRDefault="00153114" w:rsidP="00183234">
      <w:pPr>
        <w:autoSpaceDE w:val="0"/>
        <w:autoSpaceDN w:val="0"/>
        <w:adjustRightInd w:val="0"/>
        <w:ind w:left="1080" w:hanging="360"/>
        <w:jc w:val="both"/>
        <w:rPr>
          <w:color w:val="000000"/>
          <w:sz w:val="22"/>
          <w:szCs w:val="22"/>
        </w:rPr>
      </w:pPr>
      <w:r w:rsidRPr="00D35D07">
        <w:rPr>
          <w:color w:val="000000"/>
          <w:sz w:val="22"/>
          <w:szCs w:val="22"/>
        </w:rPr>
        <w:t xml:space="preserve"> </w:t>
      </w:r>
      <w:r w:rsidR="00340F57" w:rsidRPr="00D35D07">
        <w:rPr>
          <w:color w:val="000000"/>
          <w:sz w:val="22"/>
          <w:szCs w:val="22"/>
        </w:rPr>
        <w:t>(1b) Notwithstanding subsection (1a), if a trade union is registered to represent</w:t>
      </w:r>
      <w:r w:rsidR="00454CE1" w:rsidRPr="00D35D07">
        <w:rPr>
          <w:color w:val="000000"/>
          <w:sz w:val="22"/>
          <w:szCs w:val="22"/>
        </w:rPr>
        <w:t xml:space="preserve"> the interests of not less than </w:t>
      </w:r>
      <w:r w:rsidR="00340F57" w:rsidRPr="00D35D07">
        <w:rPr>
          <w:color w:val="000000"/>
          <w:sz w:val="22"/>
          <w:szCs w:val="22"/>
        </w:rPr>
        <w:t xml:space="preserve"> fifty</w:t>
      </w:r>
      <w:r w:rsidR="00454CE1" w:rsidRPr="00D35D07">
        <w:rPr>
          <w:color w:val="000000"/>
          <w:sz w:val="22"/>
          <w:szCs w:val="22"/>
        </w:rPr>
        <w:t xml:space="preserve"> </w:t>
      </w:r>
      <w:r w:rsidR="00340F57" w:rsidRPr="00D35D07">
        <w:rPr>
          <w:iCs/>
          <w:color w:val="000000"/>
          <w:sz w:val="22"/>
          <w:szCs w:val="22"/>
        </w:rPr>
        <w:t xml:space="preserve">per centum </w:t>
      </w:r>
      <w:r w:rsidR="00340F57" w:rsidRPr="00D35D07">
        <w:rPr>
          <w:color w:val="000000"/>
          <w:sz w:val="22"/>
          <w:szCs w:val="22"/>
        </w:rPr>
        <w:t>of the employees at the workplace where a workers committee is to be established, every member of the workers committee shall be a member of the trade union concerned.</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(2) For the purposes of appointing or electing a workers committee, employees shall be entitled to—</w:t>
      </w:r>
    </w:p>
    <w:p w:rsidR="00340F57" w:rsidRPr="00D35D07" w:rsidRDefault="00340F57" w:rsidP="00D35D07">
      <w:pPr>
        <w:autoSpaceDE w:val="0"/>
        <w:autoSpaceDN w:val="0"/>
        <w:adjustRightInd w:val="0"/>
        <w:ind w:left="720"/>
        <w:jc w:val="both"/>
        <w:rPr>
          <w:color w:val="000000"/>
          <w:sz w:val="22"/>
          <w:szCs w:val="22"/>
        </w:rPr>
      </w:pPr>
      <w:r w:rsidRPr="00D35D07">
        <w:rPr>
          <w:color w:val="000000"/>
          <w:sz w:val="22"/>
          <w:szCs w:val="22"/>
        </w:rPr>
        <w:t>(</w:t>
      </w:r>
      <w:r w:rsidRPr="00D35D07">
        <w:rPr>
          <w:iCs/>
          <w:color w:val="000000"/>
          <w:sz w:val="22"/>
          <w:szCs w:val="22"/>
        </w:rPr>
        <w:t>a</w:t>
      </w:r>
      <w:r w:rsidRPr="00D35D07">
        <w:rPr>
          <w:color w:val="000000"/>
          <w:sz w:val="22"/>
          <w:szCs w:val="22"/>
        </w:rPr>
        <w:t>) be assisted by a labour officer or a representative of the appropriate trade union; and</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w:t>
      </w:r>
      <w:r w:rsidRPr="00D35D07">
        <w:rPr>
          <w:iCs/>
          <w:color w:val="000000"/>
          <w:sz w:val="22"/>
          <w:szCs w:val="22"/>
        </w:rPr>
        <w:t>b</w:t>
      </w:r>
      <w:r w:rsidRPr="00D35D07">
        <w:rPr>
          <w:color w:val="000000"/>
          <w:sz w:val="22"/>
          <w:szCs w:val="22"/>
        </w:rPr>
        <w:t>) reasonable facilities to communicate with each other and meet together during working hours at their place of work; and</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w:t>
      </w:r>
      <w:r w:rsidRPr="00D35D07">
        <w:rPr>
          <w:iCs/>
          <w:color w:val="000000"/>
          <w:sz w:val="22"/>
          <w:szCs w:val="22"/>
        </w:rPr>
        <w:t>c</w:t>
      </w:r>
      <w:r w:rsidRPr="00D35D07">
        <w:rPr>
          <w:color w:val="000000"/>
          <w:sz w:val="22"/>
          <w:szCs w:val="22"/>
        </w:rPr>
        <w:t>) be provided by their employer with the names and relevant particulars of all employees employed by him; so however, that the ordinary conduct of the em</w:t>
      </w:r>
      <w:r w:rsidR="00454CE1" w:rsidRPr="00D35D07">
        <w:rPr>
          <w:color w:val="000000"/>
          <w:sz w:val="22"/>
          <w:szCs w:val="22"/>
        </w:rPr>
        <w:t xml:space="preserve">ployer’s business is not unduly </w:t>
      </w:r>
      <w:r w:rsidRPr="00D35D07">
        <w:rPr>
          <w:color w:val="000000"/>
          <w:sz w:val="22"/>
          <w:szCs w:val="22"/>
        </w:rPr>
        <w:t>interfered with.</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 xml:space="preserve"> (3) In the event of any dispute arising in relation to the exercise of any right referred to in subsection (2) either party to the dispute may refer it to the labour officer mentioned in paragraph (</w:t>
      </w:r>
      <w:r w:rsidRPr="00D35D07">
        <w:rPr>
          <w:iCs/>
          <w:color w:val="000000"/>
          <w:sz w:val="22"/>
          <w:szCs w:val="22"/>
        </w:rPr>
        <w:t>a</w:t>
      </w:r>
      <w:r w:rsidRPr="00D35D07">
        <w:rPr>
          <w:color w:val="000000"/>
          <w:sz w:val="22"/>
          <w:szCs w:val="22"/>
        </w:rPr>
        <w:t>) of that subsection, or, in the absence of such labour officer, any other labour officer, and the determination of the labour officer on the dispute shall be final unless the parties agree to refer it to voluntary arbitration.</w:t>
      </w:r>
    </w:p>
    <w:p w:rsidR="00340F57" w:rsidRPr="00D35D07" w:rsidRDefault="00340F57" w:rsidP="00D35D07">
      <w:pPr>
        <w:autoSpaceDE w:val="0"/>
        <w:autoSpaceDN w:val="0"/>
        <w:adjustRightInd w:val="0"/>
        <w:ind w:firstLine="720"/>
        <w:jc w:val="both"/>
        <w:rPr>
          <w:color w:val="000000"/>
          <w:sz w:val="22"/>
          <w:szCs w:val="22"/>
        </w:rPr>
      </w:pPr>
    </w:p>
    <w:p w:rsidR="00340F57" w:rsidRPr="00D35D07" w:rsidRDefault="00B63C2E" w:rsidP="00D35D07">
      <w:pPr>
        <w:autoSpaceDE w:val="0"/>
        <w:autoSpaceDN w:val="0"/>
        <w:adjustRightInd w:val="0"/>
        <w:ind w:firstLine="720"/>
        <w:jc w:val="both"/>
        <w:rPr>
          <w:b/>
          <w:bCs/>
          <w:color w:val="000000"/>
          <w:sz w:val="22"/>
          <w:szCs w:val="22"/>
        </w:rPr>
      </w:pPr>
      <w:r w:rsidRPr="00D35D07">
        <w:rPr>
          <w:b/>
          <w:bCs/>
          <w:color w:val="000000"/>
          <w:sz w:val="22"/>
          <w:szCs w:val="22"/>
        </w:rPr>
        <w:t xml:space="preserve"> </w:t>
      </w:r>
      <w:r w:rsidR="00340F57" w:rsidRPr="00D35D07">
        <w:rPr>
          <w:b/>
          <w:bCs/>
          <w:color w:val="000000"/>
          <w:sz w:val="22"/>
          <w:szCs w:val="22"/>
        </w:rPr>
        <w:t>24 Functions of workers committees</w:t>
      </w:r>
    </w:p>
    <w:p w:rsidR="00340F57" w:rsidRPr="00D35D07" w:rsidRDefault="00340F57" w:rsidP="00D35D07">
      <w:pPr>
        <w:autoSpaceDE w:val="0"/>
        <w:autoSpaceDN w:val="0"/>
        <w:adjustRightInd w:val="0"/>
        <w:ind w:firstLine="720"/>
        <w:jc w:val="both"/>
        <w:rPr>
          <w:color w:val="000000"/>
          <w:sz w:val="22"/>
          <w:szCs w:val="22"/>
        </w:rPr>
      </w:pPr>
      <w:r w:rsidRPr="00D35D07">
        <w:rPr>
          <w:color w:val="000000"/>
          <w:sz w:val="22"/>
          <w:szCs w:val="22"/>
        </w:rPr>
        <w:t>(1) A workers committee shall—</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w:t>
      </w:r>
      <w:r w:rsidRPr="00D35D07">
        <w:rPr>
          <w:iCs/>
          <w:color w:val="000000"/>
          <w:sz w:val="22"/>
          <w:szCs w:val="22"/>
        </w:rPr>
        <w:t>a</w:t>
      </w:r>
      <w:r w:rsidRPr="00D35D07">
        <w:rPr>
          <w:color w:val="000000"/>
          <w:sz w:val="22"/>
          <w:szCs w:val="22"/>
        </w:rPr>
        <w:t>) subject to this Act, represent the employees concerned in any matter affecting their rights and interests;</w:t>
      </w:r>
      <w:r w:rsidR="00084066" w:rsidRPr="00D35D07">
        <w:rPr>
          <w:color w:val="000000"/>
          <w:sz w:val="22"/>
          <w:szCs w:val="22"/>
        </w:rPr>
        <w:t xml:space="preserve"> </w:t>
      </w:r>
      <w:r w:rsidRPr="00D35D07">
        <w:rPr>
          <w:color w:val="000000"/>
          <w:sz w:val="22"/>
          <w:szCs w:val="22"/>
        </w:rPr>
        <w:t>and</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w:t>
      </w:r>
      <w:r w:rsidRPr="00D35D07">
        <w:rPr>
          <w:iCs/>
          <w:color w:val="000000"/>
          <w:sz w:val="22"/>
          <w:szCs w:val="22"/>
        </w:rPr>
        <w:t>b</w:t>
      </w:r>
      <w:r w:rsidRPr="00D35D07">
        <w:rPr>
          <w:color w:val="000000"/>
          <w:sz w:val="22"/>
          <w:szCs w:val="22"/>
        </w:rPr>
        <w:t>) subject to subsection (3), be entitled to negotiate with the employer c</w:t>
      </w:r>
      <w:r w:rsidR="003B5992" w:rsidRPr="00D35D07">
        <w:rPr>
          <w:color w:val="000000"/>
          <w:sz w:val="22"/>
          <w:szCs w:val="22"/>
        </w:rPr>
        <w:t xml:space="preserve">oncerned a collective bargaining </w:t>
      </w:r>
      <w:r w:rsidRPr="00D35D07">
        <w:rPr>
          <w:color w:val="000000"/>
          <w:sz w:val="22"/>
          <w:szCs w:val="22"/>
        </w:rPr>
        <w:t>agreement relating to the terms and conditions of employment of the employees concerned; and</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w:t>
      </w:r>
      <w:r w:rsidRPr="00D35D07">
        <w:rPr>
          <w:iCs/>
          <w:color w:val="000000"/>
          <w:sz w:val="22"/>
          <w:szCs w:val="22"/>
        </w:rPr>
        <w:t>c</w:t>
      </w:r>
      <w:r w:rsidRPr="00D35D07">
        <w:rPr>
          <w:color w:val="000000"/>
          <w:sz w:val="22"/>
          <w:szCs w:val="22"/>
        </w:rPr>
        <w:t>) subject to Part XIII, be entitled to recommend collective job action to the employees concerned; and</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w:t>
      </w:r>
      <w:r w:rsidRPr="00D35D07">
        <w:rPr>
          <w:iCs/>
          <w:color w:val="000000"/>
          <w:sz w:val="22"/>
          <w:szCs w:val="22"/>
        </w:rPr>
        <w:t>d</w:t>
      </w:r>
      <w:r w:rsidRPr="00D35D07">
        <w:rPr>
          <w:color w:val="000000"/>
          <w:sz w:val="22"/>
          <w:szCs w:val="22"/>
        </w:rPr>
        <w:t xml:space="preserve">) where a works council is or is to be constituted at any workplace, elect </w:t>
      </w:r>
      <w:r w:rsidR="003B5992" w:rsidRPr="00D35D07">
        <w:rPr>
          <w:color w:val="000000"/>
          <w:sz w:val="22"/>
          <w:szCs w:val="22"/>
        </w:rPr>
        <w:t xml:space="preserve">some of its members to represent </w:t>
      </w:r>
      <w:r w:rsidRPr="00D35D07">
        <w:rPr>
          <w:color w:val="000000"/>
          <w:sz w:val="22"/>
          <w:szCs w:val="22"/>
        </w:rPr>
        <w:t>employees on the works council.</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(2) Subject to subsection (3), where a workers committee has been a</w:t>
      </w:r>
      <w:r w:rsidR="003B5992" w:rsidRPr="00D35D07">
        <w:rPr>
          <w:color w:val="000000"/>
          <w:sz w:val="22"/>
          <w:szCs w:val="22"/>
        </w:rPr>
        <w:t xml:space="preserve">ppointed or elected to represent </w:t>
      </w:r>
      <w:r w:rsidRPr="00D35D07">
        <w:rPr>
          <w:color w:val="000000"/>
          <w:sz w:val="22"/>
          <w:szCs w:val="22"/>
        </w:rPr>
        <w:t>employees, no person other than such workers committee and the appropriate trade union, if any, may—</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lastRenderedPageBreak/>
        <w:t>(</w:t>
      </w:r>
      <w:r w:rsidRPr="00D35D07">
        <w:rPr>
          <w:iCs/>
          <w:color w:val="000000"/>
          <w:sz w:val="22"/>
          <w:szCs w:val="22"/>
        </w:rPr>
        <w:t>a</w:t>
      </w:r>
      <w:r w:rsidRPr="00D35D07">
        <w:rPr>
          <w:color w:val="000000"/>
          <w:sz w:val="22"/>
          <w:szCs w:val="22"/>
        </w:rPr>
        <w:t>) act or purport to act for the employees in negotiating any collective bargaining agreement; or</w:t>
      </w:r>
    </w:p>
    <w:p w:rsidR="00340F57" w:rsidRPr="00D35D07" w:rsidRDefault="00340F57" w:rsidP="00D35D07">
      <w:pPr>
        <w:autoSpaceDE w:val="0"/>
        <w:autoSpaceDN w:val="0"/>
        <w:adjustRightInd w:val="0"/>
        <w:ind w:left="720"/>
        <w:jc w:val="both"/>
        <w:rPr>
          <w:color w:val="000000"/>
          <w:sz w:val="22"/>
          <w:szCs w:val="22"/>
        </w:rPr>
      </w:pPr>
      <w:r w:rsidRPr="00D35D07">
        <w:rPr>
          <w:color w:val="000000"/>
          <w:sz w:val="22"/>
          <w:szCs w:val="22"/>
        </w:rPr>
        <w:t>(</w:t>
      </w:r>
      <w:r w:rsidRPr="00D35D07">
        <w:rPr>
          <w:iCs/>
          <w:color w:val="000000"/>
          <w:sz w:val="22"/>
          <w:szCs w:val="22"/>
        </w:rPr>
        <w:t>b</w:t>
      </w:r>
      <w:r w:rsidRPr="00D35D07">
        <w:rPr>
          <w:color w:val="000000"/>
          <w:sz w:val="22"/>
          <w:szCs w:val="22"/>
        </w:rPr>
        <w:t>) direct or recommend collective job action to the employees.</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 xml:space="preserve">(3) Where an appropriate trade union exists for any employees, a workers </w:t>
      </w:r>
      <w:r w:rsidR="003B5992" w:rsidRPr="00D35D07">
        <w:rPr>
          <w:color w:val="000000"/>
          <w:sz w:val="22"/>
          <w:szCs w:val="22"/>
        </w:rPr>
        <w:t xml:space="preserve">committee of those employees may </w:t>
      </w:r>
      <w:r w:rsidRPr="00D35D07">
        <w:rPr>
          <w:color w:val="000000"/>
          <w:sz w:val="22"/>
          <w:szCs w:val="22"/>
        </w:rPr>
        <w:t>negotiate a collective bargaining agreement with an employer—</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w:t>
      </w:r>
      <w:r w:rsidRPr="00D35D07">
        <w:rPr>
          <w:iCs/>
          <w:color w:val="000000"/>
          <w:sz w:val="22"/>
          <w:szCs w:val="22"/>
        </w:rPr>
        <w:t>a</w:t>
      </w:r>
      <w:r w:rsidRPr="00D35D07">
        <w:rPr>
          <w:color w:val="000000"/>
          <w:sz w:val="22"/>
          <w:szCs w:val="22"/>
        </w:rPr>
        <w:t xml:space="preserve">) </w:t>
      </w:r>
      <w:r w:rsidR="00183234">
        <w:rPr>
          <w:color w:val="000000"/>
          <w:sz w:val="22"/>
          <w:szCs w:val="22"/>
        </w:rPr>
        <w:t xml:space="preserve"> </w:t>
      </w:r>
      <w:r w:rsidRPr="00D35D07">
        <w:rPr>
          <w:color w:val="000000"/>
          <w:sz w:val="22"/>
          <w:szCs w:val="22"/>
        </w:rPr>
        <w:t>in the case where the trade union has no collective bargaining agreement with the employer concerned,</w:t>
      </w:r>
      <w:r w:rsidR="00D35D07">
        <w:rPr>
          <w:color w:val="000000"/>
          <w:sz w:val="22"/>
          <w:szCs w:val="22"/>
        </w:rPr>
        <w:t xml:space="preserve"> </w:t>
      </w:r>
      <w:r w:rsidRPr="00D35D07">
        <w:rPr>
          <w:color w:val="000000"/>
          <w:sz w:val="22"/>
          <w:szCs w:val="22"/>
        </w:rPr>
        <w:t>only to the extent that such negotiation is authorized in writing by the trade union concerned; or</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w:t>
      </w:r>
      <w:r w:rsidRPr="00D35D07">
        <w:rPr>
          <w:iCs/>
          <w:color w:val="000000"/>
          <w:sz w:val="22"/>
          <w:szCs w:val="22"/>
        </w:rPr>
        <w:t>b</w:t>
      </w:r>
      <w:r w:rsidRPr="00D35D07">
        <w:rPr>
          <w:color w:val="000000"/>
          <w:sz w:val="22"/>
          <w:szCs w:val="22"/>
        </w:rPr>
        <w:t>) in the case where there is a collective bargaining agreement, only to the extent permitted by such collective bargaining agreement; or</w:t>
      </w:r>
    </w:p>
    <w:p w:rsidR="00340F57" w:rsidRPr="00D35D07" w:rsidRDefault="00340F57" w:rsidP="00D35D07">
      <w:pPr>
        <w:autoSpaceDE w:val="0"/>
        <w:autoSpaceDN w:val="0"/>
        <w:adjustRightInd w:val="0"/>
        <w:ind w:firstLine="720"/>
        <w:jc w:val="both"/>
        <w:rPr>
          <w:color w:val="000000"/>
          <w:sz w:val="22"/>
          <w:szCs w:val="22"/>
        </w:rPr>
      </w:pPr>
      <w:r w:rsidRPr="00D35D07">
        <w:rPr>
          <w:color w:val="000000"/>
          <w:sz w:val="22"/>
          <w:szCs w:val="22"/>
        </w:rPr>
        <w:t>(</w:t>
      </w:r>
      <w:r w:rsidRPr="00D35D07">
        <w:rPr>
          <w:iCs/>
          <w:color w:val="000000"/>
          <w:sz w:val="22"/>
          <w:szCs w:val="22"/>
        </w:rPr>
        <w:t>c</w:t>
      </w:r>
      <w:r w:rsidRPr="00D35D07">
        <w:rPr>
          <w:color w:val="000000"/>
          <w:sz w:val="22"/>
          <w:szCs w:val="22"/>
        </w:rPr>
        <w:t>) where the Minister certifies in writing that—</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(i) the issue in question was omitted from or included in the principal collective bargaining agreement when it should not have been so omitted or included; and</w:t>
      </w:r>
    </w:p>
    <w:p w:rsidR="00340F57" w:rsidRPr="00D35D07" w:rsidRDefault="00340F57" w:rsidP="00183234">
      <w:pPr>
        <w:autoSpaceDE w:val="0"/>
        <w:autoSpaceDN w:val="0"/>
        <w:adjustRightInd w:val="0"/>
        <w:ind w:left="1080" w:hanging="360"/>
        <w:jc w:val="both"/>
        <w:rPr>
          <w:color w:val="000000"/>
          <w:sz w:val="22"/>
          <w:szCs w:val="22"/>
        </w:rPr>
      </w:pPr>
      <w:r w:rsidRPr="00D35D07">
        <w:rPr>
          <w:color w:val="000000"/>
          <w:sz w:val="22"/>
          <w:szCs w:val="22"/>
        </w:rPr>
        <w:t xml:space="preserve">(ii) the parties to the principal collective bargaining agreement have failed or </w:t>
      </w:r>
      <w:r w:rsidR="00B63C2E" w:rsidRPr="00D35D07">
        <w:rPr>
          <w:color w:val="000000"/>
          <w:sz w:val="22"/>
          <w:szCs w:val="22"/>
        </w:rPr>
        <w:t xml:space="preserve">are not in a position to </w:t>
      </w:r>
      <w:r w:rsidRPr="00D35D07">
        <w:rPr>
          <w:color w:val="000000"/>
          <w:sz w:val="22"/>
          <w:szCs w:val="22"/>
        </w:rPr>
        <w:t>reach an agreement on such an issue.”</w:t>
      </w:r>
    </w:p>
    <w:p w:rsidR="005A21A6" w:rsidRPr="00BB5311" w:rsidRDefault="005A21A6" w:rsidP="00E36C94">
      <w:pPr>
        <w:autoSpaceDE w:val="0"/>
        <w:autoSpaceDN w:val="0"/>
        <w:adjustRightInd w:val="0"/>
        <w:ind w:left="720"/>
        <w:jc w:val="both"/>
        <w:rPr>
          <w:color w:val="000000"/>
        </w:rPr>
      </w:pPr>
    </w:p>
    <w:p w:rsidR="005A21A6" w:rsidRPr="00BB5311" w:rsidRDefault="00763BF6" w:rsidP="00D35D07">
      <w:pPr>
        <w:autoSpaceDE w:val="0"/>
        <w:autoSpaceDN w:val="0"/>
        <w:adjustRightInd w:val="0"/>
        <w:spacing w:line="360" w:lineRule="auto"/>
        <w:ind w:firstLine="540"/>
        <w:jc w:val="both"/>
        <w:rPr>
          <w:color w:val="000000"/>
        </w:rPr>
      </w:pPr>
      <w:r w:rsidRPr="00BB5311">
        <w:rPr>
          <w:color w:val="000000"/>
        </w:rPr>
        <w:t xml:space="preserve">Consequently, </w:t>
      </w:r>
      <w:r w:rsidR="003B5992">
        <w:rPr>
          <w:color w:val="000000"/>
        </w:rPr>
        <w:t xml:space="preserve">in my view, </w:t>
      </w:r>
      <w:r w:rsidR="00084066" w:rsidRPr="00BB5311">
        <w:rPr>
          <w:color w:val="000000"/>
        </w:rPr>
        <w:t>the Workers</w:t>
      </w:r>
      <w:r w:rsidRPr="00BB5311">
        <w:rPr>
          <w:color w:val="000000"/>
        </w:rPr>
        <w:t xml:space="preserve"> Committee chaired by Mr Mandizha has no authority to represent the </w:t>
      </w:r>
      <w:r w:rsidR="00D35D07" w:rsidRPr="00BB5311">
        <w:t>1</w:t>
      </w:r>
      <w:r w:rsidR="00D35D07" w:rsidRPr="00BB5311">
        <w:rPr>
          <w:vertAlign w:val="superscript"/>
        </w:rPr>
        <w:t>st</w:t>
      </w:r>
      <w:r w:rsidR="00D35D07">
        <w:t xml:space="preserve"> to </w:t>
      </w:r>
      <w:r w:rsidR="00D35D07" w:rsidRPr="00BB5311">
        <w:t>199</w:t>
      </w:r>
      <w:r w:rsidR="00D35D07" w:rsidRPr="00BB5311">
        <w:rPr>
          <w:vertAlign w:val="superscript"/>
        </w:rPr>
        <w:t>th</w:t>
      </w:r>
      <w:r w:rsidR="00D35D07" w:rsidRPr="00BB5311">
        <w:t xml:space="preserve"> </w:t>
      </w:r>
      <w:r w:rsidR="00D35D07">
        <w:t>r</w:t>
      </w:r>
      <w:r w:rsidR="00084066" w:rsidRPr="00BB5311">
        <w:rPr>
          <w:color w:val="000000"/>
        </w:rPr>
        <w:t>espondents</w:t>
      </w:r>
      <w:r w:rsidRPr="00BB5311">
        <w:rPr>
          <w:color w:val="000000"/>
        </w:rPr>
        <w:t xml:space="preserve"> in the present application.</w:t>
      </w:r>
      <w:r w:rsidR="0060147E" w:rsidRPr="00BB5311">
        <w:rPr>
          <w:color w:val="000000"/>
        </w:rPr>
        <w:t xml:space="preserve"> Adv </w:t>
      </w:r>
      <w:r w:rsidR="0060147E" w:rsidRPr="00D35D07">
        <w:rPr>
          <w:i/>
          <w:color w:val="000000"/>
        </w:rPr>
        <w:t>Magwaliba</w:t>
      </w:r>
      <w:r w:rsidR="0060147E" w:rsidRPr="00BB5311">
        <w:rPr>
          <w:color w:val="000000"/>
        </w:rPr>
        <w:t xml:space="preserve"> had motivated the court </w:t>
      </w:r>
      <w:r w:rsidR="00084066" w:rsidRPr="00BB5311">
        <w:rPr>
          <w:color w:val="000000"/>
        </w:rPr>
        <w:t>to regard</w:t>
      </w:r>
      <w:r w:rsidR="0060147E" w:rsidRPr="00BB5311">
        <w:rPr>
          <w:color w:val="000000"/>
        </w:rPr>
        <w:t xml:space="preserve"> the matter as unopposed. </w:t>
      </w:r>
      <w:r w:rsidR="00D35D07">
        <w:rPr>
          <w:color w:val="000000"/>
        </w:rPr>
        <w:t xml:space="preserve"> </w:t>
      </w:r>
      <w:r w:rsidR="0060147E" w:rsidRPr="00BB5311">
        <w:rPr>
          <w:color w:val="000000"/>
        </w:rPr>
        <w:t xml:space="preserve">I do not agree with </w:t>
      </w:r>
      <w:r w:rsidR="00084066" w:rsidRPr="00BB5311">
        <w:rPr>
          <w:color w:val="000000"/>
        </w:rPr>
        <w:t>his submissions</w:t>
      </w:r>
      <w:r w:rsidR="0060147E" w:rsidRPr="00BB5311">
        <w:rPr>
          <w:color w:val="000000"/>
        </w:rPr>
        <w:t xml:space="preserve">. In urgent chamber applications, parties are allowed to </w:t>
      </w:r>
      <w:r w:rsidR="00115497" w:rsidRPr="00BB5311">
        <w:rPr>
          <w:color w:val="000000"/>
        </w:rPr>
        <w:t xml:space="preserve">make oral submissions due to the urgency of the matter. </w:t>
      </w:r>
      <w:r w:rsidR="00D35D07">
        <w:rPr>
          <w:color w:val="000000"/>
        </w:rPr>
        <w:t xml:space="preserve"> </w:t>
      </w:r>
      <w:r w:rsidR="00115497" w:rsidRPr="00BB5311">
        <w:rPr>
          <w:color w:val="000000"/>
        </w:rPr>
        <w:t xml:space="preserve">Accordingly, </w:t>
      </w:r>
      <w:r w:rsidR="00126A65">
        <w:rPr>
          <w:color w:val="000000"/>
        </w:rPr>
        <w:t xml:space="preserve">the point </w:t>
      </w:r>
      <w:r w:rsidR="00126A65" w:rsidRPr="00D35D07">
        <w:rPr>
          <w:i/>
          <w:color w:val="000000"/>
        </w:rPr>
        <w:t>in limine</w:t>
      </w:r>
      <w:r w:rsidR="00126A65">
        <w:rPr>
          <w:color w:val="000000"/>
        </w:rPr>
        <w:t xml:space="preserve"> is upheld in part. In the circumstances, </w:t>
      </w:r>
      <w:r w:rsidR="00115497" w:rsidRPr="00126A65">
        <w:rPr>
          <w:color w:val="000000"/>
        </w:rPr>
        <w:t>I</w:t>
      </w:r>
      <w:r w:rsidR="00115497" w:rsidRPr="00BB5311">
        <w:rPr>
          <w:color w:val="000000"/>
        </w:rPr>
        <w:t xml:space="preserve"> will only concentrate on the oral submissions made by the counsel for the </w:t>
      </w:r>
      <w:r w:rsidR="00D35D07">
        <w:rPr>
          <w:color w:val="000000"/>
        </w:rPr>
        <w:t>r</w:t>
      </w:r>
      <w:r w:rsidR="00084066" w:rsidRPr="00BB5311">
        <w:rPr>
          <w:color w:val="000000"/>
        </w:rPr>
        <w:t>espondents and</w:t>
      </w:r>
      <w:r w:rsidR="004C5498" w:rsidRPr="00BB5311">
        <w:rPr>
          <w:color w:val="000000"/>
        </w:rPr>
        <w:t xml:space="preserve"> disregard the Opposing Affidavit as the deponent was authorized</w:t>
      </w:r>
      <w:r w:rsidR="00A35A78" w:rsidRPr="00BB5311">
        <w:rPr>
          <w:color w:val="000000"/>
        </w:rPr>
        <w:t>, through a resolution</w:t>
      </w:r>
      <w:r w:rsidR="00084066" w:rsidRPr="00BB5311">
        <w:rPr>
          <w:color w:val="000000"/>
        </w:rPr>
        <w:t>, by</w:t>
      </w:r>
      <w:r w:rsidR="004C5498" w:rsidRPr="00BB5311">
        <w:rPr>
          <w:color w:val="000000"/>
        </w:rPr>
        <w:t xml:space="preserve"> the Workers Committee which does </w:t>
      </w:r>
      <w:r w:rsidR="003C6693">
        <w:rPr>
          <w:color w:val="000000"/>
        </w:rPr>
        <w:t xml:space="preserve">not </w:t>
      </w:r>
      <w:r w:rsidR="004C5498" w:rsidRPr="00BB5311">
        <w:rPr>
          <w:color w:val="000000"/>
        </w:rPr>
        <w:t xml:space="preserve">have </w:t>
      </w:r>
      <w:r w:rsidR="00084066" w:rsidRPr="00D35D07">
        <w:rPr>
          <w:i/>
          <w:color w:val="000000"/>
        </w:rPr>
        <w:t>locus</w:t>
      </w:r>
      <w:r w:rsidR="004C5498" w:rsidRPr="00D35D07">
        <w:rPr>
          <w:i/>
          <w:color w:val="000000"/>
        </w:rPr>
        <w:t xml:space="preserve"> standi</w:t>
      </w:r>
      <w:r w:rsidR="004C5498" w:rsidRPr="00BB5311">
        <w:rPr>
          <w:color w:val="000000"/>
        </w:rPr>
        <w:t>.</w:t>
      </w:r>
    </w:p>
    <w:p w:rsidR="00FA1D26" w:rsidRPr="00BB5311" w:rsidRDefault="00D35D07" w:rsidP="00E36C94">
      <w:pPr>
        <w:spacing w:line="360" w:lineRule="auto"/>
        <w:jc w:val="both"/>
      </w:pPr>
      <w:r>
        <w:tab/>
      </w:r>
      <w:r w:rsidR="00031524" w:rsidRPr="00BB5311">
        <w:t xml:space="preserve">With respect to urgency, </w:t>
      </w:r>
      <w:r w:rsidR="00704614" w:rsidRPr="00BB5311">
        <w:t xml:space="preserve">it is apparent that our law has </w:t>
      </w:r>
      <w:r w:rsidR="00052BD2" w:rsidRPr="00BB5311">
        <w:t>resolved the issue of urgency.</w:t>
      </w:r>
      <w:r w:rsidR="009864DE" w:rsidRPr="00BB5311">
        <w:t xml:space="preserve"> In the landmark case of </w:t>
      </w:r>
      <w:r w:rsidR="009864DE" w:rsidRPr="00D35D07">
        <w:rPr>
          <w:i/>
        </w:rPr>
        <w:t xml:space="preserve">Kuvarega </w:t>
      </w:r>
      <w:r w:rsidR="009864DE" w:rsidRPr="00D35D07">
        <w:t>v</w:t>
      </w:r>
      <w:r w:rsidR="009864DE" w:rsidRPr="00D35D07">
        <w:rPr>
          <w:i/>
        </w:rPr>
        <w:t xml:space="preserve"> Registrar General and Anor</w:t>
      </w:r>
      <w:r w:rsidR="009864DE" w:rsidRPr="00BB5311">
        <w:rPr>
          <w:rStyle w:val="FootnoteReference"/>
        </w:rPr>
        <w:footnoteReference w:id="8"/>
      </w:r>
      <w:r w:rsidR="009864DE" w:rsidRPr="00BB5311">
        <w:t>, the court held that:</w:t>
      </w:r>
    </w:p>
    <w:p w:rsidR="00FA1D26" w:rsidRPr="00D35D07" w:rsidRDefault="00D35D07" w:rsidP="00D35D07">
      <w:pPr>
        <w:jc w:val="both"/>
        <w:rPr>
          <w:sz w:val="22"/>
          <w:szCs w:val="22"/>
        </w:rPr>
      </w:pPr>
      <w:r>
        <w:rPr>
          <w:sz w:val="22"/>
          <w:szCs w:val="22"/>
        </w:rPr>
        <w:tab/>
      </w:r>
      <w:r w:rsidR="00FA1D26" w:rsidRPr="00D35D07">
        <w:rPr>
          <w:sz w:val="22"/>
          <w:szCs w:val="22"/>
        </w:rPr>
        <w:t xml:space="preserve">“What constitutes urgency is not only the imminent arrival of the day of reckoning. A matter is </w:t>
      </w:r>
      <w:r>
        <w:rPr>
          <w:sz w:val="22"/>
          <w:szCs w:val="22"/>
        </w:rPr>
        <w:tab/>
      </w:r>
      <w:r w:rsidR="00FA1D26" w:rsidRPr="00D35D07">
        <w:rPr>
          <w:sz w:val="22"/>
          <w:szCs w:val="22"/>
        </w:rPr>
        <w:t xml:space="preserve">urgent if at the time the need to act arise, the matter cannot wait. Urgency which stems from a </w:t>
      </w:r>
      <w:r>
        <w:rPr>
          <w:sz w:val="22"/>
          <w:szCs w:val="22"/>
        </w:rPr>
        <w:tab/>
      </w:r>
      <w:r w:rsidR="00FA1D26" w:rsidRPr="00D35D07">
        <w:rPr>
          <w:sz w:val="22"/>
          <w:szCs w:val="22"/>
        </w:rPr>
        <w:t xml:space="preserve">deliberate or careless abstention from action until the deadline draws near is not the type of </w:t>
      </w:r>
      <w:r>
        <w:rPr>
          <w:sz w:val="22"/>
          <w:szCs w:val="22"/>
        </w:rPr>
        <w:tab/>
      </w:r>
      <w:r w:rsidR="00FA1D26" w:rsidRPr="00D35D07">
        <w:rPr>
          <w:sz w:val="22"/>
          <w:szCs w:val="22"/>
        </w:rPr>
        <w:t xml:space="preserve">urgency contemplated by the rules. It necessarily follows that the certificate of urgency or the </w:t>
      </w:r>
      <w:r>
        <w:rPr>
          <w:sz w:val="22"/>
          <w:szCs w:val="22"/>
        </w:rPr>
        <w:tab/>
      </w:r>
      <w:r w:rsidR="00FA1D26" w:rsidRPr="00D35D07">
        <w:rPr>
          <w:sz w:val="22"/>
          <w:szCs w:val="22"/>
        </w:rPr>
        <w:t xml:space="preserve">supporting affidavit must always contain an explanation of the non-timeous action if there has </w:t>
      </w:r>
      <w:r>
        <w:rPr>
          <w:sz w:val="22"/>
          <w:szCs w:val="22"/>
        </w:rPr>
        <w:tab/>
      </w:r>
      <w:r w:rsidR="00FA1D26" w:rsidRPr="00D35D07">
        <w:rPr>
          <w:sz w:val="22"/>
          <w:szCs w:val="22"/>
        </w:rPr>
        <w:t>been any delay.”</w:t>
      </w:r>
    </w:p>
    <w:p w:rsidR="00212A76" w:rsidRPr="00D35D07" w:rsidRDefault="00212A76" w:rsidP="00D35D07">
      <w:pPr>
        <w:jc w:val="both"/>
        <w:rPr>
          <w:sz w:val="22"/>
          <w:szCs w:val="22"/>
        </w:rPr>
      </w:pPr>
    </w:p>
    <w:p w:rsidR="00212A76" w:rsidRPr="00BB5311" w:rsidRDefault="00D35D07" w:rsidP="00E36C94">
      <w:pPr>
        <w:pStyle w:val="FootnoteText"/>
        <w:spacing w:line="360" w:lineRule="auto"/>
        <w:jc w:val="both"/>
        <w:rPr>
          <w:sz w:val="24"/>
          <w:szCs w:val="24"/>
        </w:rPr>
      </w:pPr>
      <w:r>
        <w:rPr>
          <w:sz w:val="24"/>
          <w:szCs w:val="24"/>
        </w:rPr>
        <w:tab/>
      </w:r>
      <w:r w:rsidR="00212A76" w:rsidRPr="00BB5311">
        <w:rPr>
          <w:sz w:val="24"/>
          <w:szCs w:val="24"/>
        </w:rPr>
        <w:t xml:space="preserve">The court should also examine   the nature of relief and cause of action which may prove to be very key in determining whether or not the matter is urgent as enunciated in the case of </w:t>
      </w:r>
      <w:r w:rsidR="00212A76" w:rsidRPr="00D35D07">
        <w:rPr>
          <w:i/>
          <w:sz w:val="24"/>
          <w:szCs w:val="24"/>
        </w:rPr>
        <w:t xml:space="preserve">Document Support Centre (Pvt) Ltd </w:t>
      </w:r>
      <w:r w:rsidR="00212A76" w:rsidRPr="00D35D07">
        <w:rPr>
          <w:sz w:val="24"/>
          <w:szCs w:val="24"/>
        </w:rPr>
        <w:t>v</w:t>
      </w:r>
      <w:r w:rsidR="00212A76" w:rsidRPr="00D35D07">
        <w:rPr>
          <w:i/>
          <w:sz w:val="24"/>
          <w:szCs w:val="24"/>
        </w:rPr>
        <w:t xml:space="preserve"> Mapuvire</w:t>
      </w:r>
      <w:r w:rsidR="00212A76" w:rsidRPr="00BB5311">
        <w:rPr>
          <w:rStyle w:val="FootnoteReference"/>
          <w:sz w:val="24"/>
          <w:szCs w:val="24"/>
        </w:rPr>
        <w:footnoteReference w:id="9"/>
      </w:r>
      <w:r w:rsidR="00212A76" w:rsidRPr="00BB5311">
        <w:rPr>
          <w:sz w:val="24"/>
          <w:szCs w:val="24"/>
        </w:rPr>
        <w:t xml:space="preserve"> where </w:t>
      </w:r>
      <w:r w:rsidR="00212A76" w:rsidRPr="00D35D07">
        <w:rPr>
          <w:smallCaps/>
          <w:sz w:val="24"/>
          <w:szCs w:val="24"/>
        </w:rPr>
        <w:t>Makarau J</w:t>
      </w:r>
      <w:r w:rsidR="00212A76" w:rsidRPr="00BB5311">
        <w:rPr>
          <w:sz w:val="24"/>
          <w:szCs w:val="24"/>
        </w:rPr>
        <w:t xml:space="preserve"> (as she then was), held that:</w:t>
      </w:r>
    </w:p>
    <w:p w:rsidR="00212A76" w:rsidRPr="00D35D07" w:rsidRDefault="00D35D07" w:rsidP="00E36C94">
      <w:pPr>
        <w:pStyle w:val="FootnoteText"/>
        <w:jc w:val="both"/>
        <w:rPr>
          <w:sz w:val="22"/>
          <w:szCs w:val="22"/>
        </w:rPr>
      </w:pPr>
      <w:r>
        <w:rPr>
          <w:sz w:val="24"/>
          <w:szCs w:val="24"/>
        </w:rPr>
        <w:tab/>
      </w:r>
      <w:r w:rsidR="00E133C4" w:rsidRPr="00D35D07">
        <w:rPr>
          <w:sz w:val="22"/>
          <w:szCs w:val="22"/>
        </w:rPr>
        <w:t>“</w:t>
      </w:r>
      <w:r w:rsidR="00212A76" w:rsidRPr="00D35D07">
        <w:rPr>
          <w:sz w:val="22"/>
          <w:szCs w:val="22"/>
        </w:rPr>
        <w:t>Without attempting to classify the causes of action that are incapable of redress by</w:t>
      </w:r>
      <w:r>
        <w:rPr>
          <w:sz w:val="22"/>
          <w:szCs w:val="22"/>
        </w:rPr>
        <w:t xml:space="preserve"> </w:t>
      </w:r>
      <w:r w:rsidR="00212A76" w:rsidRPr="00D35D07">
        <w:rPr>
          <w:sz w:val="22"/>
          <w:szCs w:val="22"/>
        </w:rPr>
        <w:t xml:space="preserve">way of </w:t>
      </w:r>
      <w:r>
        <w:rPr>
          <w:sz w:val="22"/>
          <w:szCs w:val="22"/>
        </w:rPr>
        <w:tab/>
      </w:r>
      <w:r w:rsidR="00212A76" w:rsidRPr="00D35D07">
        <w:rPr>
          <w:sz w:val="22"/>
          <w:szCs w:val="22"/>
        </w:rPr>
        <w:t xml:space="preserve">urgent application, it appears to me that nature of the cause of action and the relief sought are </w:t>
      </w:r>
      <w:r>
        <w:rPr>
          <w:sz w:val="22"/>
          <w:szCs w:val="22"/>
        </w:rPr>
        <w:tab/>
      </w:r>
      <w:r w:rsidR="00212A76" w:rsidRPr="00D35D07">
        <w:rPr>
          <w:sz w:val="22"/>
          <w:szCs w:val="22"/>
        </w:rPr>
        <w:t>important considerations in granting or denying urgent applications.”</w:t>
      </w:r>
    </w:p>
    <w:p w:rsidR="00FA1D26" w:rsidRPr="00D35D07" w:rsidRDefault="00FA1D26" w:rsidP="00E36C94">
      <w:pPr>
        <w:jc w:val="both"/>
        <w:rPr>
          <w:sz w:val="22"/>
          <w:szCs w:val="22"/>
        </w:rPr>
      </w:pPr>
    </w:p>
    <w:p w:rsidR="00EA1EF9" w:rsidRPr="00BB5311" w:rsidRDefault="00F95C62" w:rsidP="00E36C94">
      <w:pPr>
        <w:spacing w:line="360" w:lineRule="auto"/>
        <w:jc w:val="both"/>
        <w:rPr>
          <w:i/>
        </w:rPr>
      </w:pPr>
      <w:r>
        <w:lastRenderedPageBreak/>
        <w:tab/>
      </w:r>
      <w:r w:rsidR="006F7326" w:rsidRPr="00BB5311">
        <w:t xml:space="preserve">The </w:t>
      </w:r>
      <w:r>
        <w:t>a</w:t>
      </w:r>
      <w:r w:rsidR="006F7326" w:rsidRPr="00BB5311">
        <w:t xml:space="preserve">pplicant’s </w:t>
      </w:r>
      <w:r w:rsidR="00084066" w:rsidRPr="00BB5311">
        <w:t>counsel implored</w:t>
      </w:r>
      <w:r w:rsidR="00EC0363" w:rsidRPr="00BB5311">
        <w:t xml:space="preserve"> the court </w:t>
      </w:r>
      <w:r w:rsidR="00084066" w:rsidRPr="00BB5311">
        <w:t>to consider</w:t>
      </w:r>
      <w:r w:rsidR="00EC0363" w:rsidRPr="00BB5311">
        <w:t xml:space="preserve"> c</w:t>
      </w:r>
      <w:r w:rsidR="006F7326" w:rsidRPr="00BB5311">
        <w:t>ommercial</w:t>
      </w:r>
      <w:r w:rsidR="00EC0363" w:rsidRPr="00BB5311">
        <w:t xml:space="preserve"> urgency in the present application as the </w:t>
      </w:r>
      <w:r>
        <w:t>a</w:t>
      </w:r>
      <w:r w:rsidR="00EC0363" w:rsidRPr="00BB5311">
        <w:t xml:space="preserve">pplicant is likely to make serious commercial loss if </w:t>
      </w:r>
      <w:r w:rsidR="00084066" w:rsidRPr="00BB5311">
        <w:t>the court</w:t>
      </w:r>
      <w:r w:rsidR="00603802" w:rsidRPr="00BB5311">
        <w:t xml:space="preserve"> does not urgently intervene.</w:t>
      </w:r>
      <w:r w:rsidR="003B5992">
        <w:t xml:space="preserve"> </w:t>
      </w:r>
      <w:r>
        <w:t xml:space="preserve"> </w:t>
      </w:r>
      <w:r w:rsidR="007A2FBA" w:rsidRPr="00BB5311">
        <w:t xml:space="preserve">In the </w:t>
      </w:r>
      <w:r w:rsidR="007F339E" w:rsidRPr="00BB5311">
        <w:t xml:space="preserve">case of </w:t>
      </w:r>
      <w:r w:rsidR="007A2FBA" w:rsidRPr="00F95C62">
        <w:rPr>
          <w:i/>
        </w:rPr>
        <w:t>Silver’s Trucks (Pvt)</w:t>
      </w:r>
      <w:r>
        <w:rPr>
          <w:i/>
        </w:rPr>
        <w:t xml:space="preserve"> </w:t>
      </w:r>
      <w:r w:rsidR="007A2FBA" w:rsidRPr="00F95C62">
        <w:rPr>
          <w:i/>
        </w:rPr>
        <w:t>Ltd</w:t>
      </w:r>
      <w:r w:rsidR="007A2FBA" w:rsidRPr="00BB5311">
        <w:t xml:space="preserve"> (</w:t>
      </w:r>
      <w:r w:rsidR="007A2FBA" w:rsidRPr="00BB5311">
        <w:rPr>
          <w:i/>
        </w:rPr>
        <w:t xml:space="preserve">supra), </w:t>
      </w:r>
      <w:r w:rsidR="007A2FBA" w:rsidRPr="00F95C62">
        <w:t>the court held that</w:t>
      </w:r>
      <w:r w:rsidR="007A2FBA" w:rsidRPr="00BB5311">
        <w:rPr>
          <w:i/>
        </w:rPr>
        <w:t>:</w:t>
      </w:r>
    </w:p>
    <w:p w:rsidR="007A2FBA" w:rsidRPr="00F95C62" w:rsidRDefault="00F95C62" w:rsidP="00E36C94">
      <w:pPr>
        <w:jc w:val="both"/>
        <w:rPr>
          <w:sz w:val="22"/>
          <w:szCs w:val="22"/>
        </w:rPr>
      </w:pPr>
      <w:r>
        <w:tab/>
      </w:r>
      <w:r w:rsidR="007A2FBA" w:rsidRPr="00F95C62">
        <w:rPr>
          <w:sz w:val="22"/>
          <w:szCs w:val="22"/>
        </w:rPr>
        <w:t xml:space="preserve">“The court has the power to hear an application as a matter of urgency not only where there </w:t>
      </w:r>
      <w:r>
        <w:rPr>
          <w:sz w:val="22"/>
          <w:szCs w:val="22"/>
        </w:rPr>
        <w:tab/>
      </w:r>
      <w:r w:rsidR="007A2FBA" w:rsidRPr="00F95C62">
        <w:rPr>
          <w:sz w:val="22"/>
          <w:szCs w:val="22"/>
        </w:rPr>
        <w:t xml:space="preserve">is serious threat to life or liberty but also where the urgency arises out of </w:t>
      </w:r>
      <w:r w:rsidR="007A2FBA" w:rsidRPr="00F95C62">
        <w:rPr>
          <w:sz w:val="22"/>
          <w:szCs w:val="22"/>
        </w:rPr>
        <w:tab/>
        <w:t xml:space="preserve">the need to protect </w:t>
      </w:r>
      <w:r>
        <w:rPr>
          <w:sz w:val="22"/>
          <w:szCs w:val="22"/>
        </w:rPr>
        <w:tab/>
      </w:r>
      <w:r w:rsidR="007A2FBA" w:rsidRPr="00F95C62">
        <w:rPr>
          <w:sz w:val="22"/>
          <w:szCs w:val="22"/>
        </w:rPr>
        <w:t>commercial interests”.</w:t>
      </w:r>
    </w:p>
    <w:p w:rsidR="00F95C62" w:rsidRDefault="00F95C62" w:rsidP="00E36C94">
      <w:pPr>
        <w:spacing w:line="360" w:lineRule="auto"/>
        <w:jc w:val="both"/>
        <w:rPr>
          <w:i/>
        </w:rPr>
      </w:pPr>
      <w:r>
        <w:rPr>
          <w:i/>
        </w:rPr>
        <w:tab/>
      </w:r>
    </w:p>
    <w:p w:rsidR="005B4EDD" w:rsidRPr="00BB5311" w:rsidRDefault="00F95C62" w:rsidP="00E36C94">
      <w:pPr>
        <w:spacing w:line="360" w:lineRule="auto"/>
        <w:jc w:val="both"/>
      </w:pPr>
      <w:r>
        <w:rPr>
          <w:i/>
        </w:rPr>
        <w:tab/>
      </w:r>
      <w:r w:rsidR="00E76084" w:rsidRPr="00BB5311">
        <w:rPr>
          <w:i/>
        </w:rPr>
        <w:t>In casu</w:t>
      </w:r>
      <w:r w:rsidR="00E76084" w:rsidRPr="00BB5311">
        <w:t xml:space="preserve">, the present application involves commercial issues. </w:t>
      </w:r>
      <w:r w:rsidR="00084066" w:rsidRPr="00BB5311">
        <w:t>I do</w:t>
      </w:r>
      <w:r w:rsidR="007A5373" w:rsidRPr="00BB5311">
        <w:t xml:space="preserve"> agree with Adv </w:t>
      </w:r>
      <w:r w:rsidR="007A5373" w:rsidRPr="00F95C62">
        <w:rPr>
          <w:i/>
        </w:rPr>
        <w:t>Magwaliba</w:t>
      </w:r>
      <w:r w:rsidR="00780D44" w:rsidRPr="00BB5311">
        <w:t xml:space="preserve"> that this matter is urgent. The </w:t>
      </w:r>
      <w:r>
        <w:t>a</w:t>
      </w:r>
      <w:r w:rsidR="00780D44" w:rsidRPr="00BB5311">
        <w:t xml:space="preserve">pplicant will be </w:t>
      </w:r>
      <w:r w:rsidR="00084066" w:rsidRPr="00BB5311">
        <w:t>insolvent and</w:t>
      </w:r>
      <w:r w:rsidR="00780D44" w:rsidRPr="00BB5311">
        <w:t xml:space="preserve"> liquidated if this matter is not heard on an urgent basis.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3B5992">
        <w:t>espondents will equally be a</w:t>
      </w:r>
      <w:r w:rsidR="00780D44" w:rsidRPr="00BB5311">
        <w:t xml:space="preserve">ffected if </w:t>
      </w:r>
      <w:r>
        <w:t>the a</w:t>
      </w:r>
      <w:r w:rsidR="00084066" w:rsidRPr="00BB5311">
        <w:t>pplicant</w:t>
      </w:r>
      <w:r w:rsidR="002F2DE9" w:rsidRPr="00BB5311">
        <w:t xml:space="preserve"> becomes insolvent as they will</w:t>
      </w:r>
      <w:r w:rsidR="00C254B3" w:rsidRPr="00BB5311">
        <w:t xml:space="preserve"> not be able to continue with their employment with the </w:t>
      </w:r>
      <w:r>
        <w:t>a</w:t>
      </w:r>
      <w:r w:rsidR="00C254B3" w:rsidRPr="00BB5311">
        <w:t>pplicant.</w:t>
      </w:r>
      <w:r w:rsidR="00B70387" w:rsidRPr="00BB5311">
        <w:t xml:space="preserve"> There are serious consequences associated with the liquidation of a company which must be avoided at the earliest available opportunity.</w:t>
      </w:r>
      <w:r w:rsidR="008C190D" w:rsidRPr="00BB5311">
        <w:t xml:space="preserve"> </w:t>
      </w:r>
      <w:r>
        <w:t xml:space="preserve"> </w:t>
      </w:r>
      <w:r w:rsidR="008C190D" w:rsidRPr="00BB5311">
        <w:t xml:space="preserve">Accordingly, the point </w:t>
      </w:r>
      <w:r w:rsidR="008C190D" w:rsidRPr="00BB5311">
        <w:rPr>
          <w:i/>
        </w:rPr>
        <w:t xml:space="preserve">in </w:t>
      </w:r>
      <w:r w:rsidR="00084066" w:rsidRPr="00BB5311">
        <w:rPr>
          <w:i/>
        </w:rPr>
        <w:t>limine</w:t>
      </w:r>
      <w:r w:rsidR="00084066" w:rsidRPr="00BB5311">
        <w:t xml:space="preserve"> concerned</w:t>
      </w:r>
      <w:r w:rsidR="008C190D" w:rsidRPr="00BB5311">
        <w:t xml:space="preserve"> </w:t>
      </w:r>
      <w:r w:rsidR="003B5992">
        <w:t xml:space="preserve">is </w:t>
      </w:r>
      <w:r w:rsidR="008C190D" w:rsidRPr="00BB5311">
        <w:t>dismissed for want of merits.</w:t>
      </w:r>
    </w:p>
    <w:p w:rsidR="00987908" w:rsidRPr="00BB5311" w:rsidRDefault="005A7E0F" w:rsidP="00E36C94">
      <w:pPr>
        <w:spacing w:line="360" w:lineRule="auto"/>
        <w:jc w:val="both"/>
      </w:pPr>
      <w:r>
        <w:tab/>
      </w:r>
      <w:r w:rsidR="005B4EDD" w:rsidRPr="00BB5311">
        <w:t xml:space="preserve">I will now turn to the </w:t>
      </w:r>
      <w:r w:rsidR="0058432C" w:rsidRPr="00BB5311">
        <w:t xml:space="preserve">point </w:t>
      </w:r>
      <w:r w:rsidR="0058432C" w:rsidRPr="00BB5311">
        <w:rPr>
          <w:i/>
        </w:rPr>
        <w:t>in limine</w:t>
      </w:r>
      <w:r w:rsidR="0058432C" w:rsidRPr="00BB5311">
        <w:t xml:space="preserve"> </w:t>
      </w:r>
      <w:r w:rsidR="00D470D4" w:rsidRPr="00BB5311">
        <w:t xml:space="preserve">for the </w:t>
      </w:r>
      <w:r w:rsidR="0058432C" w:rsidRPr="00BB5311">
        <w:t xml:space="preserve">cause of action raised by </w:t>
      </w:r>
      <w:r>
        <w:t>the r</w:t>
      </w:r>
      <w:r w:rsidR="0058432C" w:rsidRPr="00BB5311">
        <w:t>espondents.</w:t>
      </w:r>
      <w:r w:rsidR="00987908" w:rsidRPr="00BB5311">
        <w:t xml:space="preserve"> In the case of </w:t>
      </w:r>
      <w:r w:rsidR="00987908" w:rsidRPr="005A7E0F">
        <w:rPr>
          <w:i/>
        </w:rPr>
        <w:t xml:space="preserve">Abrahams &amp; Sons </w:t>
      </w:r>
      <w:r w:rsidR="00987908" w:rsidRPr="005A7E0F">
        <w:t>v</w:t>
      </w:r>
      <w:r w:rsidR="00987908" w:rsidRPr="005A7E0F">
        <w:rPr>
          <w:i/>
        </w:rPr>
        <w:t xml:space="preserve"> SA Railways </w:t>
      </w:r>
      <w:r>
        <w:rPr>
          <w:i/>
        </w:rPr>
        <w:t>&amp;</w:t>
      </w:r>
      <w:r w:rsidR="00987908" w:rsidRPr="005A7E0F">
        <w:rPr>
          <w:i/>
        </w:rPr>
        <w:t xml:space="preserve"> Harbours</w:t>
      </w:r>
      <w:r w:rsidR="00987908" w:rsidRPr="00BB5311">
        <w:rPr>
          <w:rStyle w:val="FootnoteReference"/>
        </w:rPr>
        <w:footnoteReference w:id="10"/>
      </w:r>
      <w:r w:rsidR="00987908" w:rsidRPr="00BB5311">
        <w:t xml:space="preserve">, the court defined the cause of action in the following way: </w:t>
      </w:r>
    </w:p>
    <w:p w:rsidR="00987908" w:rsidRPr="00BB5311" w:rsidRDefault="005A7E0F" w:rsidP="00E36C94">
      <w:pPr>
        <w:jc w:val="both"/>
      </w:pPr>
      <w:r>
        <w:tab/>
      </w:r>
      <w:r w:rsidR="00987908" w:rsidRPr="00BB5311">
        <w:t xml:space="preserve">“The proper meaning of the expression ‘cause of action’ is the entire set of facts which </w:t>
      </w:r>
      <w:r>
        <w:tab/>
      </w:r>
      <w:r w:rsidR="00987908" w:rsidRPr="00BB5311">
        <w:t xml:space="preserve">gives rise to an enforceable claim and includes every act which is material to be proved </w:t>
      </w:r>
      <w:r>
        <w:tab/>
      </w:r>
      <w:r w:rsidR="00987908" w:rsidRPr="00BB5311">
        <w:t xml:space="preserve">to entitle a plaintiff to succeed in his claim. It includes all that a plaintiff must set out </w:t>
      </w:r>
      <w:r>
        <w:tab/>
      </w:r>
      <w:r w:rsidR="00987908" w:rsidRPr="00BB5311">
        <w:t>in his declaration in order to disclose a cause of action.”</w:t>
      </w:r>
    </w:p>
    <w:p w:rsidR="00945368" w:rsidRDefault="00945368" w:rsidP="00E36C94">
      <w:pPr>
        <w:spacing w:line="360" w:lineRule="auto"/>
        <w:jc w:val="both"/>
        <w:rPr>
          <w:i/>
        </w:rPr>
      </w:pPr>
    </w:p>
    <w:p w:rsidR="007A2FBA" w:rsidRPr="00BB5311" w:rsidRDefault="00945368" w:rsidP="00E36C94">
      <w:pPr>
        <w:spacing w:line="360" w:lineRule="auto"/>
        <w:jc w:val="both"/>
      </w:pPr>
      <w:r>
        <w:rPr>
          <w:i/>
        </w:rPr>
        <w:tab/>
      </w:r>
      <w:r w:rsidR="00987908" w:rsidRPr="00BB5311">
        <w:rPr>
          <w:i/>
        </w:rPr>
        <w:t>In casu</w:t>
      </w:r>
      <w:r w:rsidR="00987908" w:rsidRPr="00BB5311">
        <w:t xml:space="preserve">, the </w:t>
      </w:r>
      <w:r>
        <w:t>a</w:t>
      </w:r>
      <w:r w:rsidR="00987908" w:rsidRPr="00BB5311">
        <w:t>pplicant approached the court seeking the relief for the return of trucks and trailers</w:t>
      </w:r>
      <w:r w:rsidR="00D1666C" w:rsidRPr="00BB5311">
        <w:t xml:space="preserve"> </w:t>
      </w:r>
      <w:r w:rsidR="00126A65">
        <w:t xml:space="preserve">based on the principles </w:t>
      </w:r>
      <w:r w:rsidR="00D1666C" w:rsidRPr="00BB5311">
        <w:t xml:space="preserve">of spoliation order or </w:t>
      </w:r>
      <w:r w:rsidR="00A30DA6" w:rsidRPr="00BB5311">
        <w:t xml:space="preserve">vindicatory </w:t>
      </w:r>
      <w:r>
        <w:t xml:space="preserve">action. </w:t>
      </w:r>
      <w:r w:rsidR="00DF6D10" w:rsidRPr="00BB5311">
        <w:t xml:space="preserve">In the case of </w:t>
      </w:r>
      <w:r w:rsidR="00DF6D10" w:rsidRPr="00945368">
        <w:rPr>
          <w:i/>
        </w:rPr>
        <w:t xml:space="preserve">Savanhu </w:t>
      </w:r>
      <w:r w:rsidR="00DF6D10" w:rsidRPr="00945368">
        <w:t>v</w:t>
      </w:r>
      <w:r w:rsidR="00DF6D10" w:rsidRPr="00945368">
        <w:rPr>
          <w:i/>
        </w:rPr>
        <w:t xml:space="preserve"> Hwange Colliery Company</w:t>
      </w:r>
      <w:r w:rsidR="00DF6D10" w:rsidRPr="00BB5311">
        <w:rPr>
          <w:rStyle w:val="FootnoteReference"/>
        </w:rPr>
        <w:footnoteReference w:id="11"/>
      </w:r>
      <w:r w:rsidR="00DF6D10" w:rsidRPr="00BB5311">
        <w:t>, the Supreme Court</w:t>
      </w:r>
      <w:r w:rsidR="00FD3094" w:rsidRPr="00BB5311">
        <w:t xml:space="preserve">, in discussing the requirements for the vindicatory </w:t>
      </w:r>
      <w:r w:rsidR="00084066">
        <w:t>action,</w:t>
      </w:r>
      <w:r w:rsidR="00084066" w:rsidRPr="00BB5311">
        <w:t xml:space="preserve"> held</w:t>
      </w:r>
      <w:r w:rsidR="00DF6D10" w:rsidRPr="00BB5311">
        <w:t xml:space="preserve"> that:</w:t>
      </w:r>
    </w:p>
    <w:p w:rsidR="008C1BBA" w:rsidRPr="00BB5311" w:rsidRDefault="00945368" w:rsidP="00E36C94">
      <w:pPr>
        <w:jc w:val="both"/>
      </w:pPr>
      <w:r>
        <w:tab/>
      </w:r>
      <w:r w:rsidR="008C1BBA" w:rsidRPr="00BB5311">
        <w:t xml:space="preserve">“The </w:t>
      </w:r>
      <w:r w:rsidR="008C1BBA" w:rsidRPr="00945368">
        <w:rPr>
          <w:i/>
        </w:rPr>
        <w:t>actio rei vindicatio</w:t>
      </w:r>
      <w:r w:rsidR="008C1BBA" w:rsidRPr="00BB5311">
        <w:t xml:space="preserve"> is an action brought by an owner of property to recover it </w:t>
      </w:r>
    </w:p>
    <w:p w:rsidR="008C1BBA" w:rsidRPr="00BB5311" w:rsidRDefault="00945368" w:rsidP="00E36C94">
      <w:pPr>
        <w:jc w:val="both"/>
      </w:pPr>
      <w:r>
        <w:tab/>
      </w:r>
      <w:r w:rsidR="008C1BBA" w:rsidRPr="00BB5311">
        <w:t xml:space="preserve">from any person who retains possession of it without his consent. It derives from the </w:t>
      </w:r>
      <w:r>
        <w:tab/>
      </w:r>
      <w:r w:rsidR="008C1BBA" w:rsidRPr="00BB5311">
        <w:t xml:space="preserve">principle that an owner cannot be deprived of his property without his consent. As it </w:t>
      </w:r>
      <w:r>
        <w:tab/>
      </w:r>
      <w:r w:rsidR="008C1BBA" w:rsidRPr="00BB5311">
        <w:t xml:space="preserve">was put in </w:t>
      </w:r>
      <w:r w:rsidR="008C1BBA" w:rsidRPr="00945368">
        <w:rPr>
          <w:i/>
        </w:rPr>
        <w:t xml:space="preserve">Chetty </w:t>
      </w:r>
      <w:r w:rsidR="008C1BBA" w:rsidRPr="00945368">
        <w:t>v</w:t>
      </w:r>
      <w:r w:rsidR="008C1BBA" w:rsidRPr="00945368">
        <w:rPr>
          <w:i/>
        </w:rPr>
        <w:t xml:space="preserve"> Naidoo</w:t>
      </w:r>
      <w:r w:rsidR="008C1BBA" w:rsidRPr="00BB5311">
        <w:t xml:space="preserve">1: </w:t>
      </w:r>
    </w:p>
    <w:p w:rsidR="008C1BBA" w:rsidRPr="00BB5311" w:rsidRDefault="00945368" w:rsidP="00E36C94">
      <w:pPr>
        <w:jc w:val="both"/>
      </w:pPr>
      <w:r>
        <w:tab/>
      </w:r>
      <w:r>
        <w:tab/>
        <w:t>‘</w:t>
      </w:r>
      <w:r w:rsidR="008C1BBA" w:rsidRPr="00BB5311">
        <w:t xml:space="preserve">It is inherent in the nature of ownership that possession of the res should </w:t>
      </w:r>
      <w:r>
        <w:tab/>
      </w:r>
      <w:r>
        <w:tab/>
      </w:r>
      <w:r>
        <w:tab/>
      </w:r>
      <w:r w:rsidR="008C1BBA" w:rsidRPr="00BB5311">
        <w:t>normally be with the owner, and it follows that no other person may withhold</w:t>
      </w:r>
      <w:r w:rsidR="00084066">
        <w:t xml:space="preserve"> </w:t>
      </w:r>
      <w:r w:rsidR="008C1BBA" w:rsidRPr="00BB5311">
        <w:t xml:space="preserve">it </w:t>
      </w:r>
      <w:r>
        <w:tab/>
      </w:r>
      <w:r>
        <w:tab/>
      </w:r>
      <w:r w:rsidR="008C1BBA" w:rsidRPr="00BB5311">
        <w:t xml:space="preserve">from the owner unless he is vested with some right enforceable against the </w:t>
      </w:r>
      <w:r>
        <w:tab/>
      </w:r>
      <w:r>
        <w:tab/>
      </w:r>
      <w:r w:rsidR="008C1BBA" w:rsidRPr="00BB5311">
        <w:t xml:space="preserve">owner (e.g., a right of retention or a contractual right). </w:t>
      </w:r>
    </w:p>
    <w:p w:rsidR="008C1BBA" w:rsidRPr="00BB5311" w:rsidRDefault="00945368" w:rsidP="00E36C94">
      <w:pPr>
        <w:jc w:val="both"/>
      </w:pPr>
      <w:r>
        <w:tab/>
      </w:r>
      <w:r>
        <w:tab/>
      </w:r>
      <w:r w:rsidR="008C1BBA" w:rsidRPr="00BB5311">
        <w:t xml:space="preserve">The owner, in instituting a </w:t>
      </w:r>
      <w:r w:rsidR="008C1BBA" w:rsidRPr="003B7707">
        <w:rPr>
          <w:i/>
        </w:rPr>
        <w:t>rei vindicatio</w:t>
      </w:r>
      <w:r w:rsidR="008C1BBA" w:rsidRPr="00BB5311">
        <w:t xml:space="preserve">, need, therefore, do no more than allege </w:t>
      </w:r>
      <w:r>
        <w:tab/>
      </w:r>
      <w:r>
        <w:tab/>
      </w:r>
      <w:r w:rsidR="008C1BBA" w:rsidRPr="00BB5311">
        <w:t>and prove that he is the owner and that the defendant is holding the</w:t>
      </w:r>
      <w:r>
        <w:t xml:space="preserve"> </w:t>
      </w:r>
      <w:r w:rsidR="008C1BBA" w:rsidRPr="00CD6F7D">
        <w:rPr>
          <w:i/>
        </w:rPr>
        <w:t>res -the onus</w:t>
      </w:r>
      <w:r w:rsidR="008C1BBA" w:rsidRPr="00BB5311">
        <w:t xml:space="preserve"> </w:t>
      </w:r>
      <w:r w:rsidR="00CD6F7D">
        <w:lastRenderedPageBreak/>
        <w:tab/>
      </w:r>
      <w:r w:rsidR="00CD6F7D">
        <w:tab/>
      </w:r>
      <w:r w:rsidR="008C1BBA" w:rsidRPr="00BB5311">
        <w:t xml:space="preserve">being on the defendant to allege and establish any right to continue to hold </w:t>
      </w:r>
      <w:r w:rsidR="00CD6F7D">
        <w:tab/>
      </w:r>
      <w:r w:rsidR="00CD6F7D">
        <w:tab/>
      </w:r>
      <w:r w:rsidR="008C1BBA" w:rsidRPr="00BB5311">
        <w:t xml:space="preserve">against the owner… (cf. </w:t>
      </w:r>
      <w:r w:rsidR="008C1BBA" w:rsidRPr="00CD6F7D">
        <w:rPr>
          <w:i/>
        </w:rPr>
        <w:t xml:space="preserve">Jeena </w:t>
      </w:r>
      <w:r w:rsidR="008C1BBA" w:rsidRPr="00CD6F7D">
        <w:t>v</w:t>
      </w:r>
      <w:r w:rsidR="008C1BBA" w:rsidRPr="00CD6F7D">
        <w:rPr>
          <w:i/>
        </w:rPr>
        <w:t xml:space="preserve"> Minister of Lands</w:t>
      </w:r>
      <w:r w:rsidR="008C1BBA" w:rsidRPr="00BB5311">
        <w:t>, 1955 (2)</w:t>
      </w:r>
    </w:p>
    <w:p w:rsidR="008C1BBA" w:rsidRPr="00BB5311" w:rsidRDefault="00CD6F7D" w:rsidP="00E36C94">
      <w:pPr>
        <w:jc w:val="both"/>
      </w:pPr>
      <w:r>
        <w:tab/>
      </w:r>
      <w:r>
        <w:tab/>
      </w:r>
      <w:r w:rsidR="008C1BBA" w:rsidRPr="00BB5311">
        <w:t>SA 380 (AD) at pp 382E, 383)…</w:t>
      </w:r>
      <w:r>
        <w:t>’</w:t>
      </w:r>
      <w:r w:rsidR="008C1BBA" w:rsidRPr="00BB5311">
        <w:t>”</w:t>
      </w:r>
    </w:p>
    <w:p w:rsidR="00293805" w:rsidRDefault="00293805" w:rsidP="00E36C94">
      <w:pPr>
        <w:spacing w:line="360" w:lineRule="auto"/>
        <w:ind w:left="720"/>
        <w:jc w:val="both"/>
      </w:pPr>
    </w:p>
    <w:p w:rsidR="00B12BEF" w:rsidRPr="00293805" w:rsidRDefault="00293805" w:rsidP="00E36C94">
      <w:pPr>
        <w:spacing w:line="360" w:lineRule="auto"/>
        <w:ind w:left="720"/>
        <w:jc w:val="both"/>
      </w:pPr>
      <w:r>
        <w:tab/>
      </w:r>
      <w:r w:rsidR="00B12BEF" w:rsidRPr="00BB5311">
        <w:t xml:space="preserve">In discussing the requirements of the application for spoliation order, the Supreme Court, in the case </w:t>
      </w:r>
      <w:r w:rsidR="00084066" w:rsidRPr="00BB5311">
        <w:t xml:space="preserve">of </w:t>
      </w:r>
      <w:r w:rsidR="00084066" w:rsidRPr="00293805">
        <w:rPr>
          <w:i/>
        </w:rPr>
        <w:t>Blue</w:t>
      </w:r>
      <w:r w:rsidR="00B12BEF" w:rsidRPr="00293805">
        <w:rPr>
          <w:i/>
        </w:rPr>
        <w:t xml:space="preserve"> Rangers Estates (Pvt) Ltd</w:t>
      </w:r>
      <w:r w:rsidR="00B12BEF" w:rsidRPr="00BB5311">
        <w:t xml:space="preserve"> (</w:t>
      </w:r>
      <w:r w:rsidR="00B12BEF" w:rsidRPr="00BB5311">
        <w:rPr>
          <w:i/>
        </w:rPr>
        <w:t xml:space="preserve">supra) </w:t>
      </w:r>
      <w:r w:rsidR="00B12BEF" w:rsidRPr="00293805">
        <w:t xml:space="preserve">made the following important observations:   </w:t>
      </w:r>
    </w:p>
    <w:p w:rsidR="00D470D4" w:rsidRPr="00BB5311" w:rsidRDefault="00D470D4" w:rsidP="00E36C94">
      <w:pPr>
        <w:ind w:firstLine="720"/>
        <w:jc w:val="both"/>
      </w:pPr>
      <w:r w:rsidRPr="00BB5311">
        <w:tab/>
      </w:r>
      <w:r w:rsidR="002E34A7" w:rsidRPr="00BB5311">
        <w:t>“</w:t>
      </w:r>
      <w:r w:rsidRPr="00BB5311">
        <w:rPr>
          <w:i/>
        </w:rPr>
        <w:t xml:space="preserve">Nienaber </w:t>
      </w:r>
      <w:r w:rsidRPr="00EC7FED">
        <w:t>v</w:t>
      </w:r>
      <w:r w:rsidRPr="00BB5311">
        <w:rPr>
          <w:i/>
        </w:rPr>
        <w:t xml:space="preserve"> Stuckey</w:t>
      </w:r>
      <w:r w:rsidRPr="00BB5311">
        <w:t xml:space="preserve"> 1946 AD 1049 is authority for the principle that the right </w:t>
      </w:r>
      <w:r w:rsidR="00293805">
        <w:tab/>
      </w:r>
      <w:r w:rsidR="00293805">
        <w:tab/>
      </w:r>
      <w:r w:rsidRPr="00BB5311">
        <w:t xml:space="preserve">to the restoration of possession of the property must be established as a clear </w:t>
      </w:r>
      <w:r w:rsidR="00293805">
        <w:tab/>
      </w:r>
      <w:r w:rsidR="00293805">
        <w:tab/>
      </w:r>
      <w:r w:rsidRPr="00BB5311">
        <w:t xml:space="preserve">right and not a </w:t>
      </w:r>
      <w:r w:rsidRPr="00BB5311">
        <w:rPr>
          <w:i/>
        </w:rPr>
        <w:t>prima facie</w:t>
      </w:r>
      <w:r w:rsidRPr="00BB5311">
        <w:t xml:space="preserve"> right before a spoliation order can be made.  The </w:t>
      </w:r>
      <w:r w:rsidR="00293805">
        <w:tab/>
      </w:r>
      <w:r w:rsidR="00293805">
        <w:tab/>
      </w:r>
      <w:r w:rsidRPr="00BB5311">
        <w:t xml:space="preserve">right must not be open to doubt.  At p 1053-4 </w:t>
      </w:r>
      <w:r w:rsidR="00293805" w:rsidRPr="00293805">
        <w:rPr>
          <w:smallCaps/>
        </w:rPr>
        <w:t>greenberg ja</w:t>
      </w:r>
      <w:r w:rsidRPr="00BB5311">
        <w:t>, said:</w:t>
      </w:r>
    </w:p>
    <w:p w:rsidR="00EC7FED" w:rsidRDefault="00293805" w:rsidP="00E36C94">
      <w:pPr>
        <w:ind w:left="720"/>
        <w:jc w:val="both"/>
      </w:pPr>
      <w:r>
        <w:tab/>
      </w:r>
      <w:r>
        <w:tab/>
        <w:t>‘</w:t>
      </w:r>
      <w:r w:rsidR="00D470D4" w:rsidRPr="00BB5311">
        <w:t xml:space="preserve">The learned Judge in the court below followed what was said by </w:t>
      </w:r>
      <w:r>
        <w:tab/>
      </w:r>
      <w:r>
        <w:tab/>
      </w:r>
      <w:r>
        <w:tab/>
      </w:r>
      <w:r w:rsidRPr="00293805">
        <w:rPr>
          <w:smallCaps/>
        </w:rPr>
        <w:t>bristowe j</w:t>
      </w:r>
      <w:r w:rsidR="00D470D4" w:rsidRPr="00BB5311">
        <w:t xml:space="preserve"> in </w:t>
      </w:r>
      <w:r w:rsidR="00D470D4" w:rsidRPr="00BB5311">
        <w:rPr>
          <w:i/>
        </w:rPr>
        <w:t xml:space="preserve">Burnham </w:t>
      </w:r>
      <w:r w:rsidR="00D470D4" w:rsidRPr="00293805">
        <w:t>v</w:t>
      </w:r>
      <w:r w:rsidR="00D470D4" w:rsidRPr="00BB5311">
        <w:rPr>
          <w:i/>
        </w:rPr>
        <w:t xml:space="preserve"> Neumeyer</w:t>
      </w:r>
      <w:r w:rsidR="00D470D4" w:rsidRPr="00BB5311">
        <w:t xml:space="preserve"> (1917 T.P.D. 630 at p 633) </w:t>
      </w:r>
      <w:r w:rsidR="00D470D4" w:rsidRPr="00EC7FED">
        <w:rPr>
          <w:i/>
        </w:rPr>
        <w:t>viz</w:t>
      </w:r>
      <w:r w:rsidR="00D470D4" w:rsidRPr="00BB5311">
        <w:t xml:space="preserve">: </w:t>
      </w:r>
      <w:r>
        <w:tab/>
      </w:r>
      <w:r>
        <w:tab/>
      </w:r>
      <w:r w:rsidR="00D470D4" w:rsidRPr="00BB5311">
        <w:t xml:space="preserve">where the applicant asks for a spoliation order he must make out not </w:t>
      </w:r>
      <w:r w:rsidR="00EC7FED">
        <w:tab/>
      </w:r>
      <w:r w:rsidR="00EC7FED">
        <w:tab/>
      </w:r>
      <w:r w:rsidR="00D470D4" w:rsidRPr="00BB5311">
        <w:t xml:space="preserve">only a </w:t>
      </w:r>
      <w:r w:rsidR="00D470D4" w:rsidRPr="00BB5311">
        <w:rPr>
          <w:i/>
        </w:rPr>
        <w:t>prima facie</w:t>
      </w:r>
      <w:r w:rsidR="00D470D4" w:rsidRPr="00BB5311">
        <w:t xml:space="preserve"> case, but he must prove the acts necessary to justify </w:t>
      </w:r>
      <w:r w:rsidR="00EC7FED">
        <w:tab/>
      </w:r>
      <w:r w:rsidR="00EC7FED">
        <w:tab/>
      </w:r>
      <w:r w:rsidR="00D470D4" w:rsidRPr="00BB5311">
        <w:t xml:space="preserve">a final order – that is, that the things alleged to have been spoliated were </w:t>
      </w:r>
      <w:r w:rsidR="00EC7FED">
        <w:tab/>
      </w:r>
      <w:r w:rsidR="00EC7FED">
        <w:tab/>
      </w:r>
      <w:r w:rsidR="00D470D4" w:rsidRPr="00BB5311">
        <w:t>in his possession and that they were removed from his possession</w:t>
      </w:r>
      <w:r w:rsidR="00EC7FED">
        <w:t xml:space="preserve"> </w:t>
      </w:r>
      <w:r w:rsidR="00EC7FED">
        <w:tab/>
      </w:r>
    </w:p>
    <w:p w:rsidR="00D470D4" w:rsidRPr="00BB5311" w:rsidRDefault="00EC7FED" w:rsidP="00EC7FED">
      <w:pPr>
        <w:ind w:left="720"/>
      </w:pPr>
      <w:r>
        <w:tab/>
      </w:r>
      <w:r>
        <w:tab/>
        <w:t>forcibly</w:t>
      </w:r>
      <w:r w:rsidR="00D470D4" w:rsidRPr="00BB5311">
        <w:t xml:space="preserve"> or wrongfully or against his consent.</w:t>
      </w:r>
      <w:r>
        <w:t>’</w:t>
      </w:r>
      <w:r w:rsidR="00D470D4" w:rsidRPr="00BB5311">
        <w:br/>
      </w:r>
      <w:r>
        <w:tab/>
      </w:r>
      <w:r w:rsidR="00D470D4" w:rsidRPr="00BB5311">
        <w:t xml:space="preserve">I agree with what was there said as to the cogency of the proof required.  </w:t>
      </w:r>
      <w:r>
        <w:tab/>
      </w:r>
      <w:r w:rsidR="00D470D4" w:rsidRPr="00BB5311">
        <w:t xml:space="preserve">Although a spoliation order does not decide what, apart from possession, the </w:t>
      </w:r>
      <w:r>
        <w:tab/>
      </w:r>
      <w:r w:rsidR="00D470D4" w:rsidRPr="00BB5311">
        <w:t xml:space="preserve">rights of the parties to the property spoliated were before the act of spoliation </w:t>
      </w:r>
      <w:r>
        <w:tab/>
      </w:r>
      <w:r w:rsidR="00D470D4" w:rsidRPr="00BB5311">
        <w:t xml:space="preserve">and merely orders that the status quo be restored, it is to that extent a final </w:t>
      </w:r>
      <w:r>
        <w:tab/>
      </w:r>
      <w:r w:rsidR="00D470D4" w:rsidRPr="00BB5311">
        <w:t xml:space="preserve">order and the same amount of proof is required as for the granting of a final </w:t>
      </w:r>
      <w:r>
        <w:tab/>
      </w:r>
      <w:r w:rsidR="00D470D4" w:rsidRPr="00BB5311">
        <w:t xml:space="preserve">interdict </w:t>
      </w:r>
      <w:r>
        <w:t>and not a temporary interdict</w:t>
      </w:r>
      <w:r w:rsidR="00D470D4" w:rsidRPr="00BB5311">
        <w:t>.</w:t>
      </w:r>
      <w:r w:rsidR="002E34A7" w:rsidRPr="00BB5311">
        <w:t>”</w:t>
      </w:r>
      <w:r w:rsidR="00D470D4" w:rsidRPr="00BB5311">
        <w:t xml:space="preserve"> </w:t>
      </w:r>
    </w:p>
    <w:p w:rsidR="008F68C8" w:rsidRDefault="008F68C8" w:rsidP="00E36C94">
      <w:pPr>
        <w:spacing w:line="360" w:lineRule="auto"/>
        <w:jc w:val="both"/>
        <w:rPr>
          <w:i/>
        </w:rPr>
      </w:pPr>
    </w:p>
    <w:p w:rsidR="00E664C3" w:rsidRPr="00BB5311" w:rsidRDefault="008F68C8" w:rsidP="00E36C94">
      <w:pPr>
        <w:spacing w:line="360" w:lineRule="auto"/>
        <w:jc w:val="both"/>
      </w:pPr>
      <w:r>
        <w:rPr>
          <w:i/>
        </w:rPr>
        <w:tab/>
      </w:r>
      <w:r w:rsidR="005B3401" w:rsidRPr="00BB5311">
        <w:rPr>
          <w:i/>
        </w:rPr>
        <w:t>In casu</w:t>
      </w:r>
      <w:r w:rsidR="005B3401" w:rsidRPr="00BB5311">
        <w:t>, the</w:t>
      </w:r>
      <w:r w:rsidR="006D54D7" w:rsidRPr="00BB5311">
        <w:t xml:space="preserve"> </w:t>
      </w:r>
      <w:r>
        <w:t>a</w:t>
      </w:r>
      <w:r w:rsidR="006D54D7" w:rsidRPr="00BB5311">
        <w:t xml:space="preserve">pplicant is claiming to have been forcibly dispossessed by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6D54D7" w:rsidRPr="00BB5311">
        <w:t xml:space="preserve">espondents. On the other hand, the </w:t>
      </w:r>
      <w:r w:rsidRPr="00BB5311">
        <w:t>1</w:t>
      </w:r>
      <w:r w:rsidRPr="00BB5311">
        <w:rPr>
          <w:vertAlign w:val="superscript"/>
        </w:rPr>
        <w:t>st</w:t>
      </w:r>
      <w:r>
        <w:t xml:space="preserve"> to </w:t>
      </w:r>
      <w:r w:rsidRPr="00BB5311">
        <w:t>199</w:t>
      </w:r>
      <w:r w:rsidRPr="00BB5311">
        <w:rPr>
          <w:vertAlign w:val="superscript"/>
        </w:rPr>
        <w:t>th</w:t>
      </w:r>
      <w:r>
        <w:t xml:space="preserve"> respondents</w:t>
      </w:r>
      <w:r w:rsidR="00084066" w:rsidRPr="00BB5311">
        <w:t>, with</w:t>
      </w:r>
      <w:r w:rsidR="006D54D7" w:rsidRPr="00BB5311">
        <w:t xml:space="preserve"> the exception of two of them who claimed that they had no vehicles at the material time,</w:t>
      </w:r>
      <w:r w:rsidR="000D3307" w:rsidRPr="00BB5311">
        <w:t xml:space="preserve"> maintained that they did not wrongfully dispossess </w:t>
      </w:r>
      <w:r w:rsidR="00084066" w:rsidRPr="00BB5311">
        <w:t xml:space="preserve">the </w:t>
      </w:r>
      <w:r>
        <w:t>a</w:t>
      </w:r>
      <w:r w:rsidR="00084066" w:rsidRPr="00BB5311">
        <w:t>pplicant</w:t>
      </w:r>
      <w:r w:rsidR="000D3307" w:rsidRPr="00BB5311">
        <w:t>.</w:t>
      </w:r>
      <w:r w:rsidR="00746EDF" w:rsidRPr="00BB5311">
        <w:t xml:space="preserve"> They insisted </w:t>
      </w:r>
      <w:r w:rsidR="00084066" w:rsidRPr="00BB5311">
        <w:t>that they</w:t>
      </w:r>
      <w:r w:rsidR="005248B7" w:rsidRPr="00BB5311">
        <w:t xml:space="preserve"> were lawfully given vehicles as </w:t>
      </w:r>
      <w:r w:rsidR="0017405E" w:rsidRPr="00BB5311">
        <w:t xml:space="preserve">their </w:t>
      </w:r>
      <w:r w:rsidR="005248B7" w:rsidRPr="00BB5311">
        <w:t>tools of trade</w:t>
      </w:r>
      <w:r w:rsidR="0017405E" w:rsidRPr="00BB5311">
        <w:t xml:space="preserve"> for the employment contracts</w:t>
      </w:r>
      <w:r w:rsidR="005248B7" w:rsidRPr="00BB5311">
        <w:t>.</w:t>
      </w:r>
      <w:r w:rsidR="0017405E" w:rsidRPr="00BB5311">
        <w:t xml:space="preserve"> In the application of this nature, the </w:t>
      </w:r>
      <w:r>
        <w:t>a</w:t>
      </w:r>
      <w:r w:rsidR="0017405E" w:rsidRPr="00BB5311">
        <w:t>pplicant must aver the date of dispossession as an integral component for the cause of action.</w:t>
      </w:r>
      <w:r w:rsidR="00770CA2" w:rsidRPr="00BB5311">
        <w:t xml:space="preserve"> No date of dispossession has been affirmed by the </w:t>
      </w:r>
      <w:r>
        <w:t>a</w:t>
      </w:r>
      <w:r w:rsidR="00770CA2" w:rsidRPr="00BB5311">
        <w:t>pplicant in its Founding Affidavit.</w:t>
      </w:r>
      <w:r>
        <w:t xml:space="preserve"> </w:t>
      </w:r>
      <w:r w:rsidR="00F14186" w:rsidRPr="00BB5311">
        <w:t xml:space="preserve"> It only stated the date of the Minister’s declaration as the date of dispossession despite the fact </w:t>
      </w:r>
      <w:r w:rsidR="00E75197">
        <w:t xml:space="preserve">that </w:t>
      </w:r>
      <w:r w:rsidR="00F14186" w:rsidRPr="00BB5311">
        <w:t xml:space="preserve">it is common cause that the vehicles had been in possession of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F14186" w:rsidRPr="00BB5311">
        <w:t xml:space="preserve">espondents for years. In light of this, possession of the </w:t>
      </w:r>
      <w:r>
        <w:t>a</w:t>
      </w:r>
      <w:r w:rsidR="00F14186" w:rsidRPr="00BB5311">
        <w:t>pplicant is open to some doubt</w:t>
      </w:r>
      <w:r w:rsidR="00BF1E09" w:rsidRPr="00BB5311">
        <w:t xml:space="preserve"> contrary to observations made</w:t>
      </w:r>
      <w:r w:rsidR="006C4B4B" w:rsidRPr="00BB5311">
        <w:t xml:space="preserve"> in the case of </w:t>
      </w:r>
      <w:r w:rsidR="006C4B4B" w:rsidRPr="008F68C8">
        <w:rPr>
          <w:i/>
        </w:rPr>
        <w:t>Blue Rangers Estates (Pvt) Ltd</w:t>
      </w:r>
      <w:r w:rsidR="006C4B4B" w:rsidRPr="00BB5311">
        <w:t xml:space="preserve"> (</w:t>
      </w:r>
      <w:r w:rsidR="006C4B4B" w:rsidRPr="00BB5311">
        <w:rPr>
          <w:i/>
        </w:rPr>
        <w:t>supra</w:t>
      </w:r>
      <w:r>
        <w:rPr>
          <w:i/>
        </w:rPr>
        <w:t>)</w:t>
      </w:r>
      <w:r w:rsidR="006C4B4B" w:rsidRPr="00BB5311">
        <w:t>.</w:t>
      </w:r>
      <w:r>
        <w:t xml:space="preserve">  The a</w:t>
      </w:r>
      <w:r w:rsidR="00720C5A" w:rsidRPr="00BB5311">
        <w:t>pplicant did not establish a clear right</w:t>
      </w:r>
      <w:r w:rsidR="00AD0E64" w:rsidRPr="00BB5311">
        <w:t xml:space="preserve"> to the restoration of possession of the property, in my view.</w:t>
      </w:r>
      <w:r w:rsidR="00017AF9" w:rsidRPr="00BB5311">
        <w:t xml:space="preserve"> The present facts do not justify the granting of a final order in the form of spoliation order, in my view.</w:t>
      </w:r>
      <w:r>
        <w:t xml:space="preserve">  </w:t>
      </w:r>
      <w:r w:rsidR="00A32A57">
        <w:t xml:space="preserve">It was admitted by the counsel for the </w:t>
      </w:r>
      <w:r>
        <w:t>a</w:t>
      </w:r>
      <w:r w:rsidR="00A32A57">
        <w:t xml:space="preserve">pplicant that all the vehicles do have tracking systems which make it </w:t>
      </w:r>
      <w:r w:rsidR="00A32A57">
        <w:lastRenderedPageBreak/>
        <w:t xml:space="preserve">easy to identify the location of the vehicles. Despite the availability of such facility, the </w:t>
      </w:r>
      <w:r w:rsidR="00331D21">
        <w:t>a</w:t>
      </w:r>
      <w:r w:rsidR="00A32A57">
        <w:t xml:space="preserve">pplicant chose to approach the court with insufficient information about the location of the vehicles. The information for the location of the vehicles would enable the dispute resolution of whether or not an act of </w:t>
      </w:r>
      <w:r w:rsidR="00084066">
        <w:t>dispossession was</w:t>
      </w:r>
      <w:r w:rsidR="00A32A57">
        <w:t xml:space="preserve"> still in existence at the time when this </w:t>
      </w:r>
      <w:r w:rsidR="00084066">
        <w:t>matter was</w:t>
      </w:r>
      <w:r w:rsidR="00A32A57">
        <w:t xml:space="preserve"> argued.   </w:t>
      </w:r>
    </w:p>
    <w:p w:rsidR="007766B0" w:rsidRDefault="00331D21" w:rsidP="00E36C94">
      <w:pPr>
        <w:spacing w:line="360" w:lineRule="auto"/>
        <w:jc w:val="both"/>
      </w:pPr>
      <w:r>
        <w:tab/>
      </w:r>
      <w:r w:rsidR="00E664C3" w:rsidRPr="00BB5311">
        <w:t xml:space="preserve">With respect to the requirements for vindicatory </w:t>
      </w:r>
      <w:r w:rsidR="00084066">
        <w:t>action,</w:t>
      </w:r>
      <w:r w:rsidR="00084066" w:rsidRPr="00BB5311">
        <w:t xml:space="preserve"> the</w:t>
      </w:r>
      <w:r w:rsidR="007A0BF5" w:rsidRPr="00BB5311">
        <w:t xml:space="preserve"> </w:t>
      </w:r>
      <w:r>
        <w:t>a</w:t>
      </w:r>
      <w:r w:rsidR="007A0BF5" w:rsidRPr="00BB5311">
        <w:t xml:space="preserve">pplicant, in my view, partially satisfied </w:t>
      </w:r>
      <w:r w:rsidR="00C6262F" w:rsidRPr="00BB5311">
        <w:t xml:space="preserve">the prerequisites </w:t>
      </w:r>
      <w:r w:rsidR="00084066" w:rsidRPr="00BB5311">
        <w:t>of such</w:t>
      </w:r>
      <w:r w:rsidR="00C6262F" w:rsidRPr="00BB5311">
        <w:t xml:space="preserve"> order.</w:t>
      </w:r>
      <w:r w:rsidR="007766B0">
        <w:t xml:space="preserve"> After hearing this application, I invited the parties to make additional submissions with respect to the requirements of the vindicatory action having realized that the </w:t>
      </w:r>
      <w:r w:rsidR="00084066">
        <w:t>parties had</w:t>
      </w:r>
      <w:r w:rsidR="007766B0">
        <w:t xml:space="preserve"> not </w:t>
      </w:r>
      <w:r w:rsidR="00126A65">
        <w:t xml:space="preserve">satisfactorily </w:t>
      </w:r>
      <w:r w:rsidR="007766B0">
        <w:t>addressed the court on this aspect. The parties complied with the direction.</w:t>
      </w:r>
    </w:p>
    <w:p w:rsidR="00AD0E64" w:rsidRDefault="00331D21" w:rsidP="00E36C94">
      <w:pPr>
        <w:spacing w:line="360" w:lineRule="auto"/>
        <w:jc w:val="both"/>
      </w:pPr>
      <w:r>
        <w:tab/>
        <w:t>The a</w:t>
      </w:r>
      <w:r w:rsidR="007766B0">
        <w:t xml:space="preserve">pplicant asserted that </w:t>
      </w:r>
      <w:r w:rsidR="003C65E0" w:rsidRPr="00BB5311">
        <w:t>it is the owner of the vehicles.</w:t>
      </w:r>
      <w:r w:rsidR="00655644" w:rsidRPr="00BB5311">
        <w:t xml:space="preserve"> </w:t>
      </w:r>
      <w:r>
        <w:t xml:space="preserve"> </w:t>
      </w:r>
      <w:r w:rsidR="00655644" w:rsidRPr="00BB5311">
        <w:t xml:space="preserve">It </w:t>
      </w:r>
      <w:r w:rsidR="00084066" w:rsidRPr="00BB5311">
        <w:t>also affirmed</w:t>
      </w:r>
      <w:r w:rsidR="007766B0">
        <w:t xml:space="preserve"> </w:t>
      </w:r>
      <w:r w:rsidR="00655644" w:rsidRPr="00BB5311">
        <w:t xml:space="preserve">that the </w:t>
      </w:r>
      <w:r w:rsidRPr="00BB5311">
        <w:t>1</w:t>
      </w:r>
      <w:r w:rsidRPr="00BB5311">
        <w:rPr>
          <w:vertAlign w:val="superscript"/>
        </w:rPr>
        <w:t>st</w:t>
      </w:r>
      <w:r>
        <w:t xml:space="preserve"> to </w:t>
      </w:r>
      <w:r w:rsidRPr="00BB5311">
        <w:t>199</w:t>
      </w:r>
      <w:r w:rsidRPr="00BB5311">
        <w:rPr>
          <w:vertAlign w:val="superscript"/>
        </w:rPr>
        <w:t>th</w:t>
      </w:r>
      <w:r w:rsidRPr="00BB5311">
        <w:t xml:space="preserve"> respondents</w:t>
      </w:r>
      <w:r w:rsidR="00084066" w:rsidRPr="00BB5311">
        <w:t xml:space="preserve"> are</w:t>
      </w:r>
      <w:r w:rsidR="00F97F9F" w:rsidRPr="00BB5311">
        <w:t xml:space="preserve"> refusing to return </w:t>
      </w:r>
      <w:r>
        <w:t>the trucks and trailers to the a</w:t>
      </w:r>
      <w:r w:rsidR="00F97F9F" w:rsidRPr="00BB5311">
        <w:t>pplicant’s premises.</w:t>
      </w:r>
      <w:r w:rsidR="007766B0">
        <w:t xml:space="preserve"> </w:t>
      </w:r>
      <w:r w:rsidR="00432451">
        <w:t>However</w:t>
      </w:r>
      <w:r w:rsidR="00084066">
        <w:t>,</w:t>
      </w:r>
      <w:r w:rsidR="00853DF7" w:rsidRPr="00BB5311">
        <w:t xml:space="preserve"> the </w:t>
      </w:r>
      <w:r>
        <w:t>a</w:t>
      </w:r>
      <w:r w:rsidR="00853DF7" w:rsidRPr="00BB5311">
        <w:t xml:space="preserve">pplicant failed to establish that the contractual relationships it had with the </w:t>
      </w:r>
      <w:r w:rsidRPr="00BB5311">
        <w:t>1</w:t>
      </w:r>
      <w:r w:rsidRPr="00BB5311">
        <w:rPr>
          <w:vertAlign w:val="superscript"/>
        </w:rPr>
        <w:t>st</w:t>
      </w:r>
      <w:r>
        <w:t xml:space="preserve"> to </w:t>
      </w:r>
      <w:r w:rsidRPr="00BB5311">
        <w:t>199</w:t>
      </w:r>
      <w:r w:rsidRPr="00BB5311">
        <w:rPr>
          <w:vertAlign w:val="superscript"/>
        </w:rPr>
        <w:t>th</w:t>
      </w:r>
      <w:r w:rsidRPr="00BB5311">
        <w:t xml:space="preserve"> respondents</w:t>
      </w:r>
      <w:r w:rsidR="00853DF7" w:rsidRPr="00BB5311">
        <w:t xml:space="preserve"> had been properly terminated.</w:t>
      </w:r>
      <w:r w:rsidR="00023626" w:rsidRPr="00BB5311">
        <w:t xml:space="preserve"> The </w:t>
      </w:r>
      <w:r>
        <w:t>a</w:t>
      </w:r>
      <w:r w:rsidR="00023626" w:rsidRPr="00BB5311">
        <w:t xml:space="preserve">pplicant </w:t>
      </w:r>
      <w:r w:rsidR="00084066" w:rsidRPr="00BB5311">
        <w:t>baldly averred</w:t>
      </w:r>
      <w:r w:rsidR="008C1600" w:rsidRPr="00BB5311">
        <w:t xml:space="preserve"> that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084066" w:rsidRPr="00BB5311">
        <w:t>espondents are</w:t>
      </w:r>
      <w:r w:rsidR="00F8360D" w:rsidRPr="00BB5311">
        <w:t xml:space="preserve"> no longer its </w:t>
      </w:r>
      <w:r w:rsidR="00084066" w:rsidRPr="00BB5311">
        <w:t>employees by</w:t>
      </w:r>
      <w:r w:rsidR="00F8360D" w:rsidRPr="00BB5311">
        <w:t xml:space="preserve"> virtue of the fact</w:t>
      </w:r>
      <w:r w:rsidR="00432451">
        <w:t xml:space="preserve"> </w:t>
      </w:r>
      <w:r w:rsidR="00F8360D" w:rsidRPr="00BB5311">
        <w:t>that they continued with the industrial action after the strike was declared to be unlawful by the Minister.</w:t>
      </w:r>
      <w:r w:rsidR="00637921" w:rsidRPr="00BB5311">
        <w:t xml:space="preserve"> </w:t>
      </w:r>
      <w:r>
        <w:t xml:space="preserve"> </w:t>
      </w:r>
      <w:r w:rsidR="00637921" w:rsidRPr="00BB5311">
        <w:t xml:space="preserve">In the absence of evidence of the </w:t>
      </w:r>
      <w:r w:rsidR="00DB2852" w:rsidRPr="00BB5311">
        <w:t xml:space="preserve">lawful </w:t>
      </w:r>
      <w:r w:rsidR="00637921" w:rsidRPr="00BB5311">
        <w:t>termination</w:t>
      </w:r>
      <w:r w:rsidR="00DB2852" w:rsidRPr="00BB5311">
        <w:t xml:space="preserve"> of employment contracts, the court is of the view that the</w:t>
      </w:r>
      <w:r w:rsidR="00F325AF" w:rsidRPr="00BB5311">
        <w:t xml:space="preserve"> </w:t>
      </w:r>
      <w:r>
        <w:t>a</w:t>
      </w:r>
      <w:r w:rsidR="00F325AF" w:rsidRPr="00BB5311">
        <w:t>pplicant has not satisfied the conditions of the vindi</w:t>
      </w:r>
      <w:r w:rsidR="001B061C" w:rsidRPr="00BB5311">
        <w:t xml:space="preserve">catory </w:t>
      </w:r>
      <w:r w:rsidR="00E8145F">
        <w:t xml:space="preserve">action </w:t>
      </w:r>
      <w:r w:rsidR="00E75197">
        <w:t xml:space="preserve">as postulated in the case of </w:t>
      </w:r>
      <w:r w:rsidR="00E75197" w:rsidRPr="00331D21">
        <w:rPr>
          <w:i/>
        </w:rPr>
        <w:t>Savanhu</w:t>
      </w:r>
      <w:r w:rsidR="00E75197">
        <w:t xml:space="preserve"> (</w:t>
      </w:r>
      <w:r w:rsidR="00E75197">
        <w:rPr>
          <w:i/>
        </w:rPr>
        <w:t>supra</w:t>
      </w:r>
      <w:r w:rsidR="00E75197">
        <w:t>)</w:t>
      </w:r>
      <w:r w:rsidR="001B061C" w:rsidRPr="00BB5311">
        <w:t>.</w:t>
      </w:r>
      <w:r w:rsidR="008B5FCF" w:rsidRPr="00BB5311">
        <w:t xml:space="preserve"> Thus, the </w:t>
      </w:r>
      <w:r>
        <w:t>a</w:t>
      </w:r>
      <w:r w:rsidR="008B5FCF" w:rsidRPr="00BB5311">
        <w:t xml:space="preserve">pplicant, in my view, should not be entitled to the </w:t>
      </w:r>
      <w:r w:rsidR="00E8145F">
        <w:t xml:space="preserve">relief sought </w:t>
      </w:r>
      <w:r w:rsidR="008B5FCF" w:rsidRPr="00BB5311">
        <w:t xml:space="preserve">on an urgent basis since the contractual issues </w:t>
      </w:r>
      <w:r w:rsidR="00E8145F">
        <w:t>are still outstanding</w:t>
      </w:r>
      <w:r w:rsidR="008B5FCF" w:rsidRPr="00BB5311">
        <w:t>.</w:t>
      </w:r>
      <w:r w:rsidR="00E75197">
        <w:t xml:space="preserve"> </w:t>
      </w:r>
      <w:r>
        <w:t xml:space="preserve"> </w:t>
      </w:r>
      <w:r w:rsidR="00E75197">
        <w:t>It would be appropriate to have this matter struck from the urgent roll to allow the finalization of the contractual relationships</w:t>
      </w:r>
      <w:r w:rsidR="007766B0">
        <w:t xml:space="preserve"> pursuant to the Order of the Labour Court</w:t>
      </w:r>
      <w:r w:rsidR="00E75197">
        <w:t>.</w:t>
      </w:r>
    </w:p>
    <w:p w:rsidR="00423501" w:rsidRDefault="00331D21" w:rsidP="00E36C94">
      <w:pPr>
        <w:spacing w:line="360" w:lineRule="auto"/>
        <w:jc w:val="both"/>
      </w:pPr>
      <w:r>
        <w:tab/>
      </w:r>
      <w:r w:rsidR="008C5E3B">
        <w:t xml:space="preserve">Further, </w:t>
      </w:r>
      <w:r>
        <w:t>i</w:t>
      </w:r>
      <w:r w:rsidR="00BE77F8">
        <w:t xml:space="preserve">t is a critical </w:t>
      </w:r>
      <w:r>
        <w:t>requirement that the a</w:t>
      </w:r>
      <w:r w:rsidR="00BE77F8">
        <w:t xml:space="preserve">pplicant who seeks to rely on </w:t>
      </w:r>
      <w:r>
        <w:t>the vindicatory</w:t>
      </w:r>
      <w:r w:rsidR="00BE77F8">
        <w:t xml:space="preserve"> action as his or her cause of action must ensure that the property in dispute </w:t>
      </w:r>
      <w:r>
        <w:t>is distinctly</w:t>
      </w:r>
      <w:r w:rsidR="00BE77F8">
        <w:t xml:space="preserve"> identified.  This was emphasized by the court in the case of </w:t>
      </w:r>
      <w:r w:rsidR="00BE77F8" w:rsidRPr="00331D21">
        <w:rPr>
          <w:bCs/>
          <w:i/>
        </w:rPr>
        <w:t xml:space="preserve">Jolly </w:t>
      </w:r>
      <w:r w:rsidR="00BE77F8" w:rsidRPr="00331D21">
        <w:rPr>
          <w:bCs/>
        </w:rPr>
        <w:t>v</w:t>
      </w:r>
      <w:r w:rsidR="00BE77F8" w:rsidRPr="00331D21">
        <w:rPr>
          <w:bCs/>
          <w:i/>
        </w:rPr>
        <w:t xml:space="preserve"> Shannon </w:t>
      </w:r>
      <w:r>
        <w:rPr>
          <w:bCs/>
          <w:i/>
        </w:rPr>
        <w:t xml:space="preserve">&amp; </w:t>
      </w:r>
      <w:r w:rsidR="00BE77F8" w:rsidRPr="00331D21">
        <w:rPr>
          <w:bCs/>
          <w:i/>
        </w:rPr>
        <w:t>Anor</w:t>
      </w:r>
      <w:r w:rsidR="00BE77F8" w:rsidRPr="00331D21">
        <w:rPr>
          <w:rStyle w:val="FootnoteReference"/>
          <w:bCs/>
        </w:rPr>
        <w:footnoteReference w:id="12"/>
      </w:r>
      <w:r w:rsidR="00BE77F8" w:rsidRPr="00331D21">
        <w:rPr>
          <w:bCs/>
        </w:rPr>
        <w:t>.</w:t>
      </w:r>
      <w:r w:rsidR="00BE77F8" w:rsidRPr="00331D21">
        <w:rPr>
          <w:rFonts w:ascii="Bookman Old Style" w:hAnsi="Bookman Old Style"/>
          <w:b/>
          <w:bCs/>
          <w:sz w:val="26"/>
          <w:szCs w:val="26"/>
        </w:rPr>
        <w:t xml:space="preserve"> </w:t>
      </w:r>
      <w:r w:rsidR="00BE77F8" w:rsidRPr="00331D21">
        <w:rPr>
          <w:i/>
        </w:rPr>
        <w:t>In casu</w:t>
      </w:r>
      <w:r w:rsidR="00BE77F8">
        <w:rPr>
          <w:i/>
        </w:rPr>
        <w:t>,</w:t>
      </w:r>
      <w:r>
        <w:rPr>
          <w:i/>
        </w:rPr>
        <w:t xml:space="preserve"> </w:t>
      </w:r>
      <w:r w:rsidR="00D019C3">
        <w:t xml:space="preserve">in my view, </w:t>
      </w:r>
      <w:r w:rsidR="00BE77F8">
        <w:t xml:space="preserve">the </w:t>
      </w:r>
      <w:r>
        <w:t>a</w:t>
      </w:r>
      <w:r w:rsidR="00D019C3">
        <w:t xml:space="preserve">pplicant fails to clearly and unambiguously identify the vehicles which must be returned. </w:t>
      </w:r>
      <w:r>
        <w:t xml:space="preserve"> </w:t>
      </w:r>
      <w:r w:rsidR="00D019C3">
        <w:t xml:space="preserve">Motor vehicles are identified through registration numbers. </w:t>
      </w:r>
      <w:r>
        <w:t xml:space="preserve"> </w:t>
      </w:r>
      <w:r w:rsidR="00D019C3">
        <w:t xml:space="preserve">No such particulars have been furnished by the </w:t>
      </w:r>
      <w:r>
        <w:t>a</w:t>
      </w:r>
      <w:r w:rsidR="00D019C3">
        <w:t xml:space="preserve">pplicant in its Draft Order. Orders that lack precision in identifying goods that are in dispute are difficult, if not impossible to enforce. Adv </w:t>
      </w:r>
      <w:r w:rsidR="00D019C3" w:rsidRPr="00331D21">
        <w:rPr>
          <w:i/>
        </w:rPr>
        <w:t xml:space="preserve">Magwaliba </w:t>
      </w:r>
      <w:r w:rsidR="00D019C3">
        <w:t xml:space="preserve">argued that the vehicles will be identified at the material time in the Writ for Delivery when the Sheriff is instructed.  I disagree with his submissions. </w:t>
      </w:r>
      <w:r w:rsidR="00423501">
        <w:t xml:space="preserve">Granting the relief of </w:t>
      </w:r>
      <w:r w:rsidR="00D019C3">
        <w:lastRenderedPageBreak/>
        <w:t xml:space="preserve">this </w:t>
      </w:r>
      <w:r w:rsidR="00423501">
        <w:t xml:space="preserve">nature </w:t>
      </w:r>
      <w:r w:rsidR="00D019C3">
        <w:t>would be tantamount to giving a blank cheque which is subject to abuse of court process by the holder of such order which fails to sufficiently and precisely ascertain the goods to be delivered.</w:t>
      </w:r>
    </w:p>
    <w:p w:rsidR="00423501" w:rsidRPr="00BB5311" w:rsidRDefault="00331D21" w:rsidP="00423501">
      <w:pPr>
        <w:spacing w:line="360" w:lineRule="auto"/>
        <w:jc w:val="both"/>
      </w:pPr>
      <w:r>
        <w:tab/>
      </w:r>
      <w:r w:rsidR="00423501">
        <w:t xml:space="preserve">Accordingly, I uphold the point </w:t>
      </w:r>
      <w:r w:rsidR="00423501">
        <w:rPr>
          <w:i/>
        </w:rPr>
        <w:t>in limine</w:t>
      </w:r>
      <w:r w:rsidR="00423501">
        <w:t xml:space="preserve"> for the lack of cause of action for the reasons highlighted above. In my view, the issues leading to the insufficient cause of action are curable.</w:t>
      </w:r>
      <w:r w:rsidR="00423501" w:rsidRPr="00423501">
        <w:t xml:space="preserve"> </w:t>
      </w:r>
      <w:r w:rsidR="00423501" w:rsidRPr="00BB5311">
        <w:t xml:space="preserve">In </w:t>
      </w:r>
      <w:r w:rsidR="00423501">
        <w:t>the premises</w:t>
      </w:r>
      <w:r w:rsidR="00423501" w:rsidRPr="00BB5311">
        <w:t xml:space="preserve">, it is appropriate that this matter be struck from the urgent roll to </w:t>
      </w:r>
      <w:r w:rsidR="00423501">
        <w:t xml:space="preserve">allow the </w:t>
      </w:r>
      <w:r>
        <w:t>a</w:t>
      </w:r>
      <w:r w:rsidR="00423501">
        <w:t>pplicant to make necessary amendments to the Draft Order for the identification of the vehicles in dispute</w:t>
      </w:r>
      <w:r w:rsidR="00177458">
        <w:t xml:space="preserve">, </w:t>
      </w:r>
      <w:r>
        <w:t>t</w:t>
      </w:r>
      <w:r w:rsidR="00177458">
        <w:t>his would  also allow  pending labour matters to be properly finalized in accordance with the dictates of the Order of the Labour Court.</w:t>
      </w:r>
    </w:p>
    <w:p w:rsidR="00E75197" w:rsidRPr="00331D21" w:rsidRDefault="00331D21" w:rsidP="00E36C94">
      <w:pPr>
        <w:spacing w:line="360" w:lineRule="auto"/>
        <w:jc w:val="both"/>
      </w:pPr>
      <w:r>
        <w:tab/>
      </w:r>
      <w:r w:rsidR="004702D9" w:rsidRPr="00BB5311">
        <w:t xml:space="preserve">I will now turn to the point </w:t>
      </w:r>
      <w:r w:rsidR="004702D9" w:rsidRPr="00BB5311">
        <w:rPr>
          <w:i/>
        </w:rPr>
        <w:t xml:space="preserve">in </w:t>
      </w:r>
      <w:r w:rsidR="004702D9" w:rsidRPr="00BB5311">
        <w:t xml:space="preserve">limine for the </w:t>
      </w:r>
      <w:r w:rsidR="00084066" w:rsidRPr="00BB5311">
        <w:t>relief</w:t>
      </w:r>
      <w:r w:rsidR="005125F1" w:rsidRPr="00BB5311">
        <w:t>.</w:t>
      </w:r>
      <w:r w:rsidR="006847FE" w:rsidRPr="00BB5311">
        <w:t xml:space="preserve"> I do agree with Adv </w:t>
      </w:r>
      <w:r w:rsidR="006847FE" w:rsidRPr="00331D21">
        <w:rPr>
          <w:i/>
        </w:rPr>
        <w:t xml:space="preserve">Magwaliba </w:t>
      </w:r>
      <w:r w:rsidR="006847FE" w:rsidRPr="00BB5311">
        <w:t xml:space="preserve">that spoliation order may be granted as a final order as enunciated in the case of </w:t>
      </w:r>
      <w:r w:rsidR="006847FE" w:rsidRPr="00331D21">
        <w:rPr>
          <w:i/>
        </w:rPr>
        <w:t>Blue</w:t>
      </w:r>
      <w:r w:rsidRPr="00331D21">
        <w:rPr>
          <w:i/>
        </w:rPr>
        <w:t xml:space="preserve"> </w:t>
      </w:r>
      <w:r w:rsidR="006847FE" w:rsidRPr="00331D21">
        <w:rPr>
          <w:i/>
        </w:rPr>
        <w:t>Rangers Estates (Pvt) Ltd</w:t>
      </w:r>
      <w:r w:rsidR="006847FE" w:rsidRPr="00BB5311">
        <w:t xml:space="preserve"> (</w:t>
      </w:r>
      <w:r w:rsidR="006847FE" w:rsidRPr="00BB5311">
        <w:rPr>
          <w:i/>
        </w:rPr>
        <w:t>supra</w:t>
      </w:r>
      <w:r w:rsidR="006847FE" w:rsidRPr="00BB5311">
        <w:t xml:space="preserve">). </w:t>
      </w:r>
      <w:r>
        <w:t xml:space="preserve"> </w:t>
      </w:r>
      <w:r w:rsidR="006847FE" w:rsidRPr="00BB5311">
        <w:t xml:space="preserve">However, </w:t>
      </w:r>
      <w:r w:rsidR="00F025D9">
        <w:t xml:space="preserve">due to lack of </w:t>
      </w:r>
      <w:r>
        <w:t>particularity of the vehicles claimed by the a</w:t>
      </w:r>
      <w:r w:rsidR="00F025D9">
        <w:t xml:space="preserve">pplicant </w:t>
      </w:r>
      <w:r w:rsidR="006847FE" w:rsidRPr="00BB5311">
        <w:t>highlighted before</w:t>
      </w:r>
      <w:r w:rsidR="00DF5DDE">
        <w:t>,</w:t>
      </w:r>
      <w:r w:rsidR="006847FE" w:rsidRPr="00BB5311">
        <w:t xml:space="preserve"> </w:t>
      </w:r>
      <w:r w:rsidRPr="00BB5311">
        <w:t xml:space="preserve">the </w:t>
      </w:r>
      <w:r>
        <w:t>relief</w:t>
      </w:r>
      <w:r w:rsidR="00281B83">
        <w:t xml:space="preserve"> sought fails to meet the basic requirements of competent relief </w:t>
      </w:r>
      <w:r w:rsidR="00E152F9" w:rsidRPr="00BB5311">
        <w:t xml:space="preserve">for </w:t>
      </w:r>
      <w:r w:rsidR="00F025D9">
        <w:t>the return of the property</w:t>
      </w:r>
      <w:r w:rsidR="00E152F9" w:rsidRPr="00BB5311">
        <w:t>.</w:t>
      </w:r>
      <w:r w:rsidR="0023621E" w:rsidRPr="00BB5311">
        <w:t xml:space="preserve"> </w:t>
      </w:r>
      <w:r>
        <w:t xml:space="preserve"> </w:t>
      </w:r>
      <w:r w:rsidR="00111753">
        <w:t xml:space="preserve">Accordingly, the point </w:t>
      </w:r>
      <w:r w:rsidR="00111753">
        <w:rPr>
          <w:i/>
        </w:rPr>
        <w:t xml:space="preserve">in limine </w:t>
      </w:r>
      <w:r w:rsidR="00111753" w:rsidRPr="00331D21">
        <w:t>concerned is upheld.</w:t>
      </w:r>
      <w:r w:rsidR="00281B83" w:rsidRPr="00331D21">
        <w:t xml:space="preserve"> The defect, being a remediable one, should not lead to the dismissal of the present application as this may be fixed by way of amendment if this matter is referred to the ordinary roll.  </w:t>
      </w:r>
    </w:p>
    <w:p w:rsidR="00EA2424" w:rsidRPr="00BB5311" w:rsidRDefault="00331D21" w:rsidP="00E36C94">
      <w:pPr>
        <w:spacing w:line="360" w:lineRule="auto"/>
        <w:jc w:val="both"/>
      </w:pPr>
      <w:r>
        <w:tab/>
      </w:r>
      <w:r w:rsidR="00500AB5" w:rsidRPr="00BB5311">
        <w:t xml:space="preserve">I will now shift my attention to the point </w:t>
      </w:r>
      <w:r w:rsidR="00500AB5" w:rsidRPr="00BB5311">
        <w:rPr>
          <w:i/>
        </w:rPr>
        <w:t xml:space="preserve">in limine </w:t>
      </w:r>
      <w:r w:rsidR="00500AB5" w:rsidRPr="00BB5311">
        <w:t xml:space="preserve">of misjoinder raised by the </w:t>
      </w:r>
      <w:r w:rsidR="00CC5EC7" w:rsidRPr="00BB5311">
        <w:t>200</w:t>
      </w:r>
      <w:r w:rsidR="00CC5EC7" w:rsidRPr="00BB5311">
        <w:rPr>
          <w:vertAlign w:val="superscript"/>
        </w:rPr>
        <w:t>th</w:t>
      </w:r>
      <w:r w:rsidR="00CC5EC7" w:rsidRPr="00BB5311">
        <w:t xml:space="preserve"> </w:t>
      </w:r>
      <w:r>
        <w:t>r</w:t>
      </w:r>
      <w:r w:rsidR="00CC5EC7" w:rsidRPr="00BB5311">
        <w:t>espondent.</w:t>
      </w:r>
      <w:r w:rsidR="00E15093" w:rsidRPr="00BB5311">
        <w:t xml:space="preserve"> </w:t>
      </w:r>
      <w:r w:rsidR="003A502A" w:rsidRPr="00BB5311">
        <w:t xml:space="preserve"> The </w:t>
      </w:r>
      <w:r w:rsidRPr="00331D21">
        <w:t>200</w:t>
      </w:r>
      <w:r w:rsidRPr="00331D21">
        <w:rPr>
          <w:vertAlign w:val="superscript"/>
        </w:rPr>
        <w:t>th</w:t>
      </w:r>
      <w:r>
        <w:t xml:space="preserve"> respondent</w:t>
      </w:r>
      <w:r w:rsidR="003A502A" w:rsidRPr="00BB5311">
        <w:t xml:space="preserve"> is a registered</w:t>
      </w:r>
      <w:r w:rsidR="00886B65" w:rsidRPr="00BB5311">
        <w:t xml:space="preserve"> trade union</w:t>
      </w:r>
      <w:r w:rsidR="00280719" w:rsidRPr="00BB5311">
        <w:t xml:space="preserve"> having registered as such in terms of Part VII of the Labour Act.</w:t>
      </w:r>
      <w:r w:rsidR="00773D14" w:rsidRPr="00BB5311">
        <w:t xml:space="preserve"> </w:t>
      </w:r>
      <w:r>
        <w:t xml:space="preserve"> </w:t>
      </w:r>
      <w:r w:rsidR="00773D14" w:rsidRPr="00BB5311">
        <w:t xml:space="preserve">Among its functions to be specified in its Constitution, the trade union is required to represent its members in terms of </w:t>
      </w:r>
      <w:r>
        <w:t>s</w:t>
      </w:r>
      <w:r w:rsidR="00773D14" w:rsidRPr="00BB5311">
        <w:t xml:space="preserve"> 35(a</w:t>
      </w:r>
      <w:r w:rsidR="00C54208" w:rsidRPr="00BB5311">
        <w:t>) (</w:t>
      </w:r>
      <w:r w:rsidR="00773D14" w:rsidRPr="00BB5311">
        <w:t>v) of the Labour Act.</w:t>
      </w:r>
      <w:r w:rsidR="00B8204B" w:rsidRPr="00BB5311">
        <w:t xml:space="preserve"> </w:t>
      </w:r>
      <w:r w:rsidR="00CE20A4" w:rsidRPr="00BB5311">
        <w:t xml:space="preserve">In the absence of compelling reasons, </w:t>
      </w:r>
      <w:r w:rsidR="00B8204B" w:rsidRPr="00BB5311">
        <w:t>I find no merit in joining the 200</w:t>
      </w:r>
      <w:r w:rsidR="00B8204B" w:rsidRPr="00BB5311">
        <w:rPr>
          <w:vertAlign w:val="superscript"/>
        </w:rPr>
        <w:t>th</w:t>
      </w:r>
      <w:r w:rsidR="00B8204B" w:rsidRPr="00BB5311">
        <w:t xml:space="preserve"> </w:t>
      </w:r>
      <w:r>
        <w:t>r</w:t>
      </w:r>
      <w:r w:rsidR="00B8204B" w:rsidRPr="00BB5311">
        <w:t>espondent to the present proceedings.</w:t>
      </w:r>
      <w:r w:rsidR="0087037A" w:rsidRPr="00BB5311">
        <w:t xml:space="preserve"> Allowing this to happen would promote</w:t>
      </w:r>
      <w:r w:rsidR="000243FD" w:rsidRPr="00BB5311">
        <w:t xml:space="preserve"> the </w:t>
      </w:r>
      <w:r w:rsidR="00D513F9" w:rsidRPr="00BB5311">
        <w:t xml:space="preserve">prevention </w:t>
      </w:r>
      <w:r w:rsidR="000243FD" w:rsidRPr="00BB5311">
        <w:t xml:space="preserve">of trade unions </w:t>
      </w:r>
      <w:r w:rsidR="00D513F9" w:rsidRPr="00BB5311">
        <w:t xml:space="preserve">from </w:t>
      </w:r>
      <w:r w:rsidR="000243FD" w:rsidRPr="00BB5311">
        <w:t>lawfully executing their duties in representing their members.</w:t>
      </w:r>
      <w:r w:rsidR="002A1B88" w:rsidRPr="00BB5311">
        <w:t xml:space="preserve"> This act also </w:t>
      </w:r>
      <w:r w:rsidR="00C54208" w:rsidRPr="00BB5311">
        <w:t>intimidates the</w:t>
      </w:r>
      <w:r w:rsidR="00B93CA6" w:rsidRPr="00BB5311">
        <w:t xml:space="preserve"> trade unions, in my </w:t>
      </w:r>
      <w:r w:rsidR="00C54208" w:rsidRPr="00BB5311">
        <w:t>view as</w:t>
      </w:r>
      <w:r w:rsidR="00B93CA6" w:rsidRPr="00BB5311">
        <w:t xml:space="preserve"> rightly submitted by the counsel for the </w:t>
      </w:r>
      <w:r>
        <w:t>r</w:t>
      </w:r>
      <w:r w:rsidR="00B93CA6" w:rsidRPr="00BB5311">
        <w:t>espondents.</w:t>
      </w:r>
    </w:p>
    <w:p w:rsidR="00EA2424" w:rsidRPr="00BB5311" w:rsidRDefault="00331D21" w:rsidP="00E36C94">
      <w:pPr>
        <w:spacing w:line="360" w:lineRule="auto"/>
        <w:jc w:val="both"/>
      </w:pPr>
      <w:r>
        <w:tab/>
      </w:r>
      <w:r w:rsidR="00EA2424" w:rsidRPr="00BB5311">
        <w:t xml:space="preserve">In the case of </w:t>
      </w:r>
      <w:r w:rsidR="00EA2424" w:rsidRPr="00331D21">
        <w:rPr>
          <w:i/>
        </w:rPr>
        <w:t xml:space="preserve">Marais &amp; Anor </w:t>
      </w:r>
      <w:r w:rsidR="00EA2424" w:rsidRPr="00331D21">
        <w:t>v</w:t>
      </w:r>
      <w:r w:rsidR="00EA2424" w:rsidRPr="00331D21">
        <w:rPr>
          <w:i/>
        </w:rPr>
        <w:t xml:space="preserve"> Pongola Sugar Milling Co &amp; Ors</w:t>
      </w:r>
      <w:r w:rsidR="00EA2424" w:rsidRPr="00BB5311">
        <w:rPr>
          <w:rStyle w:val="FootnoteReference"/>
        </w:rPr>
        <w:footnoteReference w:id="13"/>
      </w:r>
      <w:r w:rsidR="00EA2424" w:rsidRPr="00BB5311">
        <w:t xml:space="preserve">, the court emphasized that for a party to be joined to the proceedings </w:t>
      </w:r>
      <w:r w:rsidR="00742D0F" w:rsidRPr="00BB5311">
        <w:t xml:space="preserve">such </w:t>
      </w:r>
      <w:r w:rsidR="00EA2424" w:rsidRPr="00BB5311">
        <w:t>party must have a direct and substantial interest in the issues raised in the proce</w:t>
      </w:r>
      <w:r w:rsidR="002F7191" w:rsidRPr="00BB5311">
        <w:t>e</w:t>
      </w:r>
      <w:r w:rsidR="00EA2424" w:rsidRPr="00BB5311">
        <w:t>dings.</w:t>
      </w:r>
      <w:r w:rsidR="002F7191" w:rsidRPr="00BB5311">
        <w:t xml:space="preserve"> </w:t>
      </w:r>
      <w:r w:rsidR="001C7C8F">
        <w:t xml:space="preserve">In my view, no case has been advanced justifying that </w:t>
      </w:r>
      <w:r w:rsidR="001C7C8F" w:rsidRPr="00BB5311">
        <w:t>the 200</w:t>
      </w:r>
      <w:r w:rsidR="001C7C8F" w:rsidRPr="00BB5311">
        <w:rPr>
          <w:vertAlign w:val="superscript"/>
        </w:rPr>
        <w:t>th</w:t>
      </w:r>
      <w:r w:rsidR="001C7C8F" w:rsidRPr="00BB5311">
        <w:t xml:space="preserve"> </w:t>
      </w:r>
      <w:r>
        <w:t>r</w:t>
      </w:r>
      <w:r w:rsidR="001C7C8F" w:rsidRPr="00BB5311">
        <w:t xml:space="preserve">espondent </w:t>
      </w:r>
      <w:r w:rsidR="001C7C8F">
        <w:t xml:space="preserve">has </w:t>
      </w:r>
      <w:r w:rsidR="00C54208" w:rsidRPr="00BB5311">
        <w:t>direct and substantial</w:t>
      </w:r>
      <w:r w:rsidR="002F7191" w:rsidRPr="00BB5311">
        <w:t xml:space="preserve"> interest in this matter.</w:t>
      </w:r>
    </w:p>
    <w:p w:rsidR="00AF180F" w:rsidRPr="00BB5311" w:rsidRDefault="00331D21" w:rsidP="00E36C94">
      <w:pPr>
        <w:spacing w:line="360" w:lineRule="auto"/>
        <w:jc w:val="both"/>
      </w:pPr>
      <w:r>
        <w:tab/>
      </w:r>
      <w:r w:rsidR="00053A56" w:rsidRPr="00BB5311">
        <w:t xml:space="preserve">Trade unions </w:t>
      </w:r>
      <w:r w:rsidR="00C54208" w:rsidRPr="00BB5311">
        <w:t>allow employees to</w:t>
      </w:r>
      <w:r w:rsidR="002A1B88" w:rsidRPr="00BB5311">
        <w:t xml:space="preserve"> enjoy </w:t>
      </w:r>
      <w:r w:rsidR="00C54208" w:rsidRPr="00BB5311">
        <w:t>the labour</w:t>
      </w:r>
      <w:r w:rsidR="002A1B88" w:rsidRPr="00BB5311">
        <w:t xml:space="preserve"> rights as established in terms of </w:t>
      </w:r>
      <w:r>
        <w:t>s</w:t>
      </w:r>
      <w:r w:rsidR="002A1B88" w:rsidRPr="00BB5311">
        <w:t xml:space="preserve"> 65 of the Constitution of Zimbabwe.</w:t>
      </w:r>
      <w:r w:rsidR="00B93CA6" w:rsidRPr="00BB5311">
        <w:t xml:space="preserve"> Any act of intimidating the trade union flies against the provisions of the Constitution. </w:t>
      </w:r>
      <w:r w:rsidR="00004BE3" w:rsidRPr="00BB5311">
        <w:t>The reasons advanced by the</w:t>
      </w:r>
      <w:r w:rsidR="003C659E" w:rsidRPr="00BB5311">
        <w:t xml:space="preserve"> </w:t>
      </w:r>
      <w:r>
        <w:t>a</w:t>
      </w:r>
      <w:r w:rsidR="003C659E" w:rsidRPr="00BB5311">
        <w:t>pplicant are not satisfactory.</w:t>
      </w:r>
      <w:r w:rsidR="0047480F" w:rsidRPr="00BB5311">
        <w:t xml:space="preserve"> </w:t>
      </w:r>
      <w:r w:rsidR="0047480F" w:rsidRPr="00BB5311">
        <w:lastRenderedPageBreak/>
        <w:t xml:space="preserve">There is nothing that prevents the </w:t>
      </w:r>
      <w:r w:rsidRPr="00BB5311">
        <w:t>1</w:t>
      </w:r>
      <w:r w:rsidRPr="00BB5311">
        <w:rPr>
          <w:vertAlign w:val="superscript"/>
        </w:rPr>
        <w:t>st</w:t>
      </w:r>
      <w:r>
        <w:t xml:space="preserve"> to </w:t>
      </w:r>
      <w:r w:rsidRPr="00BB5311">
        <w:t>199</w:t>
      </w:r>
      <w:r w:rsidRPr="00BB5311">
        <w:rPr>
          <w:vertAlign w:val="superscript"/>
        </w:rPr>
        <w:t>th</w:t>
      </w:r>
      <w:r w:rsidRPr="00BB5311">
        <w:t xml:space="preserve"> </w:t>
      </w:r>
      <w:r>
        <w:t>r</w:t>
      </w:r>
      <w:r w:rsidR="0047480F" w:rsidRPr="00BB5311">
        <w:t xml:space="preserve">espondents from returning the vehicles if the court </w:t>
      </w:r>
      <w:r w:rsidR="00C54208" w:rsidRPr="00BB5311">
        <w:t>makes such</w:t>
      </w:r>
      <w:r w:rsidR="0047480F" w:rsidRPr="00BB5311">
        <w:t xml:space="preserve"> order.</w:t>
      </w:r>
      <w:r w:rsidR="004537F6" w:rsidRPr="00BB5311">
        <w:t xml:space="preserve">  If, for example, they refuse to comply with such order, sufficient measures </w:t>
      </w:r>
      <w:r w:rsidR="00C54208" w:rsidRPr="00BB5311">
        <w:t>are enshrined</w:t>
      </w:r>
      <w:r w:rsidR="00503AF8" w:rsidRPr="00BB5311">
        <w:t xml:space="preserve"> in the Rules to compel compliance </w:t>
      </w:r>
      <w:r w:rsidR="00111753">
        <w:t xml:space="preserve">with the order </w:t>
      </w:r>
      <w:r w:rsidR="00503AF8" w:rsidRPr="00BB5311">
        <w:t>like application for contempt o</w:t>
      </w:r>
      <w:r w:rsidR="00111753">
        <w:t xml:space="preserve">f court order. </w:t>
      </w:r>
      <w:r w:rsidR="008B381E" w:rsidRPr="00BB5311">
        <w:t xml:space="preserve">Consequently, I uphold the point </w:t>
      </w:r>
      <w:r w:rsidR="008B381E" w:rsidRPr="00BB5311">
        <w:rPr>
          <w:i/>
        </w:rPr>
        <w:t>in limine</w:t>
      </w:r>
      <w:r w:rsidR="008B381E" w:rsidRPr="00BB5311">
        <w:t xml:space="preserve"> of misjoinder. </w:t>
      </w:r>
      <w:r>
        <w:t xml:space="preserve"> </w:t>
      </w:r>
      <w:r w:rsidR="008B381E" w:rsidRPr="00BB5311">
        <w:t>Accordingly</w:t>
      </w:r>
      <w:r w:rsidR="00C54208" w:rsidRPr="00BB5311">
        <w:t>, it</w:t>
      </w:r>
      <w:r w:rsidR="008B381E" w:rsidRPr="00BB5311">
        <w:t xml:space="preserve"> is appropriate that</w:t>
      </w:r>
      <w:r w:rsidR="005E13FA" w:rsidRPr="00BB5311">
        <w:t xml:space="preserve"> the 200</w:t>
      </w:r>
      <w:r w:rsidR="005E13FA" w:rsidRPr="00BB5311">
        <w:rPr>
          <w:vertAlign w:val="superscript"/>
        </w:rPr>
        <w:t>th</w:t>
      </w:r>
      <w:r w:rsidR="005E13FA" w:rsidRPr="00BB5311">
        <w:t xml:space="preserve"> </w:t>
      </w:r>
      <w:r>
        <w:t>r</w:t>
      </w:r>
      <w:r w:rsidR="005E13FA" w:rsidRPr="00BB5311">
        <w:t>espondent be removed from the present proceedings.</w:t>
      </w:r>
    </w:p>
    <w:p w:rsidR="0063648A" w:rsidRPr="00BB5311" w:rsidRDefault="00331D21" w:rsidP="00E36C94">
      <w:pPr>
        <w:spacing w:line="360" w:lineRule="auto"/>
        <w:jc w:val="both"/>
      </w:pPr>
      <w:r>
        <w:tab/>
      </w:r>
      <w:r w:rsidR="004D44E2" w:rsidRPr="00BB5311">
        <w:t xml:space="preserve">I will </w:t>
      </w:r>
      <w:r w:rsidR="0063648A" w:rsidRPr="00BB5311">
        <w:t xml:space="preserve">not deal with </w:t>
      </w:r>
      <w:r w:rsidR="004D44E2" w:rsidRPr="00BB5311">
        <w:t xml:space="preserve">the point </w:t>
      </w:r>
      <w:r w:rsidR="004D44E2" w:rsidRPr="00331D21">
        <w:t>in limine</w:t>
      </w:r>
      <w:r w:rsidR="004D44E2" w:rsidRPr="00BB5311">
        <w:t xml:space="preserve"> of material disputes of fact</w:t>
      </w:r>
      <w:r w:rsidR="0063648A" w:rsidRPr="00BB5311">
        <w:t xml:space="preserve"> at this moment. This will be dealt with at the appropriate time </w:t>
      </w:r>
      <w:r w:rsidR="00C54208" w:rsidRPr="00BB5311">
        <w:t>by the</w:t>
      </w:r>
      <w:r w:rsidR="0063648A" w:rsidRPr="00BB5311">
        <w:t xml:space="preserve"> court on the ordinary roll</w:t>
      </w:r>
      <w:r>
        <w:t>.</w:t>
      </w:r>
    </w:p>
    <w:p w:rsidR="008125D7" w:rsidRPr="00331D21" w:rsidRDefault="00331D21" w:rsidP="00E36C94">
      <w:pPr>
        <w:spacing w:line="360" w:lineRule="auto"/>
        <w:jc w:val="both"/>
        <w:rPr>
          <w:b/>
        </w:rPr>
      </w:pPr>
      <w:r>
        <w:tab/>
      </w:r>
      <w:r w:rsidR="0063648A" w:rsidRPr="00BB5311">
        <w:t xml:space="preserve">With respect to costs, it is just and equitable </w:t>
      </w:r>
      <w:r w:rsidR="00C54208" w:rsidRPr="00BB5311">
        <w:t>that costs</w:t>
      </w:r>
      <w:r w:rsidR="001B2FA0" w:rsidRPr="00BB5311">
        <w:t xml:space="preserve"> be in the cause. </w:t>
      </w:r>
      <w:r>
        <w:t xml:space="preserve"> </w:t>
      </w:r>
      <w:r w:rsidR="004D44E2" w:rsidRPr="00331D21">
        <w:rPr>
          <w:b/>
        </w:rPr>
        <w:t xml:space="preserve">In the </w:t>
      </w:r>
      <w:r w:rsidRPr="00331D21">
        <w:rPr>
          <w:b/>
        </w:rPr>
        <w:t>r</w:t>
      </w:r>
      <w:r w:rsidR="004D44E2" w:rsidRPr="00331D21">
        <w:rPr>
          <w:b/>
        </w:rPr>
        <w:t>esult, the following order is made:</w:t>
      </w:r>
    </w:p>
    <w:p w:rsidR="00E21BEB" w:rsidRPr="00BB5311" w:rsidRDefault="008125D7" w:rsidP="00E36C94">
      <w:pPr>
        <w:pStyle w:val="ListParagraph"/>
        <w:numPr>
          <w:ilvl w:val="0"/>
          <w:numId w:val="2"/>
        </w:numPr>
        <w:spacing w:line="360" w:lineRule="auto"/>
        <w:jc w:val="both"/>
      </w:pPr>
      <w:r w:rsidRPr="00BB5311">
        <w:t>That this matter be struck from the urgent roll.</w:t>
      </w:r>
    </w:p>
    <w:p w:rsidR="00D33AA7" w:rsidRPr="00BB5311" w:rsidRDefault="00E21BEB" w:rsidP="00E36C94">
      <w:pPr>
        <w:pStyle w:val="ListParagraph"/>
        <w:numPr>
          <w:ilvl w:val="0"/>
          <w:numId w:val="2"/>
        </w:numPr>
        <w:spacing w:line="360" w:lineRule="auto"/>
        <w:jc w:val="both"/>
      </w:pPr>
      <w:r w:rsidRPr="00BB5311">
        <w:t>That the 200</w:t>
      </w:r>
      <w:r w:rsidRPr="00BB5311">
        <w:rPr>
          <w:vertAlign w:val="superscript"/>
        </w:rPr>
        <w:t>th</w:t>
      </w:r>
      <w:r w:rsidRPr="00BB5311">
        <w:t xml:space="preserve"> </w:t>
      </w:r>
      <w:r w:rsidR="00331D21">
        <w:t>r</w:t>
      </w:r>
      <w:r w:rsidRPr="00BB5311">
        <w:t>espondent be removed from the present proceedings.</w:t>
      </w:r>
    </w:p>
    <w:p w:rsidR="008B381E" w:rsidRPr="00BB5311" w:rsidRDefault="00D33AA7" w:rsidP="00E36C94">
      <w:pPr>
        <w:pStyle w:val="ListParagraph"/>
        <w:numPr>
          <w:ilvl w:val="0"/>
          <w:numId w:val="2"/>
        </w:numPr>
        <w:spacing w:line="360" w:lineRule="auto"/>
        <w:jc w:val="both"/>
      </w:pPr>
      <w:r w:rsidRPr="00BB5311">
        <w:t>That costs</w:t>
      </w:r>
      <w:r w:rsidR="001B2FA0" w:rsidRPr="00BB5311">
        <w:t xml:space="preserve"> shall be in the cause</w:t>
      </w:r>
      <w:r w:rsidRPr="00BB5311">
        <w:t>.</w:t>
      </w:r>
      <w:r w:rsidR="00E21BEB" w:rsidRPr="00BB5311">
        <w:t xml:space="preserve"> </w:t>
      </w:r>
      <w:r w:rsidR="004D44E2" w:rsidRPr="00BB5311">
        <w:t xml:space="preserve"> </w:t>
      </w:r>
      <w:r w:rsidR="008B381E" w:rsidRPr="00BB5311">
        <w:t xml:space="preserve"> </w:t>
      </w:r>
    </w:p>
    <w:p w:rsidR="00D03271" w:rsidRDefault="004537F6" w:rsidP="00E36C94">
      <w:pPr>
        <w:spacing w:line="360" w:lineRule="auto"/>
        <w:jc w:val="both"/>
      </w:pPr>
      <w:r w:rsidRPr="00BB5311">
        <w:t xml:space="preserve"> </w:t>
      </w:r>
      <w:r w:rsidR="0047480F" w:rsidRPr="00BB5311">
        <w:t xml:space="preserve"> </w:t>
      </w:r>
      <w:r w:rsidR="00004BE3" w:rsidRPr="00BB5311">
        <w:t xml:space="preserve"> </w:t>
      </w:r>
      <w:r w:rsidR="003C659E" w:rsidRPr="00BB5311">
        <w:t xml:space="preserve"> </w:t>
      </w:r>
      <w:r w:rsidR="004A12E1" w:rsidRPr="00BB5311">
        <w:t xml:space="preserve"> </w:t>
      </w:r>
      <w:r w:rsidR="0087037A" w:rsidRPr="00BB5311">
        <w:t xml:space="preserve"> </w:t>
      </w:r>
    </w:p>
    <w:p w:rsidR="00331D21" w:rsidRDefault="00331D21" w:rsidP="00E36C94">
      <w:pPr>
        <w:spacing w:line="360" w:lineRule="auto"/>
        <w:jc w:val="both"/>
      </w:pPr>
    </w:p>
    <w:p w:rsidR="00331D21" w:rsidRDefault="00331D21" w:rsidP="00E36C94">
      <w:pPr>
        <w:spacing w:line="360" w:lineRule="auto"/>
        <w:jc w:val="both"/>
      </w:pPr>
    </w:p>
    <w:p w:rsidR="00331D21" w:rsidRPr="00BB5311" w:rsidRDefault="00331D21" w:rsidP="00E36C94">
      <w:pPr>
        <w:spacing w:line="360" w:lineRule="auto"/>
        <w:jc w:val="both"/>
      </w:pPr>
    </w:p>
    <w:p w:rsidR="002A43F3" w:rsidRPr="00BB5311" w:rsidRDefault="002A43F3" w:rsidP="00E36C94">
      <w:pPr>
        <w:spacing w:line="360" w:lineRule="auto"/>
        <w:jc w:val="both"/>
      </w:pPr>
    </w:p>
    <w:p w:rsidR="002A43F3" w:rsidRPr="00BB5311" w:rsidRDefault="002A43F3" w:rsidP="00331D21">
      <w:pPr>
        <w:jc w:val="both"/>
      </w:pPr>
      <w:r w:rsidRPr="009A2555">
        <w:rPr>
          <w:i/>
        </w:rPr>
        <w:t>Magwaliba and Kwirira</w:t>
      </w:r>
      <w:r w:rsidRPr="00BB5311">
        <w:t xml:space="preserve">, </w:t>
      </w:r>
      <w:r w:rsidR="00331D21">
        <w:t>applicant’s l</w:t>
      </w:r>
      <w:r w:rsidRPr="00BB5311">
        <w:t xml:space="preserve">egal </w:t>
      </w:r>
      <w:r w:rsidR="00331D21">
        <w:t>practitioners</w:t>
      </w:r>
    </w:p>
    <w:p w:rsidR="002A43F3" w:rsidRPr="00BB5311" w:rsidRDefault="00312262" w:rsidP="00331D21">
      <w:pPr>
        <w:jc w:val="both"/>
      </w:pPr>
      <w:r w:rsidRPr="009A2555">
        <w:rPr>
          <w:i/>
        </w:rPr>
        <w:t>Shava Law Chambers</w:t>
      </w:r>
      <w:r w:rsidRPr="00BB5311">
        <w:t xml:space="preserve">, </w:t>
      </w:r>
      <w:r w:rsidR="00331D21" w:rsidRPr="00BB5311">
        <w:t>1</w:t>
      </w:r>
      <w:r w:rsidR="00331D21" w:rsidRPr="00BB5311">
        <w:rPr>
          <w:vertAlign w:val="superscript"/>
        </w:rPr>
        <w:t>st</w:t>
      </w:r>
      <w:r w:rsidR="00331D21">
        <w:t xml:space="preserve"> to 200</w:t>
      </w:r>
      <w:r w:rsidR="00331D21" w:rsidRPr="00BB5311">
        <w:rPr>
          <w:vertAlign w:val="superscript"/>
        </w:rPr>
        <w:t>th</w:t>
      </w:r>
      <w:r w:rsidR="00331D21" w:rsidRPr="00BB5311">
        <w:t xml:space="preserve"> </w:t>
      </w:r>
      <w:r w:rsidR="00331D21">
        <w:t>r</w:t>
      </w:r>
      <w:r w:rsidRPr="00BB5311">
        <w:t xml:space="preserve">espondents’ </w:t>
      </w:r>
      <w:r w:rsidR="00331D21">
        <w:t>l</w:t>
      </w:r>
      <w:r w:rsidRPr="00BB5311">
        <w:t xml:space="preserve">egal </w:t>
      </w:r>
      <w:r w:rsidR="00331D21">
        <w:t>p</w:t>
      </w:r>
      <w:r w:rsidRPr="00BB5311">
        <w:t>ractitioners</w:t>
      </w:r>
    </w:p>
    <w:sectPr w:rsidR="002A43F3" w:rsidRPr="00BB531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9B6" w:rsidRDefault="000069B6" w:rsidP="00EE35BC">
      <w:r>
        <w:separator/>
      </w:r>
    </w:p>
  </w:endnote>
  <w:endnote w:type="continuationSeparator" w:id="0">
    <w:p w:rsidR="000069B6" w:rsidRDefault="000069B6" w:rsidP="00EE3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9B6" w:rsidRDefault="000069B6" w:rsidP="00EE35BC">
      <w:r>
        <w:separator/>
      </w:r>
    </w:p>
  </w:footnote>
  <w:footnote w:type="continuationSeparator" w:id="0">
    <w:p w:rsidR="000069B6" w:rsidRDefault="000069B6" w:rsidP="00EE35BC">
      <w:r>
        <w:continuationSeparator/>
      </w:r>
    </w:p>
  </w:footnote>
  <w:footnote w:id="1">
    <w:p w:rsidR="00CD6F7D" w:rsidRPr="00EE35BC" w:rsidRDefault="00CD6F7D">
      <w:pPr>
        <w:pStyle w:val="FootnoteText"/>
        <w:rPr>
          <w:lang w:val="en-GB"/>
        </w:rPr>
      </w:pPr>
      <w:r>
        <w:rPr>
          <w:rStyle w:val="FootnoteReference"/>
        </w:rPr>
        <w:footnoteRef/>
      </w:r>
      <w:r>
        <w:t xml:space="preserve"> 2015 ZLR 945 (S).</w:t>
      </w:r>
    </w:p>
  </w:footnote>
  <w:footnote w:id="2">
    <w:p w:rsidR="00CD6F7D" w:rsidRPr="004C2698" w:rsidRDefault="00CD6F7D">
      <w:pPr>
        <w:pStyle w:val="FootnoteText"/>
        <w:rPr>
          <w:lang w:val="en-GB"/>
        </w:rPr>
      </w:pPr>
      <w:r>
        <w:rPr>
          <w:rStyle w:val="FootnoteReference"/>
        </w:rPr>
        <w:footnoteRef/>
      </w:r>
      <w:r>
        <w:t xml:space="preserve"> 1999 (1) ZLR 490 (H).</w:t>
      </w:r>
    </w:p>
  </w:footnote>
  <w:footnote w:id="3">
    <w:p w:rsidR="00CD6F7D" w:rsidRPr="00A075D8" w:rsidRDefault="00CD6F7D">
      <w:pPr>
        <w:pStyle w:val="FootnoteText"/>
        <w:rPr>
          <w:lang w:val="en-GB"/>
        </w:rPr>
      </w:pPr>
      <w:r>
        <w:rPr>
          <w:rStyle w:val="FootnoteReference"/>
        </w:rPr>
        <w:footnoteRef/>
      </w:r>
      <w:r>
        <w:t xml:space="preserve"> HMA12/17.</w:t>
      </w:r>
    </w:p>
  </w:footnote>
  <w:footnote w:id="4">
    <w:p w:rsidR="00CD6F7D" w:rsidRPr="00DB6387" w:rsidRDefault="00CD6F7D">
      <w:pPr>
        <w:pStyle w:val="FootnoteText"/>
        <w:rPr>
          <w:lang w:val="en-GB"/>
        </w:rPr>
      </w:pPr>
      <w:r>
        <w:rPr>
          <w:rStyle w:val="FootnoteReference"/>
        </w:rPr>
        <w:footnoteRef/>
      </w:r>
      <w:r>
        <w:t xml:space="preserve"> 2000 (1) ZLR 239.</w:t>
      </w:r>
    </w:p>
  </w:footnote>
  <w:footnote w:id="5">
    <w:p w:rsidR="00CD6F7D" w:rsidRPr="008512C5" w:rsidRDefault="00CD6F7D">
      <w:pPr>
        <w:pStyle w:val="FootnoteText"/>
        <w:rPr>
          <w:lang w:val="en-GB"/>
        </w:rPr>
      </w:pPr>
      <w:r>
        <w:rPr>
          <w:rStyle w:val="FootnoteReference"/>
        </w:rPr>
        <w:footnoteRef/>
      </w:r>
      <w:r>
        <w:t xml:space="preserve"> HMA36/18.</w:t>
      </w:r>
    </w:p>
  </w:footnote>
  <w:footnote w:id="6">
    <w:p w:rsidR="00CD6F7D" w:rsidRPr="007622E9" w:rsidRDefault="00CD6F7D">
      <w:pPr>
        <w:pStyle w:val="FootnoteText"/>
        <w:rPr>
          <w:lang w:val="en-GB"/>
        </w:rPr>
      </w:pPr>
      <w:r>
        <w:rPr>
          <w:rStyle w:val="FootnoteReference"/>
        </w:rPr>
        <w:footnoteRef/>
      </w:r>
      <w:r>
        <w:t xml:space="preserve"> 2009 (1) ZLR 368.</w:t>
      </w:r>
    </w:p>
  </w:footnote>
  <w:footnote w:id="7">
    <w:p w:rsidR="00CD6F7D" w:rsidRPr="00344B55" w:rsidRDefault="00CD6F7D" w:rsidP="00F2336C">
      <w:pPr>
        <w:pStyle w:val="FootnoteText"/>
        <w:rPr>
          <w:lang w:val="en-GB"/>
        </w:rPr>
      </w:pPr>
      <w:r>
        <w:rPr>
          <w:rStyle w:val="FootnoteReference"/>
        </w:rPr>
        <w:footnoteRef/>
      </w:r>
      <w:r>
        <w:t xml:space="preserve"> HH969/15.</w:t>
      </w:r>
    </w:p>
  </w:footnote>
  <w:footnote w:id="8">
    <w:p w:rsidR="00CD6F7D" w:rsidRPr="00CA47B8" w:rsidRDefault="00CD6F7D" w:rsidP="009864DE">
      <w:pPr>
        <w:pStyle w:val="FootnoteText"/>
        <w:rPr>
          <w:lang w:val="en-ZA"/>
        </w:rPr>
      </w:pPr>
      <w:r>
        <w:rPr>
          <w:rStyle w:val="FootnoteReference"/>
        </w:rPr>
        <w:footnoteRef/>
      </w:r>
      <w:r>
        <w:t xml:space="preserve"> 1998 (1) ZLR 188 (H).</w:t>
      </w:r>
    </w:p>
  </w:footnote>
  <w:footnote w:id="9">
    <w:p w:rsidR="00CD6F7D" w:rsidRPr="00F17A55" w:rsidRDefault="00CD6F7D" w:rsidP="00212A76">
      <w:pPr>
        <w:pStyle w:val="FootnoteText"/>
        <w:rPr>
          <w:lang w:val="en-ZA"/>
        </w:rPr>
      </w:pPr>
      <w:r>
        <w:rPr>
          <w:rStyle w:val="FootnoteReference"/>
        </w:rPr>
        <w:footnoteRef/>
      </w:r>
      <w:r>
        <w:t xml:space="preserve"> 2006 (2) ZLR 240</w:t>
      </w:r>
    </w:p>
  </w:footnote>
  <w:footnote w:id="10">
    <w:p w:rsidR="00CD6F7D" w:rsidRPr="008072E5" w:rsidRDefault="00CD6F7D" w:rsidP="00987908">
      <w:pPr>
        <w:pStyle w:val="FootnoteText"/>
        <w:rPr>
          <w:lang w:val="en-GB"/>
        </w:rPr>
      </w:pPr>
      <w:r>
        <w:rPr>
          <w:rStyle w:val="FootnoteReference"/>
        </w:rPr>
        <w:footnoteRef/>
      </w:r>
      <w:r>
        <w:t xml:space="preserve"> </w:t>
      </w:r>
      <w:r w:rsidRPr="00CD3417">
        <w:rPr>
          <w:sz w:val="24"/>
          <w:szCs w:val="24"/>
        </w:rPr>
        <w:t>1933 CPD 626</w:t>
      </w:r>
      <w:r>
        <w:rPr>
          <w:sz w:val="24"/>
          <w:szCs w:val="24"/>
        </w:rPr>
        <w:t>.</w:t>
      </w:r>
    </w:p>
  </w:footnote>
  <w:footnote w:id="11">
    <w:p w:rsidR="00CD6F7D" w:rsidRPr="00DF6D10" w:rsidRDefault="00CD6F7D">
      <w:pPr>
        <w:pStyle w:val="FootnoteText"/>
        <w:rPr>
          <w:lang w:val="en-GB"/>
        </w:rPr>
      </w:pPr>
      <w:r>
        <w:rPr>
          <w:rStyle w:val="FootnoteReference"/>
        </w:rPr>
        <w:footnoteRef/>
      </w:r>
      <w:r>
        <w:t xml:space="preserve"> SC18/15.</w:t>
      </w:r>
    </w:p>
  </w:footnote>
  <w:footnote w:id="12">
    <w:p w:rsidR="00CD6F7D" w:rsidRPr="00331D21" w:rsidRDefault="00CD6F7D" w:rsidP="00BE77F8">
      <w:pPr>
        <w:pStyle w:val="FootnoteText"/>
        <w:rPr>
          <w:lang w:val="en-GB"/>
        </w:rPr>
      </w:pPr>
      <w:r w:rsidRPr="00331D21">
        <w:rPr>
          <w:rStyle w:val="FootnoteReference"/>
        </w:rPr>
        <w:footnoteRef/>
      </w:r>
      <w:r w:rsidRPr="00331D21">
        <w:t xml:space="preserve"> </w:t>
      </w:r>
      <w:r w:rsidRPr="00331D21">
        <w:rPr>
          <w:rFonts w:ascii="Bookman Old Style" w:hAnsi="Bookman Old Style"/>
        </w:rPr>
        <w:t>1998 (1) ZLR 78 (H)</w:t>
      </w:r>
    </w:p>
  </w:footnote>
  <w:footnote w:id="13">
    <w:p w:rsidR="00CD6F7D" w:rsidRDefault="00CD6F7D" w:rsidP="00EA2424">
      <w:pPr>
        <w:pStyle w:val="FootnoteText"/>
      </w:pPr>
    </w:p>
    <w:p w:rsidR="00CD6F7D" w:rsidRPr="00F253FC" w:rsidRDefault="00CD6F7D" w:rsidP="00EA2424">
      <w:pPr>
        <w:pStyle w:val="FootnoteText"/>
        <w:rPr>
          <w:lang w:val="en-GB"/>
        </w:rPr>
      </w:pPr>
      <w:r>
        <w:rPr>
          <w:rStyle w:val="FootnoteReference"/>
        </w:rPr>
        <w:footnoteRef/>
      </w:r>
      <w:r>
        <w:t xml:space="preserve"> 1961 (2) SA 698 (N).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3912369"/>
      <w:docPartObj>
        <w:docPartGallery w:val="Page Numbers (Top of Page)"/>
        <w:docPartUnique/>
      </w:docPartObj>
    </w:sdtPr>
    <w:sdtEndPr>
      <w:rPr>
        <w:noProof/>
      </w:rPr>
    </w:sdtEndPr>
    <w:sdtContent>
      <w:p w:rsidR="00CD6F7D" w:rsidRDefault="00CD6F7D">
        <w:pPr>
          <w:pStyle w:val="Header"/>
          <w:jc w:val="right"/>
          <w:rPr>
            <w:noProof/>
          </w:rPr>
        </w:pPr>
        <w:r>
          <w:fldChar w:fldCharType="begin"/>
        </w:r>
        <w:r>
          <w:instrText xml:space="preserve"> PAGE   \* MERGEFORMAT </w:instrText>
        </w:r>
        <w:r>
          <w:fldChar w:fldCharType="separate"/>
        </w:r>
        <w:r w:rsidR="00C47FC1">
          <w:rPr>
            <w:noProof/>
          </w:rPr>
          <w:t>1</w:t>
        </w:r>
        <w:r>
          <w:rPr>
            <w:noProof/>
          </w:rPr>
          <w:fldChar w:fldCharType="end"/>
        </w:r>
      </w:p>
      <w:p w:rsidR="00CD6F7D" w:rsidRDefault="003C6693">
        <w:pPr>
          <w:pStyle w:val="Header"/>
          <w:jc w:val="right"/>
          <w:rPr>
            <w:noProof/>
          </w:rPr>
        </w:pPr>
        <w:r>
          <w:rPr>
            <w:noProof/>
          </w:rPr>
          <w:t xml:space="preserve">HH </w:t>
        </w:r>
        <w:r w:rsidR="002E04E8">
          <w:rPr>
            <w:noProof/>
          </w:rPr>
          <w:t>618-22</w:t>
        </w:r>
      </w:p>
      <w:p w:rsidR="00CD6F7D" w:rsidRDefault="00CD6F7D">
        <w:pPr>
          <w:pStyle w:val="Header"/>
          <w:jc w:val="right"/>
        </w:pPr>
        <w:r>
          <w:rPr>
            <w:noProof/>
          </w:rPr>
          <w:t>HC 4845/22</w:t>
        </w:r>
      </w:p>
    </w:sdtContent>
  </w:sdt>
  <w:p w:rsidR="00CD6F7D" w:rsidRDefault="00CD6F7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A15A6D"/>
    <w:multiLevelType w:val="multilevel"/>
    <w:tmpl w:val="FC2A7A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24C6DDC"/>
    <w:multiLevelType w:val="hybridMultilevel"/>
    <w:tmpl w:val="174C3806"/>
    <w:lvl w:ilvl="0" w:tplc="29B44316">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DCD"/>
    <w:rsid w:val="00004BE3"/>
    <w:rsid w:val="000069B6"/>
    <w:rsid w:val="0000703D"/>
    <w:rsid w:val="00017AF9"/>
    <w:rsid w:val="00020A8B"/>
    <w:rsid w:val="00020E23"/>
    <w:rsid w:val="00022247"/>
    <w:rsid w:val="00023626"/>
    <w:rsid w:val="000243FD"/>
    <w:rsid w:val="00031524"/>
    <w:rsid w:val="00041B2B"/>
    <w:rsid w:val="000514D9"/>
    <w:rsid w:val="000520EE"/>
    <w:rsid w:val="00052B7A"/>
    <w:rsid w:val="00052BD2"/>
    <w:rsid w:val="00053A56"/>
    <w:rsid w:val="00063F63"/>
    <w:rsid w:val="00067343"/>
    <w:rsid w:val="0006759D"/>
    <w:rsid w:val="000719B6"/>
    <w:rsid w:val="00084066"/>
    <w:rsid w:val="000A1FE2"/>
    <w:rsid w:val="000B7C39"/>
    <w:rsid w:val="000D3307"/>
    <w:rsid w:val="000D46A7"/>
    <w:rsid w:val="000E09FE"/>
    <w:rsid w:val="000E5F24"/>
    <w:rsid w:val="000F4EC8"/>
    <w:rsid w:val="0010180B"/>
    <w:rsid w:val="00111753"/>
    <w:rsid w:val="00111F96"/>
    <w:rsid w:val="00114D1C"/>
    <w:rsid w:val="0011539B"/>
    <w:rsid w:val="00115497"/>
    <w:rsid w:val="00120C4D"/>
    <w:rsid w:val="0012643D"/>
    <w:rsid w:val="00126A65"/>
    <w:rsid w:val="001517BE"/>
    <w:rsid w:val="00153114"/>
    <w:rsid w:val="001678FE"/>
    <w:rsid w:val="001739D4"/>
    <w:rsid w:val="0017405E"/>
    <w:rsid w:val="00177458"/>
    <w:rsid w:val="00181CDD"/>
    <w:rsid w:val="00183234"/>
    <w:rsid w:val="00184E83"/>
    <w:rsid w:val="001A1CDE"/>
    <w:rsid w:val="001A64AD"/>
    <w:rsid w:val="001A7BAD"/>
    <w:rsid w:val="001B061C"/>
    <w:rsid w:val="001B0F90"/>
    <w:rsid w:val="001B2FA0"/>
    <w:rsid w:val="001C7C8F"/>
    <w:rsid w:val="001E3056"/>
    <w:rsid w:val="001E5FC1"/>
    <w:rsid w:val="001E651C"/>
    <w:rsid w:val="00205373"/>
    <w:rsid w:val="00212A76"/>
    <w:rsid w:val="00213400"/>
    <w:rsid w:val="002154BA"/>
    <w:rsid w:val="00216BFE"/>
    <w:rsid w:val="0023621E"/>
    <w:rsid w:val="00236825"/>
    <w:rsid w:val="002411F6"/>
    <w:rsid w:val="00266405"/>
    <w:rsid w:val="00270F26"/>
    <w:rsid w:val="00280719"/>
    <w:rsid w:val="00281B83"/>
    <w:rsid w:val="00293805"/>
    <w:rsid w:val="002A1B88"/>
    <w:rsid w:val="002A43F3"/>
    <w:rsid w:val="002B76DD"/>
    <w:rsid w:val="002C05C9"/>
    <w:rsid w:val="002C3E0B"/>
    <w:rsid w:val="002C4A92"/>
    <w:rsid w:val="002C7F28"/>
    <w:rsid w:val="002E04E8"/>
    <w:rsid w:val="002E09C6"/>
    <w:rsid w:val="002E34A7"/>
    <w:rsid w:val="002F2DE9"/>
    <w:rsid w:val="002F7191"/>
    <w:rsid w:val="003033BF"/>
    <w:rsid w:val="00306660"/>
    <w:rsid w:val="00312262"/>
    <w:rsid w:val="00313FFD"/>
    <w:rsid w:val="00315C68"/>
    <w:rsid w:val="00317999"/>
    <w:rsid w:val="00331B91"/>
    <w:rsid w:val="00331D21"/>
    <w:rsid w:val="00332474"/>
    <w:rsid w:val="00340F57"/>
    <w:rsid w:val="00344B55"/>
    <w:rsid w:val="00344FC9"/>
    <w:rsid w:val="003512C8"/>
    <w:rsid w:val="00360709"/>
    <w:rsid w:val="0036077E"/>
    <w:rsid w:val="003A04BC"/>
    <w:rsid w:val="003A4527"/>
    <w:rsid w:val="003A502A"/>
    <w:rsid w:val="003A545C"/>
    <w:rsid w:val="003B0232"/>
    <w:rsid w:val="003B5992"/>
    <w:rsid w:val="003B5FE7"/>
    <w:rsid w:val="003B7707"/>
    <w:rsid w:val="003C56DB"/>
    <w:rsid w:val="003C659E"/>
    <w:rsid w:val="003C65E0"/>
    <w:rsid w:val="003C6693"/>
    <w:rsid w:val="003E54A2"/>
    <w:rsid w:val="004004BC"/>
    <w:rsid w:val="00400995"/>
    <w:rsid w:val="00422C2D"/>
    <w:rsid w:val="00423501"/>
    <w:rsid w:val="004258B6"/>
    <w:rsid w:val="00432451"/>
    <w:rsid w:val="00447D85"/>
    <w:rsid w:val="004537F6"/>
    <w:rsid w:val="00454CE1"/>
    <w:rsid w:val="004702D9"/>
    <w:rsid w:val="0047480F"/>
    <w:rsid w:val="00482958"/>
    <w:rsid w:val="00484AA3"/>
    <w:rsid w:val="004935D7"/>
    <w:rsid w:val="004A12E1"/>
    <w:rsid w:val="004A6F17"/>
    <w:rsid w:val="004C2698"/>
    <w:rsid w:val="004C5498"/>
    <w:rsid w:val="004C7B1B"/>
    <w:rsid w:val="004D44E2"/>
    <w:rsid w:val="004D683A"/>
    <w:rsid w:val="00500AB5"/>
    <w:rsid w:val="005016BA"/>
    <w:rsid w:val="00503AF8"/>
    <w:rsid w:val="00503DF4"/>
    <w:rsid w:val="005076C3"/>
    <w:rsid w:val="005125F1"/>
    <w:rsid w:val="00515023"/>
    <w:rsid w:val="005248B7"/>
    <w:rsid w:val="00534F4B"/>
    <w:rsid w:val="00540378"/>
    <w:rsid w:val="0054173E"/>
    <w:rsid w:val="00543993"/>
    <w:rsid w:val="00554D3B"/>
    <w:rsid w:val="00570C08"/>
    <w:rsid w:val="005837D8"/>
    <w:rsid w:val="0058432C"/>
    <w:rsid w:val="00592C73"/>
    <w:rsid w:val="005A21A6"/>
    <w:rsid w:val="005A3CBF"/>
    <w:rsid w:val="005A413F"/>
    <w:rsid w:val="005A7E0F"/>
    <w:rsid w:val="005B3401"/>
    <w:rsid w:val="005B4EDD"/>
    <w:rsid w:val="005C707C"/>
    <w:rsid w:val="005C7CFC"/>
    <w:rsid w:val="005D0F65"/>
    <w:rsid w:val="005E13FA"/>
    <w:rsid w:val="005E24F9"/>
    <w:rsid w:val="005E291B"/>
    <w:rsid w:val="005F0ABE"/>
    <w:rsid w:val="005F34ED"/>
    <w:rsid w:val="0060147E"/>
    <w:rsid w:val="00603802"/>
    <w:rsid w:val="00613E9A"/>
    <w:rsid w:val="00617FA5"/>
    <w:rsid w:val="006250E5"/>
    <w:rsid w:val="006333A1"/>
    <w:rsid w:val="0063648A"/>
    <w:rsid w:val="00637921"/>
    <w:rsid w:val="006537D9"/>
    <w:rsid w:val="00655644"/>
    <w:rsid w:val="00657186"/>
    <w:rsid w:val="006847FE"/>
    <w:rsid w:val="006A3D35"/>
    <w:rsid w:val="006A6F8A"/>
    <w:rsid w:val="006B6D84"/>
    <w:rsid w:val="006B7C97"/>
    <w:rsid w:val="006C298E"/>
    <w:rsid w:val="006C2C0B"/>
    <w:rsid w:val="006C4B4B"/>
    <w:rsid w:val="006D54D7"/>
    <w:rsid w:val="006E197F"/>
    <w:rsid w:val="006E1A9D"/>
    <w:rsid w:val="006F1312"/>
    <w:rsid w:val="006F1391"/>
    <w:rsid w:val="006F1E6F"/>
    <w:rsid w:val="006F7326"/>
    <w:rsid w:val="0070028C"/>
    <w:rsid w:val="00704614"/>
    <w:rsid w:val="00710B73"/>
    <w:rsid w:val="007172F1"/>
    <w:rsid w:val="00720C5A"/>
    <w:rsid w:val="007213CC"/>
    <w:rsid w:val="00721946"/>
    <w:rsid w:val="00721D76"/>
    <w:rsid w:val="007247FC"/>
    <w:rsid w:val="00731E26"/>
    <w:rsid w:val="0073579D"/>
    <w:rsid w:val="007362C9"/>
    <w:rsid w:val="00742D0F"/>
    <w:rsid w:val="007458CB"/>
    <w:rsid w:val="0074690C"/>
    <w:rsid w:val="00746EDF"/>
    <w:rsid w:val="00750783"/>
    <w:rsid w:val="00752F34"/>
    <w:rsid w:val="007622E9"/>
    <w:rsid w:val="00763BF6"/>
    <w:rsid w:val="00770CA2"/>
    <w:rsid w:val="00770F76"/>
    <w:rsid w:val="0077197E"/>
    <w:rsid w:val="00773C47"/>
    <w:rsid w:val="00773D14"/>
    <w:rsid w:val="007766B0"/>
    <w:rsid w:val="00780D44"/>
    <w:rsid w:val="00782BA8"/>
    <w:rsid w:val="007834B9"/>
    <w:rsid w:val="00795DCD"/>
    <w:rsid w:val="007A0BF5"/>
    <w:rsid w:val="007A1669"/>
    <w:rsid w:val="007A275C"/>
    <w:rsid w:val="007A2FBA"/>
    <w:rsid w:val="007A3C95"/>
    <w:rsid w:val="007A51ED"/>
    <w:rsid w:val="007A5373"/>
    <w:rsid w:val="007B6E95"/>
    <w:rsid w:val="007C5797"/>
    <w:rsid w:val="007D004E"/>
    <w:rsid w:val="007D4FE8"/>
    <w:rsid w:val="007F339E"/>
    <w:rsid w:val="00800335"/>
    <w:rsid w:val="00804845"/>
    <w:rsid w:val="008125D7"/>
    <w:rsid w:val="00822C4D"/>
    <w:rsid w:val="008303B6"/>
    <w:rsid w:val="00830A89"/>
    <w:rsid w:val="00832DE8"/>
    <w:rsid w:val="00834B4A"/>
    <w:rsid w:val="00843FCD"/>
    <w:rsid w:val="008457DC"/>
    <w:rsid w:val="008512C5"/>
    <w:rsid w:val="00853DF7"/>
    <w:rsid w:val="0087037A"/>
    <w:rsid w:val="00881311"/>
    <w:rsid w:val="008828E9"/>
    <w:rsid w:val="00886B65"/>
    <w:rsid w:val="00886BFA"/>
    <w:rsid w:val="008A36AD"/>
    <w:rsid w:val="008B381E"/>
    <w:rsid w:val="008B5FCF"/>
    <w:rsid w:val="008C1600"/>
    <w:rsid w:val="008C190D"/>
    <w:rsid w:val="008C1BBA"/>
    <w:rsid w:val="008C5E3B"/>
    <w:rsid w:val="008D260F"/>
    <w:rsid w:val="008D41D6"/>
    <w:rsid w:val="008E79D1"/>
    <w:rsid w:val="008F3932"/>
    <w:rsid w:val="008F68C8"/>
    <w:rsid w:val="00904D39"/>
    <w:rsid w:val="00925D10"/>
    <w:rsid w:val="00945368"/>
    <w:rsid w:val="00945820"/>
    <w:rsid w:val="009515FB"/>
    <w:rsid w:val="00951A77"/>
    <w:rsid w:val="00966FA2"/>
    <w:rsid w:val="00967878"/>
    <w:rsid w:val="0097376C"/>
    <w:rsid w:val="0097631F"/>
    <w:rsid w:val="009778AD"/>
    <w:rsid w:val="0098131F"/>
    <w:rsid w:val="00983781"/>
    <w:rsid w:val="009864DE"/>
    <w:rsid w:val="00986742"/>
    <w:rsid w:val="00987908"/>
    <w:rsid w:val="00993347"/>
    <w:rsid w:val="009A2555"/>
    <w:rsid w:val="009A4410"/>
    <w:rsid w:val="009A6EFA"/>
    <w:rsid w:val="009B22BA"/>
    <w:rsid w:val="009B48F7"/>
    <w:rsid w:val="009B4F69"/>
    <w:rsid w:val="009B78BE"/>
    <w:rsid w:val="009C0114"/>
    <w:rsid w:val="009D4565"/>
    <w:rsid w:val="009E029D"/>
    <w:rsid w:val="009E0A4C"/>
    <w:rsid w:val="009E0C39"/>
    <w:rsid w:val="009E5F77"/>
    <w:rsid w:val="00A022F8"/>
    <w:rsid w:val="00A03A56"/>
    <w:rsid w:val="00A04539"/>
    <w:rsid w:val="00A075D8"/>
    <w:rsid w:val="00A30DA6"/>
    <w:rsid w:val="00A324D2"/>
    <w:rsid w:val="00A32A57"/>
    <w:rsid w:val="00A35A78"/>
    <w:rsid w:val="00A80022"/>
    <w:rsid w:val="00A85018"/>
    <w:rsid w:val="00AB15FE"/>
    <w:rsid w:val="00AC128B"/>
    <w:rsid w:val="00AD06B1"/>
    <w:rsid w:val="00AD0E64"/>
    <w:rsid w:val="00AD14B4"/>
    <w:rsid w:val="00AD15E7"/>
    <w:rsid w:val="00AE74CE"/>
    <w:rsid w:val="00AF180F"/>
    <w:rsid w:val="00AF3DC4"/>
    <w:rsid w:val="00B02B1B"/>
    <w:rsid w:val="00B12BEF"/>
    <w:rsid w:val="00B224B2"/>
    <w:rsid w:val="00B23625"/>
    <w:rsid w:val="00B246C8"/>
    <w:rsid w:val="00B377E5"/>
    <w:rsid w:val="00B41B44"/>
    <w:rsid w:val="00B43167"/>
    <w:rsid w:val="00B438BA"/>
    <w:rsid w:val="00B5603E"/>
    <w:rsid w:val="00B616A5"/>
    <w:rsid w:val="00B6383A"/>
    <w:rsid w:val="00B63C2E"/>
    <w:rsid w:val="00B653DD"/>
    <w:rsid w:val="00B672A1"/>
    <w:rsid w:val="00B70387"/>
    <w:rsid w:val="00B8204B"/>
    <w:rsid w:val="00B93CA6"/>
    <w:rsid w:val="00BA5693"/>
    <w:rsid w:val="00BA7479"/>
    <w:rsid w:val="00BB5311"/>
    <w:rsid w:val="00BC1777"/>
    <w:rsid w:val="00BC752E"/>
    <w:rsid w:val="00BD259A"/>
    <w:rsid w:val="00BE4274"/>
    <w:rsid w:val="00BE77F8"/>
    <w:rsid w:val="00BE7DBC"/>
    <w:rsid w:val="00BF1E09"/>
    <w:rsid w:val="00C16678"/>
    <w:rsid w:val="00C215E2"/>
    <w:rsid w:val="00C22682"/>
    <w:rsid w:val="00C254B3"/>
    <w:rsid w:val="00C47CBC"/>
    <w:rsid w:val="00C47FC1"/>
    <w:rsid w:val="00C53618"/>
    <w:rsid w:val="00C54208"/>
    <w:rsid w:val="00C61061"/>
    <w:rsid w:val="00C6262F"/>
    <w:rsid w:val="00C640A6"/>
    <w:rsid w:val="00C64CCF"/>
    <w:rsid w:val="00C67A40"/>
    <w:rsid w:val="00C845F1"/>
    <w:rsid w:val="00C94797"/>
    <w:rsid w:val="00CA5BD2"/>
    <w:rsid w:val="00CB0F09"/>
    <w:rsid w:val="00CC28AA"/>
    <w:rsid w:val="00CC41CC"/>
    <w:rsid w:val="00CC5EC7"/>
    <w:rsid w:val="00CD6F7D"/>
    <w:rsid w:val="00CE20A4"/>
    <w:rsid w:val="00CE7938"/>
    <w:rsid w:val="00CE7AA8"/>
    <w:rsid w:val="00D019C3"/>
    <w:rsid w:val="00D02FD2"/>
    <w:rsid w:val="00D03271"/>
    <w:rsid w:val="00D040F7"/>
    <w:rsid w:val="00D127DA"/>
    <w:rsid w:val="00D1657C"/>
    <w:rsid w:val="00D1666C"/>
    <w:rsid w:val="00D21037"/>
    <w:rsid w:val="00D2764F"/>
    <w:rsid w:val="00D33AA7"/>
    <w:rsid w:val="00D35D07"/>
    <w:rsid w:val="00D45065"/>
    <w:rsid w:val="00D470D4"/>
    <w:rsid w:val="00D513F9"/>
    <w:rsid w:val="00D51688"/>
    <w:rsid w:val="00D5350B"/>
    <w:rsid w:val="00D53B11"/>
    <w:rsid w:val="00D56B82"/>
    <w:rsid w:val="00D65400"/>
    <w:rsid w:val="00D93811"/>
    <w:rsid w:val="00D96438"/>
    <w:rsid w:val="00D973BE"/>
    <w:rsid w:val="00DA23FF"/>
    <w:rsid w:val="00DA254D"/>
    <w:rsid w:val="00DB2852"/>
    <w:rsid w:val="00DB6387"/>
    <w:rsid w:val="00DC0A56"/>
    <w:rsid w:val="00DC3D00"/>
    <w:rsid w:val="00DE76A0"/>
    <w:rsid w:val="00DF281A"/>
    <w:rsid w:val="00DF2FDE"/>
    <w:rsid w:val="00DF447B"/>
    <w:rsid w:val="00DF5DDE"/>
    <w:rsid w:val="00DF6D10"/>
    <w:rsid w:val="00E133C4"/>
    <w:rsid w:val="00E15093"/>
    <w:rsid w:val="00E15242"/>
    <w:rsid w:val="00E152F9"/>
    <w:rsid w:val="00E21BEB"/>
    <w:rsid w:val="00E23749"/>
    <w:rsid w:val="00E24F31"/>
    <w:rsid w:val="00E25EA0"/>
    <w:rsid w:val="00E35AC3"/>
    <w:rsid w:val="00E36C94"/>
    <w:rsid w:val="00E42090"/>
    <w:rsid w:val="00E664C3"/>
    <w:rsid w:val="00E73EA8"/>
    <w:rsid w:val="00E75197"/>
    <w:rsid w:val="00E76084"/>
    <w:rsid w:val="00E77910"/>
    <w:rsid w:val="00E77B24"/>
    <w:rsid w:val="00E8145F"/>
    <w:rsid w:val="00E9224D"/>
    <w:rsid w:val="00EA06F9"/>
    <w:rsid w:val="00EA1EF9"/>
    <w:rsid w:val="00EA2424"/>
    <w:rsid w:val="00EA4614"/>
    <w:rsid w:val="00EA4BB8"/>
    <w:rsid w:val="00EA4F20"/>
    <w:rsid w:val="00EB1A65"/>
    <w:rsid w:val="00EB4F9C"/>
    <w:rsid w:val="00EC0363"/>
    <w:rsid w:val="00EC1BFB"/>
    <w:rsid w:val="00EC7FED"/>
    <w:rsid w:val="00ED01B3"/>
    <w:rsid w:val="00EE35BC"/>
    <w:rsid w:val="00EF452E"/>
    <w:rsid w:val="00EF5BE6"/>
    <w:rsid w:val="00F025D9"/>
    <w:rsid w:val="00F06DB8"/>
    <w:rsid w:val="00F07F07"/>
    <w:rsid w:val="00F14186"/>
    <w:rsid w:val="00F2336C"/>
    <w:rsid w:val="00F325AF"/>
    <w:rsid w:val="00F33D5C"/>
    <w:rsid w:val="00F402FC"/>
    <w:rsid w:val="00F75C68"/>
    <w:rsid w:val="00F8360D"/>
    <w:rsid w:val="00F95C62"/>
    <w:rsid w:val="00F97F9F"/>
    <w:rsid w:val="00FA1D26"/>
    <w:rsid w:val="00FC61B7"/>
    <w:rsid w:val="00FD3094"/>
    <w:rsid w:val="00FD4F29"/>
    <w:rsid w:val="00FD54B1"/>
    <w:rsid w:val="00FE7275"/>
    <w:rsid w:val="00FF64B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436F08-CDCE-4AE1-AE20-136E59C1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16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C2D"/>
    <w:pPr>
      <w:ind w:left="720"/>
      <w:contextualSpacing/>
    </w:pPr>
  </w:style>
  <w:style w:type="paragraph" w:styleId="FootnoteText">
    <w:name w:val="footnote text"/>
    <w:basedOn w:val="Normal"/>
    <w:link w:val="FootnoteTextChar"/>
    <w:uiPriority w:val="99"/>
    <w:semiHidden/>
    <w:unhideWhenUsed/>
    <w:rsid w:val="00EE35BC"/>
    <w:rPr>
      <w:sz w:val="20"/>
      <w:szCs w:val="20"/>
    </w:rPr>
  </w:style>
  <w:style w:type="character" w:customStyle="1" w:styleId="FootnoteTextChar">
    <w:name w:val="Footnote Text Char"/>
    <w:basedOn w:val="DefaultParagraphFont"/>
    <w:link w:val="FootnoteText"/>
    <w:uiPriority w:val="99"/>
    <w:semiHidden/>
    <w:rsid w:val="00EE35BC"/>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EE35BC"/>
    <w:rPr>
      <w:vertAlign w:val="superscript"/>
    </w:rPr>
  </w:style>
  <w:style w:type="paragraph" w:styleId="Header">
    <w:name w:val="header"/>
    <w:basedOn w:val="Normal"/>
    <w:link w:val="HeaderChar"/>
    <w:uiPriority w:val="99"/>
    <w:unhideWhenUsed/>
    <w:rsid w:val="00804845"/>
    <w:pPr>
      <w:tabs>
        <w:tab w:val="center" w:pos="4680"/>
        <w:tab w:val="right" w:pos="9360"/>
      </w:tabs>
    </w:pPr>
  </w:style>
  <w:style w:type="character" w:customStyle="1" w:styleId="HeaderChar">
    <w:name w:val="Header Char"/>
    <w:basedOn w:val="DefaultParagraphFont"/>
    <w:link w:val="Header"/>
    <w:uiPriority w:val="99"/>
    <w:rsid w:val="00804845"/>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04845"/>
    <w:pPr>
      <w:tabs>
        <w:tab w:val="center" w:pos="4680"/>
        <w:tab w:val="right" w:pos="9360"/>
      </w:tabs>
    </w:pPr>
  </w:style>
  <w:style w:type="character" w:customStyle="1" w:styleId="FooterChar">
    <w:name w:val="Footer Char"/>
    <w:basedOn w:val="DefaultParagraphFont"/>
    <w:link w:val="Footer"/>
    <w:uiPriority w:val="99"/>
    <w:rsid w:val="00804845"/>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791AFD-3200-4F3D-A620-271F80278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5245</Words>
  <Characters>29901</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35076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Justice Deme</dc:creator>
  <cp:keywords/>
  <dc:description/>
  <cp:lastModifiedBy>JSC</cp:lastModifiedBy>
  <cp:revision>2</cp:revision>
  <dcterms:created xsi:type="dcterms:W3CDTF">2022-09-16T08:53:00Z</dcterms:created>
  <dcterms:modified xsi:type="dcterms:W3CDTF">2022-09-16T08:53:00Z</dcterms:modified>
</cp:coreProperties>
</file>