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C35" w:rsidRPr="00D10188" w:rsidRDefault="00146C35" w:rsidP="00146C35">
      <w:pPr>
        <w:pStyle w:val="NoSpacing"/>
        <w:jc w:val="both"/>
        <w:rPr>
          <w:b/>
          <w:szCs w:val="24"/>
        </w:rPr>
      </w:pPr>
      <w:r>
        <w:rPr>
          <w:b/>
          <w:szCs w:val="24"/>
        </w:rPr>
        <w:t xml:space="preserve">STEWART DHLIWAYO </w:t>
      </w:r>
    </w:p>
    <w:p w:rsidR="00146C35" w:rsidRPr="00D10188" w:rsidRDefault="00146C35" w:rsidP="00146C35">
      <w:pPr>
        <w:pStyle w:val="NoSpacing"/>
        <w:jc w:val="both"/>
        <w:rPr>
          <w:b/>
          <w:szCs w:val="24"/>
        </w:rPr>
      </w:pPr>
    </w:p>
    <w:p w:rsidR="00146C35" w:rsidRPr="00D10188" w:rsidRDefault="00146C35" w:rsidP="00146C35">
      <w:pPr>
        <w:pStyle w:val="NoSpacing"/>
        <w:jc w:val="both"/>
        <w:rPr>
          <w:b/>
          <w:szCs w:val="24"/>
        </w:rPr>
      </w:pPr>
      <w:r w:rsidRPr="00D10188">
        <w:rPr>
          <w:b/>
          <w:szCs w:val="24"/>
        </w:rPr>
        <w:t>Versus</w:t>
      </w:r>
    </w:p>
    <w:p w:rsidR="00146C35" w:rsidRPr="00D10188" w:rsidRDefault="00146C35" w:rsidP="00146C35">
      <w:pPr>
        <w:pStyle w:val="NoSpacing"/>
        <w:jc w:val="both"/>
        <w:rPr>
          <w:b/>
          <w:szCs w:val="24"/>
        </w:rPr>
      </w:pPr>
    </w:p>
    <w:p w:rsidR="00146C35" w:rsidRDefault="00146C35" w:rsidP="00146C35">
      <w:pPr>
        <w:pStyle w:val="NoSpacing"/>
        <w:jc w:val="both"/>
        <w:rPr>
          <w:b/>
          <w:szCs w:val="24"/>
        </w:rPr>
      </w:pPr>
      <w:r>
        <w:rPr>
          <w:b/>
          <w:szCs w:val="24"/>
        </w:rPr>
        <w:t xml:space="preserve">WARMAN ZIMBABWE (PVT) LTD </w:t>
      </w:r>
    </w:p>
    <w:p w:rsidR="00146C35" w:rsidRDefault="00146C35" w:rsidP="00146C35">
      <w:pPr>
        <w:pStyle w:val="NoSpacing"/>
        <w:jc w:val="both"/>
        <w:rPr>
          <w:b/>
          <w:szCs w:val="24"/>
        </w:rPr>
      </w:pPr>
    </w:p>
    <w:p w:rsidR="00146C35" w:rsidRDefault="00146C35" w:rsidP="00146C35">
      <w:pPr>
        <w:pStyle w:val="NoSpacing"/>
        <w:jc w:val="both"/>
        <w:rPr>
          <w:b/>
          <w:szCs w:val="24"/>
        </w:rPr>
      </w:pPr>
      <w:r>
        <w:rPr>
          <w:b/>
          <w:szCs w:val="24"/>
        </w:rPr>
        <w:t xml:space="preserve">And </w:t>
      </w:r>
    </w:p>
    <w:p w:rsidR="00146C35" w:rsidRDefault="00146C35" w:rsidP="00146C35">
      <w:pPr>
        <w:pStyle w:val="NoSpacing"/>
        <w:jc w:val="both"/>
        <w:rPr>
          <w:b/>
          <w:szCs w:val="24"/>
        </w:rPr>
      </w:pPr>
    </w:p>
    <w:p w:rsidR="00146C35" w:rsidRDefault="009E25BE" w:rsidP="00146C35">
      <w:pPr>
        <w:pStyle w:val="NoSpacing"/>
        <w:jc w:val="both"/>
        <w:rPr>
          <w:b/>
          <w:szCs w:val="24"/>
        </w:rPr>
      </w:pPr>
      <w:r>
        <w:rPr>
          <w:b/>
          <w:szCs w:val="24"/>
        </w:rPr>
        <w:t xml:space="preserve">C H WARMAN HOLDINGS (PVT) LTD </w:t>
      </w:r>
    </w:p>
    <w:p w:rsidR="009E25BE" w:rsidRDefault="009E25BE" w:rsidP="00146C35">
      <w:pPr>
        <w:pStyle w:val="NoSpacing"/>
        <w:jc w:val="both"/>
        <w:rPr>
          <w:b/>
          <w:szCs w:val="24"/>
        </w:rPr>
      </w:pPr>
    </w:p>
    <w:p w:rsidR="009E25BE" w:rsidRDefault="009E25BE" w:rsidP="00146C35">
      <w:pPr>
        <w:pStyle w:val="NoSpacing"/>
        <w:jc w:val="both"/>
        <w:rPr>
          <w:b/>
          <w:szCs w:val="24"/>
        </w:rPr>
      </w:pPr>
      <w:r>
        <w:rPr>
          <w:b/>
          <w:szCs w:val="24"/>
        </w:rPr>
        <w:t xml:space="preserve">And </w:t>
      </w:r>
    </w:p>
    <w:p w:rsidR="009E25BE" w:rsidRDefault="009E25BE" w:rsidP="00146C35">
      <w:pPr>
        <w:pStyle w:val="NoSpacing"/>
        <w:jc w:val="both"/>
        <w:rPr>
          <w:b/>
          <w:szCs w:val="24"/>
        </w:rPr>
      </w:pPr>
    </w:p>
    <w:p w:rsidR="009E25BE" w:rsidRDefault="009E25BE" w:rsidP="00146C35">
      <w:pPr>
        <w:pStyle w:val="NoSpacing"/>
        <w:jc w:val="both"/>
        <w:rPr>
          <w:b/>
          <w:szCs w:val="24"/>
        </w:rPr>
      </w:pPr>
      <w:r>
        <w:rPr>
          <w:b/>
          <w:szCs w:val="24"/>
        </w:rPr>
        <w:t>WENDY ANNE KING N.O.</w:t>
      </w:r>
    </w:p>
    <w:p w:rsidR="009E25BE" w:rsidRDefault="009E25BE" w:rsidP="00146C35">
      <w:pPr>
        <w:pStyle w:val="NoSpacing"/>
        <w:jc w:val="both"/>
        <w:rPr>
          <w:b/>
          <w:szCs w:val="24"/>
        </w:rPr>
      </w:pPr>
    </w:p>
    <w:p w:rsidR="009E25BE" w:rsidRPr="00D10188" w:rsidRDefault="009E25BE" w:rsidP="00146C35">
      <w:pPr>
        <w:pStyle w:val="NoSpacing"/>
        <w:jc w:val="both"/>
        <w:rPr>
          <w:b/>
          <w:szCs w:val="24"/>
        </w:rPr>
      </w:pPr>
    </w:p>
    <w:p w:rsidR="00146C35" w:rsidRPr="00D10188" w:rsidRDefault="00146C35" w:rsidP="00146C35">
      <w:pPr>
        <w:pStyle w:val="NoSpacing"/>
        <w:jc w:val="both"/>
        <w:rPr>
          <w:szCs w:val="24"/>
        </w:rPr>
      </w:pPr>
      <w:r w:rsidRPr="00D10188">
        <w:rPr>
          <w:szCs w:val="24"/>
        </w:rPr>
        <w:t>IN THE HIGH COURT OF ZIMBABWE</w:t>
      </w:r>
    </w:p>
    <w:p w:rsidR="00146C35" w:rsidRPr="00D10188" w:rsidRDefault="009E25BE" w:rsidP="00146C35">
      <w:pPr>
        <w:pStyle w:val="NoSpacing"/>
        <w:jc w:val="both"/>
        <w:rPr>
          <w:szCs w:val="24"/>
        </w:rPr>
      </w:pPr>
      <w:r>
        <w:rPr>
          <w:szCs w:val="24"/>
        </w:rPr>
        <w:t>DUBE-BANDA</w:t>
      </w:r>
      <w:r w:rsidR="00146C35" w:rsidRPr="00D10188">
        <w:rPr>
          <w:szCs w:val="24"/>
        </w:rPr>
        <w:t xml:space="preserve"> J</w:t>
      </w:r>
    </w:p>
    <w:p w:rsidR="00146C35" w:rsidRPr="00D10188" w:rsidRDefault="00936494" w:rsidP="00146C35">
      <w:pPr>
        <w:pStyle w:val="NoSpacing"/>
        <w:jc w:val="both"/>
        <w:rPr>
          <w:szCs w:val="24"/>
        </w:rPr>
      </w:pPr>
      <w:r>
        <w:rPr>
          <w:szCs w:val="24"/>
        </w:rPr>
        <w:t xml:space="preserve">BULAWAYO 5 </w:t>
      </w:r>
      <w:r w:rsidR="003B27FF">
        <w:rPr>
          <w:szCs w:val="24"/>
        </w:rPr>
        <w:t>NOVEMBER 2021 &amp; 13 JANUARY 2022</w:t>
      </w:r>
      <w:r>
        <w:rPr>
          <w:szCs w:val="24"/>
        </w:rPr>
        <w:t xml:space="preserve"> </w:t>
      </w:r>
    </w:p>
    <w:p w:rsidR="00146C35" w:rsidRPr="00D10188" w:rsidRDefault="00146C35" w:rsidP="00146C35">
      <w:pPr>
        <w:pStyle w:val="NoSpacing"/>
        <w:jc w:val="both"/>
        <w:rPr>
          <w:szCs w:val="24"/>
        </w:rPr>
      </w:pPr>
    </w:p>
    <w:p w:rsidR="00146C35" w:rsidRPr="00D10188" w:rsidRDefault="00936494" w:rsidP="00146C35">
      <w:pPr>
        <w:pStyle w:val="NoSpacing"/>
        <w:jc w:val="both"/>
        <w:rPr>
          <w:b/>
          <w:szCs w:val="24"/>
        </w:rPr>
      </w:pPr>
      <w:r>
        <w:rPr>
          <w:b/>
          <w:szCs w:val="24"/>
        </w:rPr>
        <w:t xml:space="preserve">Application for rescission of judgment </w:t>
      </w:r>
    </w:p>
    <w:p w:rsidR="00146C35" w:rsidRPr="00D10188" w:rsidRDefault="00146C35" w:rsidP="00146C35">
      <w:pPr>
        <w:pStyle w:val="NoSpacing"/>
        <w:jc w:val="both"/>
        <w:rPr>
          <w:szCs w:val="24"/>
        </w:rPr>
      </w:pPr>
    </w:p>
    <w:p w:rsidR="00146C35" w:rsidRPr="00D10188" w:rsidRDefault="00AC2630" w:rsidP="00146C35">
      <w:pPr>
        <w:pStyle w:val="NoSpacing"/>
        <w:jc w:val="both"/>
        <w:rPr>
          <w:szCs w:val="24"/>
        </w:rPr>
      </w:pPr>
      <w:r>
        <w:rPr>
          <w:i/>
          <w:szCs w:val="24"/>
        </w:rPr>
        <w:t>S. Siziba</w:t>
      </w:r>
      <w:r w:rsidR="00146C35" w:rsidRPr="00D10188">
        <w:rPr>
          <w:szCs w:val="24"/>
        </w:rPr>
        <w:t xml:space="preserve"> for the applicant</w:t>
      </w:r>
    </w:p>
    <w:p w:rsidR="00146C35" w:rsidRPr="00D10188" w:rsidRDefault="00AC2630" w:rsidP="00146C35">
      <w:pPr>
        <w:pStyle w:val="NoSpacing"/>
        <w:jc w:val="both"/>
        <w:rPr>
          <w:szCs w:val="24"/>
        </w:rPr>
      </w:pPr>
      <w:r>
        <w:rPr>
          <w:i/>
          <w:szCs w:val="24"/>
        </w:rPr>
        <w:t>T. Mpofu</w:t>
      </w:r>
      <w:r w:rsidR="00146C35" w:rsidRPr="00D10188">
        <w:rPr>
          <w:szCs w:val="24"/>
        </w:rPr>
        <w:t xml:space="preserve"> for the respondent</w:t>
      </w:r>
    </w:p>
    <w:p w:rsidR="001F0B7E" w:rsidRDefault="00146C35" w:rsidP="00A37F7D">
      <w:pPr>
        <w:jc w:val="both"/>
        <w:rPr>
          <w:szCs w:val="24"/>
        </w:rPr>
      </w:pPr>
      <w:r w:rsidRPr="00D10188">
        <w:rPr>
          <w:szCs w:val="24"/>
        </w:rPr>
        <w:tab/>
      </w:r>
      <w:r w:rsidR="00AC2630">
        <w:rPr>
          <w:b/>
          <w:szCs w:val="24"/>
        </w:rPr>
        <w:t>DUBE-BANDA</w:t>
      </w:r>
      <w:r w:rsidRPr="00D10188">
        <w:rPr>
          <w:b/>
          <w:szCs w:val="24"/>
        </w:rPr>
        <w:t xml:space="preserve"> J:</w:t>
      </w:r>
      <w:r w:rsidR="002A4918">
        <w:rPr>
          <w:b/>
          <w:szCs w:val="24"/>
        </w:rPr>
        <w:t xml:space="preserve"> </w:t>
      </w:r>
      <w:r w:rsidR="002A4918" w:rsidRPr="002A4918">
        <w:rPr>
          <w:szCs w:val="24"/>
        </w:rPr>
        <w:t>This is an a</w:t>
      </w:r>
      <w:r w:rsidR="002A4918">
        <w:rPr>
          <w:szCs w:val="24"/>
        </w:rPr>
        <w:t>pplicat</w:t>
      </w:r>
      <w:r w:rsidR="005719AA">
        <w:rPr>
          <w:szCs w:val="24"/>
        </w:rPr>
        <w:t>ion for rescission of judgment</w:t>
      </w:r>
      <w:r w:rsidR="00947CBD">
        <w:rPr>
          <w:szCs w:val="24"/>
        </w:rPr>
        <w:t xml:space="preserve">. </w:t>
      </w:r>
      <w:r w:rsidR="00D44DE7">
        <w:t xml:space="preserve">At the outset, </w:t>
      </w:r>
      <w:r w:rsidR="006A5341">
        <w:t xml:space="preserve">and </w:t>
      </w:r>
      <w:r w:rsidR="00D44DE7">
        <w:t>t</w:t>
      </w:r>
      <w:r w:rsidR="006A5341">
        <w:t>o avoid confusion</w:t>
      </w:r>
      <w:r w:rsidR="00D44DE7" w:rsidRPr="001907E0">
        <w:t xml:space="preserve"> it is important to</w:t>
      </w:r>
      <w:r w:rsidR="00D44DE7">
        <w:t xml:space="preserve"> state that this application is in terms of rule 63(1) of the High Court Rules, 1971.</w:t>
      </w:r>
      <w:r w:rsidR="002C709A">
        <w:rPr>
          <w:rStyle w:val="FootnoteReference"/>
        </w:rPr>
        <w:footnoteReference w:id="1"/>
      </w:r>
      <w:r w:rsidR="008F72D4">
        <w:t xml:space="preserve"> </w:t>
      </w:r>
      <w:r w:rsidR="005719AA">
        <w:rPr>
          <w:szCs w:val="24"/>
        </w:rPr>
        <w:t xml:space="preserve"> </w:t>
      </w:r>
      <w:r w:rsidR="003A445A">
        <w:rPr>
          <w:szCs w:val="24"/>
        </w:rPr>
        <w:t xml:space="preserve">It is important to state this because </w:t>
      </w:r>
      <w:r w:rsidR="00E92767">
        <w:rPr>
          <w:szCs w:val="24"/>
        </w:rPr>
        <w:t>the hea</w:t>
      </w:r>
      <w:r w:rsidR="00E37EC4">
        <w:rPr>
          <w:szCs w:val="24"/>
        </w:rPr>
        <w:t>ding of this application is</w:t>
      </w:r>
      <w:r w:rsidR="00E92767">
        <w:rPr>
          <w:szCs w:val="24"/>
        </w:rPr>
        <w:t xml:space="preserve"> fra</w:t>
      </w:r>
      <w:r w:rsidR="006A5341">
        <w:rPr>
          <w:szCs w:val="24"/>
        </w:rPr>
        <w:t>med thus: court application for the</w:t>
      </w:r>
      <w:r w:rsidR="00E92767">
        <w:rPr>
          <w:szCs w:val="24"/>
        </w:rPr>
        <w:t xml:space="preserve"> resc</w:t>
      </w:r>
      <w:r w:rsidR="00A836CC">
        <w:rPr>
          <w:szCs w:val="24"/>
        </w:rPr>
        <w:t>ission of judgment in terms of</w:t>
      </w:r>
      <w:r w:rsidR="005719AA">
        <w:rPr>
          <w:szCs w:val="24"/>
        </w:rPr>
        <w:t xml:space="preserve"> rule 449(1</w:t>
      </w:r>
      <w:r w:rsidR="00E37EC4">
        <w:rPr>
          <w:szCs w:val="24"/>
        </w:rPr>
        <w:t>) (</w:t>
      </w:r>
      <w:r w:rsidR="005719AA">
        <w:rPr>
          <w:szCs w:val="24"/>
        </w:rPr>
        <w:t>a</w:t>
      </w:r>
      <w:r w:rsidR="00E37EC4">
        <w:rPr>
          <w:szCs w:val="24"/>
        </w:rPr>
        <w:t>) as</w:t>
      </w:r>
      <w:r w:rsidR="00A836CC">
        <w:rPr>
          <w:szCs w:val="24"/>
        </w:rPr>
        <w:t xml:space="preserve"> read with rule 63(1) of the High Court Rules, 1971. </w:t>
      </w:r>
      <w:r w:rsidR="007D07FE">
        <w:rPr>
          <w:szCs w:val="24"/>
        </w:rPr>
        <w:t>Respond</w:t>
      </w:r>
      <w:r w:rsidR="00895D44">
        <w:rPr>
          <w:szCs w:val="24"/>
        </w:rPr>
        <w:t>ents objected to this approach</w:t>
      </w:r>
      <w:r w:rsidR="00DB6103">
        <w:rPr>
          <w:szCs w:val="24"/>
        </w:rPr>
        <w:t xml:space="preserve"> on the basis</w:t>
      </w:r>
      <w:r w:rsidR="00DC0C85">
        <w:rPr>
          <w:szCs w:val="24"/>
        </w:rPr>
        <w:t xml:space="preserve"> that an application for rescission cannot be anchored on both rule</w:t>
      </w:r>
      <w:r w:rsidR="008F72D4">
        <w:rPr>
          <w:szCs w:val="24"/>
        </w:rPr>
        <w:t>s</w:t>
      </w:r>
      <w:r w:rsidR="00DC0C85">
        <w:rPr>
          <w:szCs w:val="24"/>
        </w:rPr>
        <w:t xml:space="preserve"> 63 and 449</w:t>
      </w:r>
      <w:r w:rsidR="008F72D4">
        <w:rPr>
          <w:szCs w:val="24"/>
        </w:rPr>
        <w:t xml:space="preserve">. </w:t>
      </w:r>
      <w:r w:rsidR="00DC0C85">
        <w:rPr>
          <w:szCs w:val="24"/>
        </w:rPr>
        <w:t xml:space="preserve"> </w:t>
      </w:r>
      <w:r w:rsidR="001C107E">
        <w:rPr>
          <w:szCs w:val="24"/>
        </w:rPr>
        <w:t xml:space="preserve"> At the commencement of this hearing</w:t>
      </w:r>
      <w:r w:rsidR="00DB322D">
        <w:rPr>
          <w:szCs w:val="24"/>
        </w:rPr>
        <w:t xml:space="preserve"> Mr </w:t>
      </w:r>
      <w:r w:rsidR="00DB322D" w:rsidRPr="00DB322D">
        <w:rPr>
          <w:i/>
          <w:szCs w:val="24"/>
        </w:rPr>
        <w:t>Siziba</w:t>
      </w:r>
      <w:r w:rsidR="00DB322D">
        <w:rPr>
          <w:szCs w:val="24"/>
        </w:rPr>
        <w:t xml:space="preserve"> counsel for the applicant </w:t>
      </w:r>
      <w:r w:rsidR="00B31D1B">
        <w:rPr>
          <w:szCs w:val="24"/>
        </w:rPr>
        <w:t xml:space="preserve">informed the court that this application is </w:t>
      </w:r>
      <w:r w:rsidR="00895D44">
        <w:rPr>
          <w:szCs w:val="24"/>
        </w:rPr>
        <w:t xml:space="preserve">solely </w:t>
      </w:r>
      <w:r w:rsidR="00B31D1B">
        <w:rPr>
          <w:szCs w:val="24"/>
        </w:rPr>
        <w:t xml:space="preserve">in terms of rule 63(1). </w:t>
      </w:r>
      <w:r w:rsidR="001F0B7E">
        <w:rPr>
          <w:szCs w:val="24"/>
        </w:rPr>
        <w:t xml:space="preserve">Mr </w:t>
      </w:r>
      <w:r w:rsidR="001F0B7E" w:rsidRPr="00895D44">
        <w:rPr>
          <w:i/>
          <w:szCs w:val="24"/>
        </w:rPr>
        <w:t>Mpofu</w:t>
      </w:r>
      <w:r w:rsidR="001F0B7E">
        <w:rPr>
          <w:szCs w:val="24"/>
        </w:rPr>
        <w:t xml:space="preserve"> counsel for the respondents did not persist with the objection.</w:t>
      </w:r>
      <w:r w:rsidR="001C107E">
        <w:rPr>
          <w:szCs w:val="24"/>
        </w:rPr>
        <w:t xml:space="preserve"> Consequently no further reference would be made to rule 449. </w:t>
      </w:r>
    </w:p>
    <w:p w:rsidR="006869C8" w:rsidRPr="00150548" w:rsidRDefault="00082FA3" w:rsidP="00150548">
      <w:pPr>
        <w:jc w:val="both"/>
        <w:rPr>
          <w:szCs w:val="24"/>
        </w:rPr>
      </w:pPr>
      <w:r>
        <w:rPr>
          <w:szCs w:val="24"/>
        </w:rPr>
        <w:tab/>
      </w:r>
      <w:r w:rsidR="009E2A62">
        <w:t>In this matter</w:t>
      </w:r>
      <w:r>
        <w:t xml:space="preserve"> this court is being asked t</w:t>
      </w:r>
      <w:r w:rsidR="00150548">
        <w:t>o rescind the judgment</w:t>
      </w:r>
      <w:r w:rsidR="009E2A62">
        <w:t xml:space="preserve"> it handed down</w:t>
      </w:r>
      <w:r>
        <w:t xml:space="preserve"> </w:t>
      </w:r>
      <w:r w:rsidR="00150548">
        <w:t xml:space="preserve">in </w:t>
      </w:r>
      <w:r w:rsidR="009E2A62">
        <w:t xml:space="preserve">case number </w:t>
      </w:r>
      <w:r w:rsidR="00150548">
        <w:t xml:space="preserve">HC 2693/15. </w:t>
      </w:r>
      <w:r w:rsidR="00EC3CFC">
        <w:rPr>
          <w:szCs w:val="24"/>
        </w:rPr>
        <w:t xml:space="preserve">The order sought by the applicant is </w:t>
      </w:r>
      <w:r w:rsidR="006869C8">
        <w:rPr>
          <w:sz w:val="23"/>
          <w:szCs w:val="23"/>
        </w:rPr>
        <w:t xml:space="preserve">couched as follows: </w:t>
      </w:r>
    </w:p>
    <w:p w:rsidR="00B7035E" w:rsidRPr="00EC3CFC" w:rsidRDefault="006869C8" w:rsidP="006869C8">
      <w:pPr>
        <w:pStyle w:val="ListParagraph"/>
        <w:numPr>
          <w:ilvl w:val="0"/>
          <w:numId w:val="3"/>
        </w:numPr>
        <w:rPr>
          <w:szCs w:val="24"/>
        </w:rPr>
      </w:pPr>
      <w:r w:rsidRPr="00EC3CFC">
        <w:rPr>
          <w:szCs w:val="24"/>
        </w:rPr>
        <w:lastRenderedPageBreak/>
        <w:t>T</w:t>
      </w:r>
      <w:r w:rsidR="00582C28" w:rsidRPr="00EC3CFC">
        <w:rPr>
          <w:szCs w:val="24"/>
        </w:rPr>
        <w:t xml:space="preserve">hat the </w:t>
      </w:r>
      <w:r w:rsidR="00B7035E" w:rsidRPr="00EC3CFC">
        <w:rPr>
          <w:szCs w:val="24"/>
        </w:rPr>
        <w:t xml:space="preserve">rescission application be and is hereby granted and the order of this court dated 18 July 2019 under cover of HC 2693/15 be and is hereby set aside. </w:t>
      </w:r>
    </w:p>
    <w:p w:rsidR="00B7035E" w:rsidRPr="00EC3CFC" w:rsidRDefault="006C21AD" w:rsidP="006869C8">
      <w:pPr>
        <w:pStyle w:val="ListParagraph"/>
        <w:numPr>
          <w:ilvl w:val="0"/>
          <w:numId w:val="3"/>
        </w:numPr>
        <w:rPr>
          <w:szCs w:val="24"/>
        </w:rPr>
      </w:pPr>
      <w:r w:rsidRPr="00EC3CFC">
        <w:rPr>
          <w:szCs w:val="24"/>
        </w:rPr>
        <w:t xml:space="preserve">That the applicant be and is hereby directed to cause his new attorneys to file an assumption of agency within 7 days of granting of the order in this matter. </w:t>
      </w:r>
    </w:p>
    <w:p w:rsidR="00D81CB7" w:rsidRDefault="00D81CB7" w:rsidP="002631BC">
      <w:pPr>
        <w:pStyle w:val="ListParagraph"/>
        <w:numPr>
          <w:ilvl w:val="0"/>
          <w:numId w:val="3"/>
        </w:numPr>
        <w:rPr>
          <w:szCs w:val="24"/>
        </w:rPr>
      </w:pPr>
      <w:r w:rsidRPr="00EC3CFC">
        <w:rPr>
          <w:szCs w:val="24"/>
        </w:rPr>
        <w:t xml:space="preserve">That there be no order as to costs. </w:t>
      </w:r>
    </w:p>
    <w:p w:rsidR="0012321F" w:rsidRPr="0012321F" w:rsidRDefault="0012321F" w:rsidP="0012321F">
      <w:pPr>
        <w:rPr>
          <w:b/>
          <w:szCs w:val="24"/>
        </w:rPr>
      </w:pPr>
      <w:r w:rsidRPr="0012321F">
        <w:rPr>
          <w:b/>
          <w:szCs w:val="24"/>
        </w:rPr>
        <w:t xml:space="preserve">Background facts </w:t>
      </w:r>
    </w:p>
    <w:p w:rsidR="00A766DB" w:rsidRDefault="00883B82" w:rsidP="00D81CB7">
      <w:pPr>
        <w:ind w:firstLine="720"/>
        <w:jc w:val="both"/>
        <w:rPr>
          <w:rFonts w:cs="Times New Roman"/>
          <w:color w:val="1F1F1F"/>
          <w:szCs w:val="24"/>
          <w:lang w:val="en-ZW"/>
        </w:rPr>
      </w:pPr>
      <w:r w:rsidRPr="002C10F7">
        <w:rPr>
          <w:rFonts w:cs="Times New Roman"/>
          <w:color w:val="1F1F1F"/>
          <w:szCs w:val="24"/>
          <w:lang w:val="en-ZW"/>
        </w:rPr>
        <w:t xml:space="preserve">This application will be better understood against the background that follows. </w:t>
      </w:r>
      <w:r w:rsidR="00E31A69">
        <w:rPr>
          <w:rFonts w:cs="Times New Roman"/>
          <w:color w:val="1F1F1F"/>
          <w:szCs w:val="24"/>
          <w:lang w:val="en-ZW"/>
        </w:rPr>
        <w:t>On the facts of this case i</w:t>
      </w:r>
      <w:r w:rsidR="00A766DB">
        <w:rPr>
          <w:rFonts w:cs="Times New Roman"/>
          <w:color w:val="1F1F1F"/>
          <w:szCs w:val="24"/>
          <w:lang w:val="en-ZW"/>
        </w:rPr>
        <w:t xml:space="preserve">t is either common cause or </w:t>
      </w:r>
      <w:r w:rsidR="00407F52">
        <w:rPr>
          <w:rFonts w:cs="Times New Roman"/>
          <w:color w:val="1F1F1F"/>
          <w:szCs w:val="24"/>
          <w:lang w:val="en-ZW"/>
        </w:rPr>
        <w:t>can</w:t>
      </w:r>
      <w:r w:rsidR="00A766DB">
        <w:rPr>
          <w:rFonts w:cs="Times New Roman"/>
          <w:color w:val="1F1F1F"/>
          <w:szCs w:val="24"/>
          <w:lang w:val="en-ZW"/>
        </w:rPr>
        <w:t xml:space="preserve">not </w:t>
      </w:r>
      <w:r w:rsidR="00407F52">
        <w:rPr>
          <w:rFonts w:cs="Times New Roman"/>
          <w:color w:val="1F1F1F"/>
          <w:szCs w:val="24"/>
          <w:lang w:val="en-ZW"/>
        </w:rPr>
        <w:t xml:space="preserve">be </w:t>
      </w:r>
      <w:r w:rsidR="00A766DB">
        <w:rPr>
          <w:rFonts w:cs="Times New Roman"/>
          <w:color w:val="1F1F1F"/>
          <w:szCs w:val="24"/>
          <w:lang w:val="en-ZW"/>
        </w:rPr>
        <w:t>seriously disputed that 1</w:t>
      </w:r>
      <w:r w:rsidR="00A766DB" w:rsidRPr="00A766DB">
        <w:rPr>
          <w:rFonts w:cs="Times New Roman"/>
          <w:color w:val="1F1F1F"/>
          <w:szCs w:val="24"/>
          <w:vertAlign w:val="superscript"/>
          <w:lang w:val="en-ZW"/>
        </w:rPr>
        <w:t>st</w:t>
      </w:r>
      <w:r w:rsidR="00A766DB">
        <w:rPr>
          <w:rFonts w:cs="Times New Roman"/>
          <w:color w:val="1F1F1F"/>
          <w:szCs w:val="24"/>
          <w:lang w:val="en-ZW"/>
        </w:rPr>
        <w:t xml:space="preserve"> respondent </w:t>
      </w:r>
      <w:r w:rsidR="000B6509">
        <w:rPr>
          <w:rFonts w:cs="Times New Roman"/>
          <w:color w:val="1F1F1F"/>
          <w:szCs w:val="24"/>
          <w:lang w:val="en-ZW"/>
        </w:rPr>
        <w:t xml:space="preserve">(company) </w:t>
      </w:r>
      <w:r w:rsidR="00A766DB">
        <w:rPr>
          <w:rFonts w:cs="Times New Roman"/>
          <w:color w:val="1F1F1F"/>
          <w:szCs w:val="24"/>
          <w:lang w:val="en-ZW"/>
        </w:rPr>
        <w:t>was incorporated on the 8</w:t>
      </w:r>
      <w:r w:rsidR="00A766DB" w:rsidRPr="00A766DB">
        <w:rPr>
          <w:rFonts w:cs="Times New Roman"/>
          <w:color w:val="1F1F1F"/>
          <w:szCs w:val="24"/>
          <w:vertAlign w:val="superscript"/>
          <w:lang w:val="en-ZW"/>
        </w:rPr>
        <w:t>th</w:t>
      </w:r>
      <w:r w:rsidR="00231CFA">
        <w:rPr>
          <w:rFonts w:cs="Times New Roman"/>
          <w:color w:val="1F1F1F"/>
          <w:szCs w:val="24"/>
          <w:lang w:val="en-ZW"/>
        </w:rPr>
        <w:t xml:space="preserve"> August 1988 and was 100% owned by Research and Development (Pty) Ltd of </w:t>
      </w:r>
      <w:r w:rsidR="009C72F7">
        <w:rPr>
          <w:rFonts w:cs="Times New Roman"/>
          <w:color w:val="1F1F1F"/>
          <w:szCs w:val="24"/>
          <w:lang w:val="en-ZW"/>
        </w:rPr>
        <w:t>Australia until 2003. 2</w:t>
      </w:r>
      <w:r w:rsidR="009C72F7" w:rsidRPr="009C72F7">
        <w:rPr>
          <w:rFonts w:cs="Times New Roman"/>
          <w:color w:val="1F1F1F"/>
          <w:szCs w:val="24"/>
          <w:vertAlign w:val="superscript"/>
          <w:lang w:val="en-ZW"/>
        </w:rPr>
        <w:t>nd</w:t>
      </w:r>
      <w:r w:rsidR="009C72F7">
        <w:rPr>
          <w:rFonts w:cs="Times New Roman"/>
          <w:color w:val="1F1F1F"/>
          <w:szCs w:val="24"/>
          <w:lang w:val="en-ZW"/>
        </w:rPr>
        <w:t xml:space="preserve"> respondent is wholly owned </w:t>
      </w:r>
      <w:r w:rsidR="00DB74DC">
        <w:rPr>
          <w:rFonts w:cs="Times New Roman"/>
          <w:color w:val="1F1F1F"/>
          <w:szCs w:val="24"/>
          <w:lang w:val="en-ZW"/>
        </w:rPr>
        <w:t>by Research and Development (Pty) Ltd the initial shareholder of 1</w:t>
      </w:r>
      <w:r w:rsidR="00DB74DC" w:rsidRPr="00DB74DC">
        <w:rPr>
          <w:rFonts w:cs="Times New Roman"/>
          <w:color w:val="1F1F1F"/>
          <w:szCs w:val="24"/>
          <w:vertAlign w:val="superscript"/>
          <w:lang w:val="en-ZW"/>
        </w:rPr>
        <w:t>st</w:t>
      </w:r>
      <w:r w:rsidR="00DB74DC">
        <w:rPr>
          <w:rFonts w:cs="Times New Roman"/>
          <w:color w:val="1F1F1F"/>
          <w:szCs w:val="24"/>
          <w:lang w:val="en-ZW"/>
        </w:rPr>
        <w:t xml:space="preserve"> respondent. </w:t>
      </w:r>
      <w:r w:rsidR="00161C69">
        <w:rPr>
          <w:rFonts w:cs="Times New Roman"/>
          <w:color w:val="1F1F1F"/>
          <w:szCs w:val="24"/>
          <w:lang w:val="en-ZW"/>
        </w:rPr>
        <w:t>C.H. Warman Holdings (Pty) Ltd (2</w:t>
      </w:r>
      <w:r w:rsidR="00161C69" w:rsidRPr="00161C69">
        <w:rPr>
          <w:rFonts w:cs="Times New Roman"/>
          <w:color w:val="1F1F1F"/>
          <w:szCs w:val="24"/>
          <w:vertAlign w:val="superscript"/>
          <w:lang w:val="en-ZW"/>
        </w:rPr>
        <w:t>nd</w:t>
      </w:r>
      <w:r w:rsidR="00161C69">
        <w:rPr>
          <w:rFonts w:cs="Times New Roman"/>
          <w:color w:val="1F1F1F"/>
          <w:szCs w:val="24"/>
          <w:lang w:val="en-ZW"/>
        </w:rPr>
        <w:t xml:space="preserve"> respondent) and </w:t>
      </w:r>
      <w:r w:rsidR="00B26A8D">
        <w:rPr>
          <w:rFonts w:cs="Times New Roman"/>
          <w:color w:val="1F1F1F"/>
          <w:szCs w:val="24"/>
          <w:lang w:val="en-ZW"/>
        </w:rPr>
        <w:t>Estate late C.H. Warman (3</w:t>
      </w:r>
      <w:r w:rsidR="00B26A8D" w:rsidRPr="00B26A8D">
        <w:rPr>
          <w:rFonts w:cs="Times New Roman"/>
          <w:color w:val="1F1F1F"/>
          <w:szCs w:val="24"/>
          <w:vertAlign w:val="superscript"/>
          <w:lang w:val="en-ZW"/>
        </w:rPr>
        <w:t>rd</w:t>
      </w:r>
      <w:r w:rsidR="00B26A8D">
        <w:rPr>
          <w:rFonts w:cs="Times New Roman"/>
          <w:color w:val="1F1F1F"/>
          <w:szCs w:val="24"/>
          <w:lang w:val="en-ZW"/>
        </w:rPr>
        <w:t xml:space="preserve"> respondent) are shareholders in 1</w:t>
      </w:r>
      <w:r w:rsidR="00B26A8D" w:rsidRPr="00B26A8D">
        <w:rPr>
          <w:rFonts w:cs="Times New Roman"/>
          <w:color w:val="1F1F1F"/>
          <w:szCs w:val="24"/>
          <w:vertAlign w:val="superscript"/>
          <w:lang w:val="en-ZW"/>
        </w:rPr>
        <w:t>st</w:t>
      </w:r>
      <w:r w:rsidR="00B26A8D">
        <w:rPr>
          <w:rFonts w:cs="Times New Roman"/>
          <w:color w:val="1F1F1F"/>
          <w:szCs w:val="24"/>
          <w:lang w:val="en-ZW"/>
        </w:rPr>
        <w:t xml:space="preserve"> respondent. </w:t>
      </w:r>
    </w:p>
    <w:p w:rsidR="005C7A2C" w:rsidRPr="00411170" w:rsidRDefault="00CF3F87" w:rsidP="00D81CB7">
      <w:pPr>
        <w:ind w:firstLine="720"/>
        <w:jc w:val="both"/>
        <w:rPr>
          <w:szCs w:val="24"/>
        </w:rPr>
      </w:pPr>
      <w:r w:rsidRPr="00411170">
        <w:rPr>
          <w:rFonts w:cs="Times New Roman"/>
          <w:color w:val="1F1F1F"/>
          <w:szCs w:val="24"/>
          <w:lang w:val="en-ZW"/>
        </w:rPr>
        <w:t xml:space="preserve">Applicant </w:t>
      </w:r>
      <w:r w:rsidR="00DB5C48" w:rsidRPr="00411170">
        <w:rPr>
          <w:szCs w:val="24"/>
        </w:rPr>
        <w:t>was employed by the 1</w:t>
      </w:r>
      <w:r w:rsidR="00DB5C48" w:rsidRPr="00411170">
        <w:rPr>
          <w:szCs w:val="24"/>
          <w:vertAlign w:val="superscript"/>
        </w:rPr>
        <w:t>st</w:t>
      </w:r>
      <w:r w:rsidR="00DB5C48" w:rsidRPr="00411170">
        <w:rPr>
          <w:szCs w:val="24"/>
        </w:rPr>
        <w:t xml:space="preserve"> respondent as a branch manager. </w:t>
      </w:r>
      <w:r w:rsidR="00C26AC5" w:rsidRPr="00411170">
        <w:rPr>
          <w:szCs w:val="24"/>
        </w:rPr>
        <w:t xml:space="preserve">He was also its Secretary. </w:t>
      </w:r>
      <w:r w:rsidR="00AC6DF2" w:rsidRPr="00411170">
        <w:rPr>
          <w:szCs w:val="24"/>
        </w:rPr>
        <w:t xml:space="preserve">A dispute arose between applicant </w:t>
      </w:r>
      <w:r w:rsidR="005C7A2C" w:rsidRPr="00411170">
        <w:rPr>
          <w:szCs w:val="24"/>
        </w:rPr>
        <w:t>and 1</w:t>
      </w:r>
      <w:r w:rsidR="005C7A2C" w:rsidRPr="00411170">
        <w:rPr>
          <w:szCs w:val="24"/>
          <w:vertAlign w:val="superscript"/>
        </w:rPr>
        <w:t>st</w:t>
      </w:r>
      <w:r w:rsidR="005C7A2C" w:rsidRPr="00411170">
        <w:rPr>
          <w:szCs w:val="24"/>
        </w:rPr>
        <w:t xml:space="preserve"> respondent’</w:t>
      </w:r>
      <w:r w:rsidR="00A11667" w:rsidRPr="00411170">
        <w:rPr>
          <w:szCs w:val="24"/>
        </w:rPr>
        <w:t xml:space="preserve">s directors and shareholders, </w:t>
      </w:r>
      <w:r w:rsidR="0009181B">
        <w:rPr>
          <w:szCs w:val="24"/>
        </w:rPr>
        <w:t xml:space="preserve">in the main turning on whether </w:t>
      </w:r>
      <w:r w:rsidR="00746029">
        <w:rPr>
          <w:szCs w:val="24"/>
        </w:rPr>
        <w:t xml:space="preserve">or not </w:t>
      </w:r>
      <w:r w:rsidR="0009181B">
        <w:rPr>
          <w:szCs w:val="24"/>
        </w:rPr>
        <w:t>applicant</w:t>
      </w:r>
      <w:r w:rsidR="00746029">
        <w:rPr>
          <w:szCs w:val="24"/>
        </w:rPr>
        <w:t xml:space="preserve"> had</w:t>
      </w:r>
      <w:r w:rsidR="00A11667" w:rsidRPr="00411170">
        <w:rPr>
          <w:szCs w:val="24"/>
        </w:rPr>
        <w:t xml:space="preserve"> authority to indigenize</w:t>
      </w:r>
      <w:r w:rsidR="00746029">
        <w:rPr>
          <w:szCs w:val="24"/>
        </w:rPr>
        <w:t xml:space="preserve"> the company</w:t>
      </w:r>
      <w:r w:rsidR="00A11667" w:rsidRPr="00411170">
        <w:rPr>
          <w:szCs w:val="24"/>
        </w:rPr>
        <w:t xml:space="preserve"> </w:t>
      </w:r>
      <w:r w:rsidR="00677FD7">
        <w:rPr>
          <w:szCs w:val="24"/>
        </w:rPr>
        <w:t xml:space="preserve">i.e. to change the directors and shareholders of </w:t>
      </w:r>
      <w:r w:rsidR="00A11667" w:rsidRPr="00411170">
        <w:rPr>
          <w:szCs w:val="24"/>
        </w:rPr>
        <w:t xml:space="preserve">the company. </w:t>
      </w:r>
      <w:r w:rsidR="002F2859" w:rsidRPr="00411170">
        <w:rPr>
          <w:szCs w:val="24"/>
        </w:rPr>
        <w:t xml:space="preserve">As a result of the </w:t>
      </w:r>
      <w:r w:rsidR="00614202" w:rsidRPr="00411170">
        <w:rPr>
          <w:szCs w:val="24"/>
        </w:rPr>
        <w:t xml:space="preserve">disputed </w:t>
      </w:r>
      <w:r w:rsidR="002F2859" w:rsidRPr="00411170">
        <w:rPr>
          <w:szCs w:val="24"/>
        </w:rPr>
        <w:t>indigenization of the 1</w:t>
      </w:r>
      <w:r w:rsidR="002F2859" w:rsidRPr="00411170">
        <w:rPr>
          <w:szCs w:val="24"/>
          <w:vertAlign w:val="superscript"/>
        </w:rPr>
        <w:t>st</w:t>
      </w:r>
      <w:r w:rsidR="002F2859" w:rsidRPr="00411170">
        <w:rPr>
          <w:szCs w:val="24"/>
        </w:rPr>
        <w:t xml:space="preserve"> respondent</w:t>
      </w:r>
      <w:r w:rsidR="001A0EBA">
        <w:rPr>
          <w:szCs w:val="24"/>
        </w:rPr>
        <w:t>,</w:t>
      </w:r>
      <w:r w:rsidR="002F2859" w:rsidRPr="00411170">
        <w:rPr>
          <w:szCs w:val="24"/>
        </w:rPr>
        <w:t xml:space="preserve"> </w:t>
      </w:r>
      <w:r w:rsidR="00614202" w:rsidRPr="00411170">
        <w:rPr>
          <w:szCs w:val="24"/>
        </w:rPr>
        <w:t xml:space="preserve">applicant </w:t>
      </w:r>
      <w:r w:rsidR="00505A7C" w:rsidRPr="00411170">
        <w:rPr>
          <w:szCs w:val="24"/>
        </w:rPr>
        <w:t>became</w:t>
      </w:r>
      <w:r w:rsidR="002F2859" w:rsidRPr="00411170">
        <w:rPr>
          <w:szCs w:val="24"/>
        </w:rPr>
        <w:t xml:space="preserve"> a shareholder</w:t>
      </w:r>
      <w:r w:rsidR="004B2B32" w:rsidRPr="00411170">
        <w:rPr>
          <w:szCs w:val="24"/>
        </w:rPr>
        <w:t xml:space="preserve"> through trusts that he created. He also made two employ</w:t>
      </w:r>
      <w:r w:rsidR="00505A7C" w:rsidRPr="00411170">
        <w:rPr>
          <w:szCs w:val="24"/>
        </w:rPr>
        <w:t xml:space="preserve">ees Ncube and </w:t>
      </w:r>
      <w:proofErr w:type="spellStart"/>
      <w:r w:rsidR="00505A7C" w:rsidRPr="00411170">
        <w:rPr>
          <w:szCs w:val="24"/>
        </w:rPr>
        <w:t>Lunga</w:t>
      </w:r>
      <w:proofErr w:type="spellEnd"/>
      <w:r w:rsidR="00505A7C" w:rsidRPr="00411170">
        <w:rPr>
          <w:szCs w:val="24"/>
        </w:rPr>
        <w:t xml:space="preserve"> directors in</w:t>
      </w:r>
      <w:r w:rsidR="000B6509">
        <w:rPr>
          <w:szCs w:val="24"/>
        </w:rPr>
        <w:t xml:space="preserve"> the company</w:t>
      </w:r>
      <w:r w:rsidR="004B2B32" w:rsidRPr="00411170">
        <w:rPr>
          <w:szCs w:val="24"/>
        </w:rPr>
        <w:t xml:space="preserve">. </w:t>
      </w:r>
    </w:p>
    <w:p w:rsidR="004D7FDF" w:rsidRPr="00316ABD" w:rsidRDefault="00505A7C" w:rsidP="00DB1DA7">
      <w:pPr>
        <w:ind w:firstLine="720"/>
        <w:jc w:val="both"/>
        <w:rPr>
          <w:rFonts w:cs="Times New Roman"/>
          <w:color w:val="1F1F1F"/>
          <w:szCs w:val="24"/>
          <w:lang w:val="en-ZW"/>
        </w:rPr>
      </w:pPr>
      <w:r>
        <w:rPr>
          <w:sz w:val="23"/>
          <w:szCs w:val="23"/>
        </w:rPr>
        <w:t>Aggrieved by what it considered applicant</w:t>
      </w:r>
      <w:r w:rsidR="008D3F91">
        <w:rPr>
          <w:sz w:val="23"/>
          <w:szCs w:val="23"/>
        </w:rPr>
        <w:t>’s</w:t>
      </w:r>
      <w:r>
        <w:rPr>
          <w:sz w:val="23"/>
          <w:szCs w:val="23"/>
        </w:rPr>
        <w:t xml:space="preserve"> misconduct </w:t>
      </w:r>
      <w:r w:rsidR="008D3F91">
        <w:rPr>
          <w:sz w:val="23"/>
          <w:szCs w:val="23"/>
        </w:rPr>
        <w:t>the company</w:t>
      </w:r>
      <w:r w:rsidR="00F568A5">
        <w:rPr>
          <w:sz w:val="23"/>
          <w:szCs w:val="23"/>
        </w:rPr>
        <w:t xml:space="preserve"> o</w:t>
      </w:r>
      <w:r w:rsidR="00F678BB">
        <w:rPr>
          <w:sz w:val="23"/>
          <w:szCs w:val="23"/>
        </w:rPr>
        <w:t>n th</w:t>
      </w:r>
      <w:r w:rsidR="008D3F91">
        <w:rPr>
          <w:sz w:val="23"/>
          <w:szCs w:val="23"/>
        </w:rPr>
        <w:t>e 29 September 2015</w:t>
      </w:r>
      <w:r w:rsidR="00F568A5">
        <w:rPr>
          <w:sz w:val="23"/>
          <w:szCs w:val="23"/>
        </w:rPr>
        <w:t xml:space="preserve"> </w:t>
      </w:r>
      <w:r w:rsidR="000A3138">
        <w:rPr>
          <w:sz w:val="23"/>
          <w:szCs w:val="23"/>
        </w:rPr>
        <w:t>convened a disciplina</w:t>
      </w:r>
      <w:r w:rsidR="00F568A5">
        <w:rPr>
          <w:sz w:val="23"/>
          <w:szCs w:val="23"/>
        </w:rPr>
        <w:t>ry hearing against him</w:t>
      </w:r>
      <w:r w:rsidR="000A3138">
        <w:rPr>
          <w:sz w:val="23"/>
          <w:szCs w:val="23"/>
        </w:rPr>
        <w:t>. A number of alleg</w:t>
      </w:r>
      <w:r w:rsidR="008D3F91">
        <w:rPr>
          <w:sz w:val="23"/>
          <w:szCs w:val="23"/>
        </w:rPr>
        <w:t>ations were levelled against the applicant</w:t>
      </w:r>
      <w:r w:rsidR="000A3138">
        <w:rPr>
          <w:sz w:val="23"/>
          <w:szCs w:val="23"/>
        </w:rPr>
        <w:t xml:space="preserve">. </w:t>
      </w:r>
      <w:r w:rsidR="005142EB">
        <w:rPr>
          <w:sz w:val="23"/>
          <w:szCs w:val="23"/>
        </w:rPr>
        <w:t>The disciplinar</w:t>
      </w:r>
      <w:r w:rsidR="00326947">
        <w:rPr>
          <w:sz w:val="23"/>
          <w:szCs w:val="23"/>
        </w:rPr>
        <w:t>y committee found that he</w:t>
      </w:r>
      <w:r w:rsidR="005142EB">
        <w:rPr>
          <w:sz w:val="23"/>
          <w:szCs w:val="23"/>
        </w:rPr>
        <w:t xml:space="preserve"> had breached </w:t>
      </w:r>
      <w:r w:rsidR="00616A7F">
        <w:rPr>
          <w:sz w:val="23"/>
          <w:szCs w:val="23"/>
        </w:rPr>
        <w:t xml:space="preserve">section 4(a) of the National </w:t>
      </w:r>
      <w:r w:rsidR="003C24F5">
        <w:rPr>
          <w:sz w:val="23"/>
          <w:szCs w:val="23"/>
        </w:rPr>
        <w:t>Conduct, S.I. 15/06 and was on the evidence</w:t>
      </w:r>
      <w:r w:rsidR="006907A2">
        <w:rPr>
          <w:sz w:val="23"/>
          <w:szCs w:val="23"/>
        </w:rPr>
        <w:t xml:space="preserve"> before it</w:t>
      </w:r>
      <w:r w:rsidR="003C24F5">
        <w:rPr>
          <w:sz w:val="23"/>
          <w:szCs w:val="23"/>
        </w:rPr>
        <w:t xml:space="preserve"> guilty of the following: appointing himself as director without authority; amending the Memorandum and Articles </w:t>
      </w:r>
      <w:r w:rsidR="005D5AA0">
        <w:rPr>
          <w:sz w:val="23"/>
          <w:szCs w:val="23"/>
        </w:rPr>
        <w:t xml:space="preserve">of Association without authority; failing to update annual returns and failing to submit annual returns from 2001 to 2014; </w:t>
      </w:r>
      <w:r w:rsidR="006907A2">
        <w:rPr>
          <w:sz w:val="23"/>
          <w:szCs w:val="23"/>
        </w:rPr>
        <w:t xml:space="preserve">and </w:t>
      </w:r>
      <w:r w:rsidR="00235B80">
        <w:rPr>
          <w:sz w:val="23"/>
          <w:szCs w:val="23"/>
        </w:rPr>
        <w:t>without authority of shareholders transferred shares on the 14 April 2014; without authority took possession of the employer’s property and also abused some funds; unprocedurally</w:t>
      </w:r>
      <w:r w:rsidR="00ED6C6F">
        <w:rPr>
          <w:sz w:val="23"/>
          <w:szCs w:val="23"/>
        </w:rPr>
        <w:t xml:space="preserve"> disposed of the company vehicles and did not follow given instructions of the disposal of the vehicles </w:t>
      </w:r>
      <w:r w:rsidR="00D766B9">
        <w:rPr>
          <w:sz w:val="23"/>
          <w:szCs w:val="23"/>
        </w:rPr>
        <w:t xml:space="preserve">and supplied falsified documents; </w:t>
      </w:r>
      <w:r w:rsidR="00347BCB">
        <w:rPr>
          <w:sz w:val="23"/>
          <w:szCs w:val="23"/>
        </w:rPr>
        <w:t xml:space="preserve">and </w:t>
      </w:r>
      <w:r w:rsidR="00D766B9">
        <w:rPr>
          <w:sz w:val="23"/>
          <w:szCs w:val="23"/>
        </w:rPr>
        <w:t>conducted himself dishonestly over several given financial transactions and other business dealings, resulti</w:t>
      </w:r>
      <w:r w:rsidR="003F6DE7">
        <w:rPr>
          <w:sz w:val="23"/>
          <w:szCs w:val="23"/>
        </w:rPr>
        <w:t xml:space="preserve">ng in prejudice to the business. </w:t>
      </w:r>
      <w:r w:rsidR="00235B80">
        <w:rPr>
          <w:sz w:val="23"/>
          <w:szCs w:val="23"/>
        </w:rPr>
        <w:t xml:space="preserve"> </w:t>
      </w:r>
      <w:r w:rsidR="00C51000">
        <w:rPr>
          <w:sz w:val="23"/>
          <w:szCs w:val="23"/>
        </w:rPr>
        <w:t xml:space="preserve">Consequently he was dismissed from employment with effect from the 30 September 2015. </w:t>
      </w:r>
      <w:r w:rsidR="00914D8F">
        <w:rPr>
          <w:sz w:val="23"/>
          <w:szCs w:val="23"/>
        </w:rPr>
        <w:t xml:space="preserve">He was ordered to surrender all company assets and advised </w:t>
      </w:r>
      <w:r w:rsidR="0069780D">
        <w:rPr>
          <w:sz w:val="23"/>
          <w:szCs w:val="23"/>
        </w:rPr>
        <w:t xml:space="preserve">to approach a Labour Officer </w:t>
      </w:r>
      <w:r w:rsidR="00B11C9F">
        <w:rPr>
          <w:sz w:val="23"/>
          <w:szCs w:val="23"/>
        </w:rPr>
        <w:t xml:space="preserve">should </w:t>
      </w:r>
      <w:r w:rsidR="009D7579">
        <w:rPr>
          <w:sz w:val="23"/>
          <w:szCs w:val="23"/>
        </w:rPr>
        <w:t xml:space="preserve">he </w:t>
      </w:r>
      <w:r w:rsidR="00B11C9F">
        <w:rPr>
          <w:sz w:val="23"/>
          <w:szCs w:val="23"/>
        </w:rPr>
        <w:t xml:space="preserve">be aggrieved by the decision of the disciplinary committee. </w:t>
      </w:r>
      <w:r w:rsidR="001F2449">
        <w:rPr>
          <w:sz w:val="23"/>
          <w:szCs w:val="23"/>
        </w:rPr>
        <w:t>Applicant did not surre</w:t>
      </w:r>
      <w:r w:rsidR="007B1FF7">
        <w:rPr>
          <w:sz w:val="23"/>
          <w:szCs w:val="23"/>
        </w:rPr>
        <w:t xml:space="preserve">nder company assets as directed the disciplinary committee. </w:t>
      </w:r>
      <w:r w:rsidR="001F2449">
        <w:rPr>
          <w:sz w:val="23"/>
          <w:szCs w:val="23"/>
        </w:rPr>
        <w:t xml:space="preserve"> </w:t>
      </w:r>
    </w:p>
    <w:p w:rsidR="00175397" w:rsidRDefault="003276BA" w:rsidP="009C2691">
      <w:pPr>
        <w:jc w:val="both"/>
        <w:rPr>
          <w:sz w:val="23"/>
          <w:szCs w:val="23"/>
        </w:rPr>
      </w:pPr>
      <w:r>
        <w:rPr>
          <w:sz w:val="23"/>
          <w:szCs w:val="23"/>
        </w:rPr>
        <w:tab/>
      </w:r>
      <w:r w:rsidR="00D542DD">
        <w:rPr>
          <w:sz w:val="23"/>
          <w:szCs w:val="23"/>
        </w:rPr>
        <w:t xml:space="preserve">In 2016 respondents </w:t>
      </w:r>
      <w:r w:rsidR="00052351">
        <w:rPr>
          <w:sz w:val="23"/>
          <w:szCs w:val="23"/>
        </w:rPr>
        <w:t xml:space="preserve">(as applicants) </w:t>
      </w:r>
      <w:r w:rsidR="00D542DD">
        <w:rPr>
          <w:sz w:val="23"/>
          <w:szCs w:val="23"/>
        </w:rPr>
        <w:t xml:space="preserve">sued out a court application </w:t>
      </w:r>
      <w:r w:rsidR="00A45C18">
        <w:rPr>
          <w:sz w:val="23"/>
          <w:szCs w:val="23"/>
        </w:rPr>
        <w:t xml:space="preserve">(HC 2693/15) </w:t>
      </w:r>
      <w:r w:rsidR="00D542DD">
        <w:rPr>
          <w:sz w:val="23"/>
          <w:szCs w:val="23"/>
        </w:rPr>
        <w:t xml:space="preserve">wherein applicant was </w:t>
      </w:r>
      <w:r w:rsidR="00DC39C8">
        <w:rPr>
          <w:sz w:val="23"/>
          <w:szCs w:val="23"/>
        </w:rPr>
        <w:t>the first</w:t>
      </w:r>
      <w:r w:rsidR="00D542DD">
        <w:rPr>
          <w:sz w:val="23"/>
          <w:szCs w:val="23"/>
        </w:rPr>
        <w:t xml:space="preserve"> amongst other eleven respondents.</w:t>
      </w:r>
      <w:r w:rsidR="00DC39C8">
        <w:rPr>
          <w:sz w:val="23"/>
          <w:szCs w:val="23"/>
        </w:rPr>
        <w:t xml:space="preserve"> </w:t>
      </w:r>
      <w:r w:rsidR="00181A1F">
        <w:rPr>
          <w:sz w:val="23"/>
          <w:szCs w:val="23"/>
        </w:rPr>
        <w:t>Applicant (as 1</w:t>
      </w:r>
      <w:r w:rsidR="00181A1F" w:rsidRPr="00181A1F">
        <w:rPr>
          <w:sz w:val="23"/>
          <w:szCs w:val="23"/>
          <w:vertAlign w:val="superscript"/>
        </w:rPr>
        <w:t>st</w:t>
      </w:r>
      <w:r w:rsidR="00181A1F">
        <w:rPr>
          <w:sz w:val="23"/>
          <w:szCs w:val="23"/>
        </w:rPr>
        <w:t xml:space="preserve"> respondent) opposed the application while t</w:t>
      </w:r>
      <w:r w:rsidR="00E84FE3">
        <w:rPr>
          <w:sz w:val="23"/>
          <w:szCs w:val="23"/>
        </w:rPr>
        <w:t>he other respondent</w:t>
      </w:r>
      <w:r w:rsidR="0009490E">
        <w:rPr>
          <w:sz w:val="23"/>
          <w:szCs w:val="23"/>
        </w:rPr>
        <w:t>s did not</w:t>
      </w:r>
      <w:r w:rsidR="00E84FE3">
        <w:rPr>
          <w:sz w:val="23"/>
          <w:szCs w:val="23"/>
        </w:rPr>
        <w:t xml:space="preserve">. </w:t>
      </w:r>
      <w:r w:rsidR="005463BD">
        <w:rPr>
          <w:sz w:val="23"/>
          <w:szCs w:val="23"/>
        </w:rPr>
        <w:t>Applicant</w:t>
      </w:r>
      <w:r w:rsidR="00C83243">
        <w:rPr>
          <w:sz w:val="23"/>
          <w:szCs w:val="23"/>
        </w:rPr>
        <w:t xml:space="preserve"> in HC 2693 /15 took a number of points </w:t>
      </w:r>
      <w:r w:rsidR="00C83243" w:rsidRPr="00574206">
        <w:rPr>
          <w:i/>
          <w:sz w:val="23"/>
          <w:szCs w:val="23"/>
        </w:rPr>
        <w:t>in limine,</w:t>
      </w:r>
      <w:r w:rsidR="00C83243">
        <w:rPr>
          <w:sz w:val="23"/>
          <w:szCs w:val="23"/>
        </w:rPr>
        <w:t xml:space="preserve"> </w:t>
      </w:r>
      <w:r w:rsidR="005463BD">
        <w:rPr>
          <w:sz w:val="23"/>
          <w:szCs w:val="23"/>
        </w:rPr>
        <w:t>and after argument</w:t>
      </w:r>
      <w:r w:rsidR="00574206">
        <w:rPr>
          <w:sz w:val="23"/>
          <w:szCs w:val="23"/>
        </w:rPr>
        <w:t xml:space="preserve"> in </w:t>
      </w:r>
      <w:r w:rsidR="00574206" w:rsidRPr="00574206">
        <w:rPr>
          <w:i/>
          <w:sz w:val="23"/>
          <w:szCs w:val="23"/>
        </w:rPr>
        <w:t>Warman Zimbabwe (Pvt) Ltd &amp; Ors v Stewart Dhliwayo &amp; Ors</w:t>
      </w:r>
      <w:r w:rsidR="00574206">
        <w:rPr>
          <w:sz w:val="23"/>
          <w:szCs w:val="23"/>
        </w:rPr>
        <w:t xml:space="preserve"> HB 175/16</w:t>
      </w:r>
      <w:r w:rsidR="005C2DBF">
        <w:rPr>
          <w:sz w:val="23"/>
          <w:szCs w:val="23"/>
        </w:rPr>
        <w:t xml:space="preserve"> th</w:t>
      </w:r>
      <w:r w:rsidR="00273371">
        <w:rPr>
          <w:sz w:val="23"/>
          <w:szCs w:val="23"/>
        </w:rPr>
        <w:t>is court ordered that the matter</w:t>
      </w:r>
      <w:r w:rsidR="005C2DBF">
        <w:rPr>
          <w:sz w:val="23"/>
          <w:szCs w:val="23"/>
        </w:rPr>
        <w:t xml:space="preserve"> be referred to trial and the papers filed of record </w:t>
      </w:r>
      <w:r w:rsidR="00273371">
        <w:rPr>
          <w:sz w:val="23"/>
          <w:szCs w:val="23"/>
        </w:rPr>
        <w:t xml:space="preserve">to </w:t>
      </w:r>
      <w:r w:rsidR="005C2DBF">
        <w:rPr>
          <w:sz w:val="23"/>
          <w:szCs w:val="23"/>
        </w:rPr>
        <w:t xml:space="preserve">stand as pleadings. </w:t>
      </w:r>
    </w:p>
    <w:p w:rsidR="00861A59" w:rsidRDefault="00175397" w:rsidP="00175397">
      <w:pPr>
        <w:ind w:firstLine="720"/>
        <w:jc w:val="both"/>
        <w:rPr>
          <w:sz w:val="23"/>
          <w:szCs w:val="23"/>
        </w:rPr>
      </w:pPr>
      <w:proofErr w:type="spellStart"/>
      <w:r>
        <w:rPr>
          <w:sz w:val="23"/>
          <w:szCs w:val="23"/>
        </w:rPr>
        <w:t>Ininitally</w:t>
      </w:r>
      <w:proofErr w:type="spellEnd"/>
      <w:r w:rsidR="00CB6695">
        <w:rPr>
          <w:sz w:val="23"/>
          <w:szCs w:val="23"/>
        </w:rPr>
        <w:t xml:space="preserve"> the trial </w:t>
      </w:r>
      <w:r>
        <w:rPr>
          <w:sz w:val="23"/>
          <w:szCs w:val="23"/>
        </w:rPr>
        <w:t xml:space="preserve">in HC 2693/15 </w:t>
      </w:r>
      <w:r w:rsidR="00CB6695">
        <w:rPr>
          <w:sz w:val="23"/>
          <w:szCs w:val="23"/>
        </w:rPr>
        <w:t xml:space="preserve">was set-down for the 12 to 15 March 2019, </w:t>
      </w:r>
      <w:r>
        <w:rPr>
          <w:sz w:val="23"/>
          <w:szCs w:val="23"/>
        </w:rPr>
        <w:t>it</w:t>
      </w:r>
      <w:r w:rsidR="00027C5A">
        <w:rPr>
          <w:sz w:val="23"/>
          <w:szCs w:val="23"/>
        </w:rPr>
        <w:t xml:space="preserve"> did not commence</w:t>
      </w:r>
      <w:r w:rsidR="00C92C46">
        <w:rPr>
          <w:sz w:val="23"/>
          <w:szCs w:val="23"/>
        </w:rPr>
        <w:t xml:space="preserve"> and the matter was removed from the roll. It was again set down for the 17</w:t>
      </w:r>
      <w:r w:rsidR="0095044C">
        <w:rPr>
          <w:sz w:val="23"/>
          <w:szCs w:val="23"/>
        </w:rPr>
        <w:t xml:space="preserve"> July 2019, </w:t>
      </w:r>
      <w:r w:rsidR="009C25D6">
        <w:rPr>
          <w:sz w:val="23"/>
          <w:szCs w:val="23"/>
        </w:rPr>
        <w:t xml:space="preserve">and </w:t>
      </w:r>
      <w:r w:rsidR="00027C5A">
        <w:rPr>
          <w:sz w:val="23"/>
          <w:szCs w:val="23"/>
        </w:rPr>
        <w:t xml:space="preserve">again </w:t>
      </w:r>
      <w:r w:rsidR="0095044C">
        <w:rPr>
          <w:sz w:val="23"/>
          <w:szCs w:val="23"/>
        </w:rPr>
        <w:t>on this date applicant applied for a postponement of the matter and his application was dismissed. The co</w:t>
      </w:r>
      <w:r w:rsidR="009C25D6">
        <w:rPr>
          <w:sz w:val="23"/>
          <w:szCs w:val="23"/>
        </w:rPr>
        <w:t>urt ordered that the trial should</w:t>
      </w:r>
      <w:r w:rsidR="0095044C">
        <w:rPr>
          <w:sz w:val="23"/>
          <w:szCs w:val="23"/>
        </w:rPr>
        <w:t xml:space="preserve"> start the following day i.e. 18 July 2018 at 10 O’clock. </w:t>
      </w:r>
      <w:r w:rsidR="00052351">
        <w:rPr>
          <w:sz w:val="23"/>
          <w:szCs w:val="23"/>
        </w:rPr>
        <w:t>On the 18 July 2018</w:t>
      </w:r>
      <w:r w:rsidR="00F70388">
        <w:rPr>
          <w:sz w:val="23"/>
          <w:szCs w:val="23"/>
        </w:rPr>
        <w:t xml:space="preserve"> </w:t>
      </w:r>
      <w:r w:rsidR="00C93993">
        <w:rPr>
          <w:sz w:val="23"/>
          <w:szCs w:val="23"/>
        </w:rPr>
        <w:t xml:space="preserve">there was no appearance for the applicant </w:t>
      </w:r>
      <w:r w:rsidR="00083AAE">
        <w:rPr>
          <w:sz w:val="23"/>
          <w:szCs w:val="23"/>
        </w:rPr>
        <w:t xml:space="preserve">and default judgment was </w:t>
      </w:r>
      <w:r w:rsidR="00F70388">
        <w:rPr>
          <w:sz w:val="23"/>
          <w:szCs w:val="23"/>
        </w:rPr>
        <w:t>granted</w:t>
      </w:r>
      <w:r w:rsidR="00083AAE">
        <w:rPr>
          <w:sz w:val="23"/>
          <w:szCs w:val="23"/>
        </w:rPr>
        <w:t xml:space="preserve"> against the </w:t>
      </w:r>
      <w:r w:rsidR="009C25D6">
        <w:rPr>
          <w:sz w:val="23"/>
          <w:szCs w:val="23"/>
        </w:rPr>
        <w:t xml:space="preserve">all the </w:t>
      </w:r>
      <w:r w:rsidR="00083AAE">
        <w:rPr>
          <w:sz w:val="23"/>
          <w:szCs w:val="23"/>
        </w:rPr>
        <w:t>respondents.  The</w:t>
      </w:r>
      <w:r w:rsidR="00F70388">
        <w:rPr>
          <w:sz w:val="23"/>
          <w:szCs w:val="23"/>
        </w:rPr>
        <w:t xml:space="preserve"> default judgment </w:t>
      </w:r>
      <w:r w:rsidR="00083AAE">
        <w:rPr>
          <w:sz w:val="23"/>
          <w:szCs w:val="23"/>
        </w:rPr>
        <w:t xml:space="preserve">is </w:t>
      </w:r>
      <w:r w:rsidR="00F70388">
        <w:rPr>
          <w:sz w:val="23"/>
          <w:szCs w:val="23"/>
        </w:rPr>
        <w:t xml:space="preserve">couched in the flowing terms: </w:t>
      </w:r>
    </w:p>
    <w:p w:rsidR="00F70388" w:rsidRDefault="009C68BA" w:rsidP="00F70388">
      <w:pPr>
        <w:pStyle w:val="ListParagraph"/>
        <w:numPr>
          <w:ilvl w:val="0"/>
          <w:numId w:val="1"/>
        </w:numPr>
        <w:jc w:val="both"/>
        <w:rPr>
          <w:sz w:val="23"/>
          <w:szCs w:val="23"/>
        </w:rPr>
      </w:pPr>
      <w:r>
        <w:rPr>
          <w:sz w:val="23"/>
          <w:szCs w:val="23"/>
        </w:rPr>
        <w:t>The indigenization of 1</w:t>
      </w:r>
      <w:r w:rsidRPr="009C68BA">
        <w:rPr>
          <w:sz w:val="23"/>
          <w:szCs w:val="23"/>
          <w:vertAlign w:val="superscript"/>
        </w:rPr>
        <w:t>st</w:t>
      </w:r>
      <w:r>
        <w:rPr>
          <w:sz w:val="23"/>
          <w:szCs w:val="23"/>
        </w:rPr>
        <w:t xml:space="preserve"> plaintiff which was based on an unauthorized indigenization plan submitted by 1</w:t>
      </w:r>
      <w:r w:rsidRPr="009C68BA">
        <w:rPr>
          <w:sz w:val="23"/>
          <w:szCs w:val="23"/>
          <w:vertAlign w:val="superscript"/>
        </w:rPr>
        <w:t>st</w:t>
      </w:r>
      <w:r>
        <w:rPr>
          <w:sz w:val="23"/>
          <w:szCs w:val="23"/>
        </w:rPr>
        <w:t xml:space="preserve"> defendant </w:t>
      </w:r>
      <w:r w:rsidR="00492B5A">
        <w:rPr>
          <w:sz w:val="23"/>
          <w:szCs w:val="23"/>
        </w:rPr>
        <w:t>be and is hereby set aside and the Compliance Certificate issued by 4</w:t>
      </w:r>
      <w:r w:rsidR="00492B5A" w:rsidRPr="00492B5A">
        <w:rPr>
          <w:sz w:val="23"/>
          <w:szCs w:val="23"/>
          <w:vertAlign w:val="superscript"/>
        </w:rPr>
        <w:t>th</w:t>
      </w:r>
      <w:r w:rsidR="00492B5A">
        <w:rPr>
          <w:sz w:val="23"/>
          <w:szCs w:val="23"/>
        </w:rPr>
        <w:t xml:space="preserve"> respondent defendant on the 1</w:t>
      </w:r>
      <w:r w:rsidR="00492B5A" w:rsidRPr="00492B5A">
        <w:rPr>
          <w:sz w:val="23"/>
          <w:szCs w:val="23"/>
          <w:vertAlign w:val="superscript"/>
        </w:rPr>
        <w:t>st</w:t>
      </w:r>
      <w:r w:rsidR="00492B5A">
        <w:rPr>
          <w:sz w:val="23"/>
          <w:szCs w:val="23"/>
        </w:rPr>
        <w:t xml:space="preserve"> January 2015 be and is hereby cancelled. </w:t>
      </w:r>
    </w:p>
    <w:p w:rsidR="00E61CE4" w:rsidRDefault="00E61CE4" w:rsidP="00F70388">
      <w:pPr>
        <w:pStyle w:val="ListParagraph"/>
        <w:numPr>
          <w:ilvl w:val="0"/>
          <w:numId w:val="1"/>
        </w:numPr>
        <w:jc w:val="both"/>
        <w:rPr>
          <w:sz w:val="23"/>
          <w:szCs w:val="23"/>
        </w:rPr>
      </w:pPr>
      <w:r>
        <w:rPr>
          <w:sz w:val="23"/>
          <w:szCs w:val="23"/>
        </w:rPr>
        <w:t>The appointment of 1</w:t>
      </w:r>
      <w:r w:rsidRPr="00E61CE4">
        <w:rPr>
          <w:sz w:val="23"/>
          <w:szCs w:val="23"/>
          <w:vertAlign w:val="superscript"/>
        </w:rPr>
        <w:t>st</w:t>
      </w:r>
      <w:r>
        <w:rPr>
          <w:sz w:val="23"/>
          <w:szCs w:val="23"/>
        </w:rPr>
        <w:t>, 2</w:t>
      </w:r>
      <w:r w:rsidRPr="00E61CE4">
        <w:rPr>
          <w:sz w:val="23"/>
          <w:szCs w:val="23"/>
          <w:vertAlign w:val="superscript"/>
        </w:rPr>
        <w:t>nd</w:t>
      </w:r>
      <w:r>
        <w:rPr>
          <w:sz w:val="23"/>
          <w:szCs w:val="23"/>
        </w:rPr>
        <w:t xml:space="preserve"> and 3</w:t>
      </w:r>
      <w:r w:rsidRPr="00E61CE4">
        <w:rPr>
          <w:sz w:val="23"/>
          <w:szCs w:val="23"/>
          <w:vertAlign w:val="superscript"/>
        </w:rPr>
        <w:t>rd</w:t>
      </w:r>
      <w:r>
        <w:rPr>
          <w:sz w:val="23"/>
          <w:szCs w:val="23"/>
        </w:rPr>
        <w:t xml:space="preserve"> defendants as directors of 1</w:t>
      </w:r>
      <w:r w:rsidRPr="00E61CE4">
        <w:rPr>
          <w:sz w:val="23"/>
          <w:szCs w:val="23"/>
          <w:vertAlign w:val="superscript"/>
        </w:rPr>
        <w:t>st</w:t>
      </w:r>
      <w:r>
        <w:rPr>
          <w:sz w:val="23"/>
          <w:szCs w:val="23"/>
        </w:rPr>
        <w:t xml:space="preserve"> plaintiff is unlawful and of no effect. </w:t>
      </w:r>
    </w:p>
    <w:p w:rsidR="00E61CE4" w:rsidRDefault="00E61CE4" w:rsidP="00F70388">
      <w:pPr>
        <w:pStyle w:val="ListParagraph"/>
        <w:numPr>
          <w:ilvl w:val="0"/>
          <w:numId w:val="1"/>
        </w:numPr>
        <w:jc w:val="both"/>
        <w:rPr>
          <w:sz w:val="23"/>
          <w:szCs w:val="23"/>
        </w:rPr>
      </w:pPr>
      <w:r>
        <w:rPr>
          <w:sz w:val="23"/>
          <w:szCs w:val="23"/>
        </w:rPr>
        <w:t>The allotment of shares in 1</w:t>
      </w:r>
      <w:r w:rsidRPr="00E61CE4">
        <w:rPr>
          <w:sz w:val="23"/>
          <w:szCs w:val="23"/>
          <w:vertAlign w:val="superscript"/>
        </w:rPr>
        <w:t>st</w:t>
      </w:r>
      <w:r>
        <w:rPr>
          <w:sz w:val="23"/>
          <w:szCs w:val="23"/>
        </w:rPr>
        <w:t xml:space="preserve"> plaintiff to 9</w:t>
      </w:r>
      <w:r w:rsidRPr="00E61CE4">
        <w:rPr>
          <w:sz w:val="23"/>
          <w:szCs w:val="23"/>
          <w:vertAlign w:val="superscript"/>
        </w:rPr>
        <w:t>th</w:t>
      </w:r>
      <w:r>
        <w:rPr>
          <w:sz w:val="23"/>
          <w:szCs w:val="23"/>
        </w:rPr>
        <w:t>, 10</w:t>
      </w:r>
      <w:r w:rsidRPr="00E61CE4">
        <w:rPr>
          <w:sz w:val="23"/>
          <w:szCs w:val="23"/>
          <w:vertAlign w:val="superscript"/>
        </w:rPr>
        <w:t>th</w:t>
      </w:r>
      <w:r>
        <w:rPr>
          <w:sz w:val="23"/>
          <w:szCs w:val="23"/>
        </w:rPr>
        <w:t xml:space="preserve"> and 11</w:t>
      </w:r>
      <w:r w:rsidRPr="00E61CE4">
        <w:rPr>
          <w:sz w:val="23"/>
          <w:szCs w:val="23"/>
          <w:vertAlign w:val="superscript"/>
        </w:rPr>
        <w:t>th</w:t>
      </w:r>
      <w:r>
        <w:rPr>
          <w:sz w:val="23"/>
          <w:szCs w:val="23"/>
        </w:rPr>
        <w:t xml:space="preserve"> defendants </w:t>
      </w:r>
      <w:r w:rsidR="00165F52">
        <w:rPr>
          <w:sz w:val="23"/>
          <w:szCs w:val="23"/>
        </w:rPr>
        <w:t>is unlawful and of no force or effect.</w:t>
      </w:r>
    </w:p>
    <w:p w:rsidR="00165F52" w:rsidRDefault="00165F52" w:rsidP="00F70388">
      <w:pPr>
        <w:pStyle w:val="ListParagraph"/>
        <w:numPr>
          <w:ilvl w:val="0"/>
          <w:numId w:val="1"/>
        </w:numPr>
        <w:jc w:val="both"/>
        <w:rPr>
          <w:sz w:val="23"/>
          <w:szCs w:val="23"/>
        </w:rPr>
      </w:pPr>
      <w:r>
        <w:rPr>
          <w:sz w:val="23"/>
          <w:szCs w:val="23"/>
        </w:rPr>
        <w:t>The cancellation and substitution by 1</w:t>
      </w:r>
      <w:r w:rsidRPr="00165F52">
        <w:rPr>
          <w:sz w:val="23"/>
          <w:szCs w:val="23"/>
          <w:vertAlign w:val="superscript"/>
        </w:rPr>
        <w:t>st</w:t>
      </w:r>
      <w:r>
        <w:rPr>
          <w:sz w:val="23"/>
          <w:szCs w:val="23"/>
        </w:rPr>
        <w:t>, 2</w:t>
      </w:r>
      <w:r w:rsidRPr="00165F52">
        <w:rPr>
          <w:sz w:val="23"/>
          <w:szCs w:val="23"/>
          <w:vertAlign w:val="superscript"/>
        </w:rPr>
        <w:t>nd</w:t>
      </w:r>
      <w:r>
        <w:rPr>
          <w:sz w:val="23"/>
          <w:szCs w:val="23"/>
        </w:rPr>
        <w:t xml:space="preserve"> and 3</w:t>
      </w:r>
      <w:r w:rsidRPr="00165F52">
        <w:rPr>
          <w:sz w:val="23"/>
          <w:szCs w:val="23"/>
          <w:vertAlign w:val="superscript"/>
        </w:rPr>
        <w:t>rd</w:t>
      </w:r>
      <w:r>
        <w:rPr>
          <w:sz w:val="23"/>
          <w:szCs w:val="23"/>
        </w:rPr>
        <w:t xml:space="preserve"> defendants </w:t>
      </w:r>
      <w:r w:rsidR="00BC5A8A">
        <w:rPr>
          <w:sz w:val="23"/>
          <w:szCs w:val="23"/>
        </w:rPr>
        <w:t>of 1</w:t>
      </w:r>
      <w:r w:rsidR="00BC5A8A" w:rsidRPr="00BC5A8A">
        <w:rPr>
          <w:sz w:val="23"/>
          <w:szCs w:val="23"/>
          <w:vertAlign w:val="superscript"/>
        </w:rPr>
        <w:t>st</w:t>
      </w:r>
      <w:r w:rsidR="00BC5A8A">
        <w:rPr>
          <w:sz w:val="23"/>
          <w:szCs w:val="23"/>
        </w:rPr>
        <w:t xml:space="preserve"> plaintiff’s Articles of Association is invalid and of no force or effect.</w:t>
      </w:r>
    </w:p>
    <w:p w:rsidR="00BC5A8A" w:rsidRDefault="00BC5A8A" w:rsidP="00F70388">
      <w:pPr>
        <w:pStyle w:val="ListParagraph"/>
        <w:numPr>
          <w:ilvl w:val="0"/>
          <w:numId w:val="1"/>
        </w:numPr>
        <w:jc w:val="both"/>
        <w:rPr>
          <w:sz w:val="23"/>
          <w:szCs w:val="23"/>
        </w:rPr>
      </w:pPr>
      <w:r>
        <w:rPr>
          <w:sz w:val="23"/>
          <w:szCs w:val="23"/>
        </w:rPr>
        <w:t>4</w:t>
      </w:r>
      <w:r w:rsidRPr="00BC5A8A">
        <w:rPr>
          <w:sz w:val="23"/>
          <w:szCs w:val="23"/>
          <w:vertAlign w:val="superscript"/>
        </w:rPr>
        <w:t>th</w:t>
      </w:r>
      <w:r>
        <w:rPr>
          <w:sz w:val="23"/>
          <w:szCs w:val="23"/>
        </w:rPr>
        <w:t>, 5</w:t>
      </w:r>
      <w:r w:rsidRPr="00BC5A8A">
        <w:rPr>
          <w:sz w:val="23"/>
          <w:szCs w:val="23"/>
          <w:vertAlign w:val="superscript"/>
        </w:rPr>
        <w:t>th</w:t>
      </w:r>
      <w:r>
        <w:rPr>
          <w:sz w:val="23"/>
          <w:szCs w:val="23"/>
        </w:rPr>
        <w:t xml:space="preserve"> and 6</w:t>
      </w:r>
      <w:r w:rsidRPr="00BC5A8A">
        <w:rPr>
          <w:sz w:val="23"/>
          <w:szCs w:val="23"/>
          <w:vertAlign w:val="superscript"/>
        </w:rPr>
        <w:t>th</w:t>
      </w:r>
      <w:r>
        <w:rPr>
          <w:sz w:val="23"/>
          <w:szCs w:val="23"/>
        </w:rPr>
        <w:t xml:space="preserve"> defendants are hereby directed to remove the names of 1</w:t>
      </w:r>
      <w:r w:rsidRPr="00BC5A8A">
        <w:rPr>
          <w:sz w:val="23"/>
          <w:szCs w:val="23"/>
          <w:vertAlign w:val="superscript"/>
        </w:rPr>
        <w:t>st</w:t>
      </w:r>
      <w:r>
        <w:rPr>
          <w:sz w:val="23"/>
          <w:szCs w:val="23"/>
        </w:rPr>
        <w:t>, 2</w:t>
      </w:r>
      <w:r w:rsidRPr="00BC5A8A">
        <w:rPr>
          <w:sz w:val="23"/>
          <w:szCs w:val="23"/>
          <w:vertAlign w:val="superscript"/>
        </w:rPr>
        <w:t>nd</w:t>
      </w:r>
      <w:r>
        <w:rPr>
          <w:sz w:val="23"/>
          <w:szCs w:val="23"/>
        </w:rPr>
        <w:t xml:space="preserve"> and 3</w:t>
      </w:r>
      <w:r w:rsidRPr="00BC5A8A">
        <w:rPr>
          <w:sz w:val="23"/>
          <w:szCs w:val="23"/>
          <w:vertAlign w:val="superscript"/>
        </w:rPr>
        <w:t>rd</w:t>
      </w:r>
      <w:r>
        <w:rPr>
          <w:sz w:val="23"/>
          <w:szCs w:val="23"/>
        </w:rPr>
        <w:t xml:space="preserve"> defendants wherever their names appear as signatories </w:t>
      </w:r>
      <w:r w:rsidR="00940278">
        <w:rPr>
          <w:sz w:val="23"/>
          <w:szCs w:val="23"/>
        </w:rPr>
        <w:t>in the 1</w:t>
      </w:r>
      <w:r w:rsidR="00940278" w:rsidRPr="00940278">
        <w:rPr>
          <w:sz w:val="23"/>
          <w:szCs w:val="23"/>
          <w:vertAlign w:val="superscript"/>
        </w:rPr>
        <w:t>st</w:t>
      </w:r>
      <w:r w:rsidR="00940278">
        <w:rPr>
          <w:sz w:val="23"/>
          <w:szCs w:val="23"/>
        </w:rPr>
        <w:t xml:space="preserve"> plaintiff’s bank accounts held by them. </w:t>
      </w:r>
    </w:p>
    <w:p w:rsidR="00F773F1" w:rsidRPr="00CF3F87" w:rsidRDefault="00940278" w:rsidP="00CF3F87">
      <w:pPr>
        <w:pStyle w:val="ListParagraph"/>
        <w:numPr>
          <w:ilvl w:val="0"/>
          <w:numId w:val="1"/>
        </w:numPr>
        <w:jc w:val="both"/>
        <w:rPr>
          <w:b/>
          <w:szCs w:val="24"/>
        </w:rPr>
      </w:pPr>
      <w:r>
        <w:rPr>
          <w:sz w:val="23"/>
          <w:szCs w:val="23"/>
        </w:rPr>
        <w:t>Costs on a punitive scale against 1</w:t>
      </w:r>
      <w:r w:rsidRPr="00940278">
        <w:rPr>
          <w:sz w:val="23"/>
          <w:szCs w:val="23"/>
          <w:vertAlign w:val="superscript"/>
        </w:rPr>
        <w:t>st</w:t>
      </w:r>
      <w:r>
        <w:rPr>
          <w:sz w:val="23"/>
          <w:szCs w:val="23"/>
        </w:rPr>
        <w:t xml:space="preserve"> defendant. </w:t>
      </w:r>
    </w:p>
    <w:p w:rsidR="00F20F2E" w:rsidRDefault="006123E1" w:rsidP="00F20F2E">
      <w:pPr>
        <w:ind w:firstLine="720"/>
        <w:jc w:val="both"/>
        <w:rPr>
          <w:szCs w:val="24"/>
        </w:rPr>
      </w:pPr>
      <w:r>
        <w:rPr>
          <w:szCs w:val="24"/>
        </w:rPr>
        <w:t xml:space="preserve">It is this default judgment that applicant seeks that it be set aside by means of rescission. The application is opposed by the respondents. </w:t>
      </w:r>
      <w:r w:rsidR="00F773F1" w:rsidRPr="00F20F2E">
        <w:rPr>
          <w:szCs w:val="24"/>
        </w:rPr>
        <w:t xml:space="preserve"> </w:t>
      </w:r>
      <w:r w:rsidR="00F20F2E" w:rsidRPr="00F20F2E">
        <w:rPr>
          <w:szCs w:val="24"/>
        </w:rPr>
        <w:t>It is against this background th</w:t>
      </w:r>
      <w:r w:rsidR="00F20F2E">
        <w:rPr>
          <w:szCs w:val="24"/>
        </w:rPr>
        <w:t xml:space="preserve">at applicant on the </w:t>
      </w:r>
      <w:r w:rsidR="00CF3F87">
        <w:rPr>
          <w:szCs w:val="24"/>
        </w:rPr>
        <w:t>19 July 2019</w:t>
      </w:r>
      <w:r w:rsidR="00F20F2E" w:rsidRPr="00F20F2E">
        <w:rPr>
          <w:szCs w:val="24"/>
        </w:rPr>
        <w:t xml:space="preserve"> launched this application seeking the relief mentioned above.</w:t>
      </w:r>
    </w:p>
    <w:p w:rsidR="00114098" w:rsidRDefault="00114098" w:rsidP="00114098">
      <w:pPr>
        <w:rPr>
          <w:rFonts w:cs="Times New Roman"/>
          <w:b/>
          <w:szCs w:val="24"/>
        </w:rPr>
      </w:pPr>
      <w:r w:rsidRPr="00CF0AA4">
        <w:rPr>
          <w:rFonts w:cs="Times New Roman"/>
          <w:b/>
          <w:szCs w:val="24"/>
        </w:rPr>
        <w:t>Preliminary points</w:t>
      </w:r>
    </w:p>
    <w:p w:rsidR="00114098" w:rsidRDefault="00114098" w:rsidP="005B4405">
      <w:pPr>
        <w:autoSpaceDE w:val="0"/>
        <w:autoSpaceDN w:val="0"/>
        <w:adjustRightInd w:val="0"/>
        <w:spacing w:after="0"/>
        <w:ind w:firstLine="720"/>
        <w:jc w:val="both"/>
        <w:rPr>
          <w:rFonts w:cs="Times New Roman"/>
          <w:szCs w:val="24"/>
        </w:rPr>
      </w:pPr>
      <w:r w:rsidRPr="00FD5891">
        <w:rPr>
          <w:rFonts w:cs="Times New Roman"/>
          <w:szCs w:val="24"/>
        </w:rPr>
        <w:t xml:space="preserve"> Each side </w:t>
      </w:r>
      <w:r w:rsidR="001831E4">
        <w:rPr>
          <w:rFonts w:cs="Times New Roman"/>
          <w:szCs w:val="24"/>
        </w:rPr>
        <w:t xml:space="preserve">of the divide </w:t>
      </w:r>
      <w:r w:rsidRPr="00FD5891">
        <w:rPr>
          <w:rFonts w:cs="Times New Roman"/>
          <w:szCs w:val="24"/>
        </w:rPr>
        <w:t>made every effort to outdo the other</w:t>
      </w:r>
      <w:r>
        <w:rPr>
          <w:rFonts w:cs="Times New Roman"/>
          <w:szCs w:val="24"/>
        </w:rPr>
        <w:t xml:space="preserve"> side on</w:t>
      </w:r>
      <w:r w:rsidR="001831E4">
        <w:rPr>
          <w:rFonts w:cs="Times New Roman"/>
          <w:szCs w:val="24"/>
        </w:rPr>
        <w:t xml:space="preserve"> the basis of points </w:t>
      </w:r>
      <w:r w:rsidR="001831E4" w:rsidRPr="001831E4">
        <w:rPr>
          <w:rFonts w:cs="Times New Roman"/>
          <w:i/>
          <w:szCs w:val="24"/>
        </w:rPr>
        <w:t>in limine</w:t>
      </w:r>
      <w:r w:rsidRPr="00FD5891">
        <w:rPr>
          <w:rFonts w:cs="Times New Roman"/>
          <w:i/>
          <w:szCs w:val="24"/>
        </w:rPr>
        <w:t xml:space="preserve">. </w:t>
      </w:r>
      <w:r w:rsidRPr="00FD5891">
        <w:rPr>
          <w:rFonts w:cs="Times New Roman"/>
          <w:color w:val="1F1F1F"/>
          <w:szCs w:val="24"/>
        </w:rPr>
        <w:t>At the commencement of th</w:t>
      </w:r>
      <w:r w:rsidR="001831E4">
        <w:rPr>
          <w:rFonts w:cs="Times New Roman"/>
          <w:color w:val="1F1F1F"/>
          <w:szCs w:val="24"/>
        </w:rPr>
        <w:t xml:space="preserve">e hearing I </w:t>
      </w:r>
      <w:r w:rsidR="00536E50">
        <w:rPr>
          <w:rFonts w:cs="Times New Roman"/>
          <w:color w:val="1F1F1F"/>
          <w:szCs w:val="24"/>
        </w:rPr>
        <w:t>informed counsel</w:t>
      </w:r>
      <w:r w:rsidRPr="00FD5891">
        <w:rPr>
          <w:rFonts w:cs="Times New Roman"/>
          <w:color w:val="1F1F1F"/>
          <w:szCs w:val="24"/>
        </w:rPr>
        <w:t xml:space="preserve"> that</w:t>
      </w:r>
      <w:r w:rsidRPr="00FD5891">
        <w:rPr>
          <w:rFonts w:cs="Times New Roman"/>
          <w:szCs w:val="24"/>
        </w:rPr>
        <w:t xml:space="preserve"> I shall adopt a holistic approach. This approach avoids a piece-meal </w:t>
      </w:r>
      <w:r w:rsidR="00B23FCD">
        <w:rPr>
          <w:rFonts w:cs="Times New Roman"/>
          <w:szCs w:val="24"/>
        </w:rPr>
        <w:t>treat</w:t>
      </w:r>
      <w:r w:rsidR="00153202">
        <w:rPr>
          <w:rFonts w:cs="Times New Roman"/>
          <w:szCs w:val="24"/>
        </w:rPr>
        <w:t>ment of the matter, in that</w:t>
      </w:r>
      <w:r w:rsidRPr="00FD5891">
        <w:rPr>
          <w:rFonts w:cs="Times New Roman"/>
          <w:szCs w:val="24"/>
        </w:rPr>
        <w:t xml:space="preserve"> </w:t>
      </w:r>
      <w:r w:rsidR="00B23FCD">
        <w:rPr>
          <w:rFonts w:cs="Times New Roman"/>
          <w:szCs w:val="24"/>
        </w:rPr>
        <w:t>the</w:t>
      </w:r>
      <w:r>
        <w:rPr>
          <w:rFonts w:cs="Times New Roman"/>
          <w:szCs w:val="24"/>
        </w:rPr>
        <w:t xml:space="preserve"> points </w:t>
      </w:r>
      <w:r w:rsidR="00B23FCD" w:rsidRPr="00B23FCD">
        <w:rPr>
          <w:rFonts w:cs="Times New Roman"/>
          <w:i/>
          <w:szCs w:val="24"/>
        </w:rPr>
        <w:t>in limine</w:t>
      </w:r>
      <w:r w:rsidR="00B23FCD">
        <w:rPr>
          <w:rFonts w:cs="Times New Roman"/>
          <w:szCs w:val="24"/>
        </w:rPr>
        <w:t xml:space="preserve"> </w:t>
      </w:r>
      <w:r w:rsidRPr="00FD5891">
        <w:rPr>
          <w:rFonts w:cs="Times New Roman"/>
          <w:szCs w:val="24"/>
        </w:rPr>
        <w:t xml:space="preserve">are argued together with the merits, but when the court retires to consider the matter it may dispose of </w:t>
      </w:r>
      <w:r>
        <w:rPr>
          <w:rFonts w:cs="Times New Roman"/>
          <w:szCs w:val="24"/>
        </w:rPr>
        <w:t>the matte</w:t>
      </w:r>
      <w:r w:rsidR="00153202">
        <w:rPr>
          <w:rFonts w:cs="Times New Roman"/>
          <w:szCs w:val="24"/>
        </w:rPr>
        <w:t>r solely on the basis of the</w:t>
      </w:r>
      <w:r>
        <w:rPr>
          <w:rFonts w:cs="Times New Roman"/>
          <w:szCs w:val="24"/>
        </w:rPr>
        <w:t xml:space="preserve"> points</w:t>
      </w:r>
      <w:r w:rsidR="00153202">
        <w:rPr>
          <w:rFonts w:cs="Times New Roman"/>
          <w:szCs w:val="24"/>
        </w:rPr>
        <w:t xml:space="preserve"> </w:t>
      </w:r>
      <w:r w:rsidR="00153202" w:rsidRPr="00153202">
        <w:rPr>
          <w:rFonts w:cs="Times New Roman"/>
          <w:i/>
          <w:szCs w:val="24"/>
        </w:rPr>
        <w:t>in limine</w:t>
      </w:r>
      <w:r w:rsidRPr="00FD5891">
        <w:rPr>
          <w:rFonts w:cs="Times New Roman"/>
          <w:szCs w:val="24"/>
        </w:rPr>
        <w:t xml:space="preserve"> despite that they were argued together with the merits.</w:t>
      </w:r>
      <w:r>
        <w:rPr>
          <w:rFonts w:cs="Times New Roman"/>
          <w:szCs w:val="24"/>
        </w:rPr>
        <w:t xml:space="preserve"> </w:t>
      </w:r>
    </w:p>
    <w:p w:rsidR="00114098" w:rsidRDefault="00821672" w:rsidP="00114098">
      <w:pPr>
        <w:autoSpaceDE w:val="0"/>
        <w:autoSpaceDN w:val="0"/>
        <w:adjustRightInd w:val="0"/>
        <w:spacing w:after="0"/>
        <w:jc w:val="both"/>
        <w:rPr>
          <w:rFonts w:cs="Times New Roman"/>
          <w:b/>
          <w:szCs w:val="24"/>
        </w:rPr>
      </w:pPr>
      <w:r>
        <w:rPr>
          <w:rFonts w:cs="Times New Roman"/>
          <w:b/>
          <w:szCs w:val="24"/>
        </w:rPr>
        <w:t>Applicant’s</w:t>
      </w:r>
      <w:r w:rsidR="00114098">
        <w:rPr>
          <w:rFonts w:cs="Times New Roman"/>
          <w:b/>
          <w:szCs w:val="24"/>
        </w:rPr>
        <w:t xml:space="preserve"> points</w:t>
      </w:r>
      <w:r>
        <w:rPr>
          <w:rFonts w:cs="Times New Roman"/>
          <w:b/>
          <w:szCs w:val="24"/>
        </w:rPr>
        <w:t xml:space="preserve"> </w:t>
      </w:r>
      <w:r w:rsidRPr="00821672">
        <w:rPr>
          <w:rFonts w:cs="Times New Roman"/>
          <w:b/>
          <w:i/>
          <w:szCs w:val="24"/>
        </w:rPr>
        <w:t xml:space="preserve">in limine </w:t>
      </w:r>
    </w:p>
    <w:p w:rsidR="00114098" w:rsidRDefault="00536E50" w:rsidP="00114098">
      <w:pPr>
        <w:autoSpaceDE w:val="0"/>
        <w:autoSpaceDN w:val="0"/>
        <w:adjustRightInd w:val="0"/>
        <w:spacing w:after="0"/>
        <w:jc w:val="both"/>
        <w:rPr>
          <w:rFonts w:cs="Times New Roman"/>
          <w:b/>
          <w:szCs w:val="24"/>
        </w:rPr>
      </w:pPr>
      <w:r>
        <w:rPr>
          <w:rFonts w:cs="Times New Roman"/>
          <w:b/>
          <w:szCs w:val="24"/>
        </w:rPr>
        <w:t xml:space="preserve">No </w:t>
      </w:r>
      <w:r w:rsidR="00D85985">
        <w:rPr>
          <w:rFonts w:cs="Times New Roman"/>
          <w:b/>
          <w:szCs w:val="24"/>
        </w:rPr>
        <w:t xml:space="preserve">valid </w:t>
      </w:r>
      <w:proofErr w:type="spellStart"/>
      <w:r w:rsidR="00D85985">
        <w:rPr>
          <w:rFonts w:cs="Times New Roman"/>
          <w:b/>
          <w:szCs w:val="24"/>
        </w:rPr>
        <w:t>opposion</w:t>
      </w:r>
      <w:proofErr w:type="spellEnd"/>
      <w:r>
        <w:rPr>
          <w:rFonts w:cs="Times New Roman"/>
          <w:b/>
          <w:szCs w:val="24"/>
        </w:rPr>
        <w:t xml:space="preserve"> for 2</w:t>
      </w:r>
      <w:r w:rsidRPr="00536E50">
        <w:rPr>
          <w:rFonts w:cs="Times New Roman"/>
          <w:b/>
          <w:szCs w:val="24"/>
          <w:vertAlign w:val="superscript"/>
        </w:rPr>
        <w:t>nd</w:t>
      </w:r>
      <w:r>
        <w:rPr>
          <w:rFonts w:cs="Times New Roman"/>
          <w:b/>
          <w:szCs w:val="24"/>
        </w:rPr>
        <w:t xml:space="preserve"> and 3</w:t>
      </w:r>
      <w:r w:rsidRPr="00536E50">
        <w:rPr>
          <w:rFonts w:cs="Times New Roman"/>
          <w:b/>
          <w:szCs w:val="24"/>
          <w:vertAlign w:val="superscript"/>
        </w:rPr>
        <w:t>rd</w:t>
      </w:r>
      <w:r>
        <w:rPr>
          <w:rFonts w:cs="Times New Roman"/>
          <w:b/>
          <w:szCs w:val="24"/>
        </w:rPr>
        <w:t xml:space="preserve"> respondents</w:t>
      </w:r>
    </w:p>
    <w:p w:rsidR="001D7323" w:rsidRPr="008442B4" w:rsidRDefault="00D94BA1" w:rsidP="008442B4">
      <w:pPr>
        <w:autoSpaceDE w:val="0"/>
        <w:autoSpaceDN w:val="0"/>
        <w:adjustRightInd w:val="0"/>
        <w:spacing w:after="0"/>
        <w:ind w:firstLine="720"/>
        <w:jc w:val="both"/>
        <w:rPr>
          <w:rFonts w:cs="Times New Roman"/>
          <w:szCs w:val="24"/>
        </w:rPr>
      </w:pPr>
      <w:r w:rsidRPr="00D94BA1">
        <w:rPr>
          <w:rFonts w:cs="Times New Roman"/>
          <w:szCs w:val="24"/>
        </w:rPr>
        <w:t xml:space="preserve">At </w:t>
      </w:r>
      <w:r>
        <w:rPr>
          <w:rFonts w:cs="Times New Roman"/>
          <w:szCs w:val="24"/>
        </w:rPr>
        <w:t xml:space="preserve">the commencement of the hearing Mr </w:t>
      </w:r>
      <w:r w:rsidRPr="00201C96">
        <w:rPr>
          <w:rFonts w:cs="Times New Roman"/>
          <w:i/>
          <w:szCs w:val="24"/>
        </w:rPr>
        <w:t>Siziba</w:t>
      </w:r>
      <w:r>
        <w:rPr>
          <w:rFonts w:cs="Times New Roman"/>
          <w:szCs w:val="24"/>
        </w:rPr>
        <w:t xml:space="preserve"> took a point</w:t>
      </w:r>
      <w:r w:rsidR="00201C96">
        <w:rPr>
          <w:rFonts w:cs="Times New Roman"/>
          <w:i/>
          <w:szCs w:val="24"/>
        </w:rPr>
        <w:t xml:space="preserve"> in limine, </w:t>
      </w:r>
      <w:r w:rsidR="00201C96">
        <w:rPr>
          <w:rFonts w:cs="Times New Roman"/>
          <w:szCs w:val="24"/>
        </w:rPr>
        <w:t>that there is no proper or valid opposition by 2</w:t>
      </w:r>
      <w:r w:rsidR="00201C96" w:rsidRPr="00201C96">
        <w:rPr>
          <w:rFonts w:cs="Times New Roman"/>
          <w:szCs w:val="24"/>
          <w:vertAlign w:val="superscript"/>
        </w:rPr>
        <w:t>nd</w:t>
      </w:r>
      <w:r w:rsidR="00201C96">
        <w:rPr>
          <w:rFonts w:cs="Times New Roman"/>
          <w:szCs w:val="24"/>
        </w:rPr>
        <w:t xml:space="preserve"> and 3</w:t>
      </w:r>
      <w:r w:rsidR="00201C96" w:rsidRPr="00201C96">
        <w:rPr>
          <w:rFonts w:cs="Times New Roman"/>
          <w:szCs w:val="24"/>
          <w:vertAlign w:val="superscript"/>
        </w:rPr>
        <w:t>rd</w:t>
      </w:r>
      <w:r w:rsidR="009506F9">
        <w:rPr>
          <w:rFonts w:cs="Times New Roman"/>
          <w:szCs w:val="24"/>
        </w:rPr>
        <w:t xml:space="preserve"> respondents.</w:t>
      </w:r>
      <w:r w:rsidR="001D7323">
        <w:rPr>
          <w:rFonts w:cs="Times New Roman"/>
          <w:szCs w:val="24"/>
        </w:rPr>
        <w:t xml:space="preserve"> </w:t>
      </w:r>
      <w:r w:rsidR="008442B4">
        <w:rPr>
          <w:rFonts w:cs="Times New Roman"/>
          <w:szCs w:val="24"/>
        </w:rPr>
        <w:t>It is contended</w:t>
      </w:r>
      <w:r w:rsidR="001D7323">
        <w:rPr>
          <w:rFonts w:cs="Times New Roman"/>
          <w:szCs w:val="24"/>
        </w:rPr>
        <w:t xml:space="preserve"> that </w:t>
      </w:r>
      <w:r w:rsidR="00034BA3">
        <w:rPr>
          <w:rFonts w:cs="Times New Roman"/>
          <w:szCs w:val="24"/>
        </w:rPr>
        <w:t xml:space="preserve">the </w:t>
      </w:r>
      <w:proofErr w:type="spellStart"/>
      <w:r w:rsidR="00034BA3">
        <w:rPr>
          <w:rFonts w:cs="Times New Roman"/>
          <w:szCs w:val="24"/>
        </w:rPr>
        <w:t>depondent</w:t>
      </w:r>
      <w:proofErr w:type="spellEnd"/>
      <w:r w:rsidR="00034BA3">
        <w:rPr>
          <w:rFonts w:cs="Times New Roman"/>
          <w:szCs w:val="24"/>
        </w:rPr>
        <w:t xml:space="preserve"> to the respondents’ opposing affidavit has relied on the same authority of documents rejected in this court </w:t>
      </w:r>
      <w:r w:rsidR="000D3DCE">
        <w:rPr>
          <w:rFonts w:cs="Times New Roman"/>
          <w:szCs w:val="24"/>
        </w:rPr>
        <w:t xml:space="preserve">in </w:t>
      </w:r>
      <w:r w:rsidR="000D3DCE" w:rsidRPr="00DD246A">
        <w:rPr>
          <w:rFonts w:cs="Times New Roman"/>
          <w:i/>
          <w:color w:val="1F1F1F"/>
          <w:szCs w:val="24"/>
          <w:lang w:val="en-ZW"/>
        </w:rPr>
        <w:t>Warman Zimbabwe (Pvt) Ltd and Ors v Dhliwayo and Ors</w:t>
      </w:r>
      <w:r w:rsidR="000D3DCE">
        <w:rPr>
          <w:rFonts w:cs="Times New Roman"/>
          <w:color w:val="1F1F1F"/>
          <w:szCs w:val="24"/>
          <w:lang w:val="en-ZW"/>
        </w:rPr>
        <w:t xml:space="preserve"> HB 175/16. </w:t>
      </w:r>
      <w:r w:rsidR="00DC52FF">
        <w:rPr>
          <w:rFonts w:cs="Times New Roman"/>
          <w:color w:val="1F1F1F"/>
          <w:szCs w:val="24"/>
          <w:lang w:val="en-ZW"/>
        </w:rPr>
        <w:t>It is argued that since the purported resolution by the 2</w:t>
      </w:r>
      <w:r w:rsidR="00DC52FF" w:rsidRPr="00DC52FF">
        <w:rPr>
          <w:rFonts w:cs="Times New Roman"/>
          <w:color w:val="1F1F1F"/>
          <w:szCs w:val="24"/>
          <w:vertAlign w:val="superscript"/>
          <w:lang w:val="en-ZW"/>
        </w:rPr>
        <w:t>nd</w:t>
      </w:r>
      <w:r w:rsidR="00DC52FF">
        <w:rPr>
          <w:rFonts w:cs="Times New Roman"/>
          <w:color w:val="1F1F1F"/>
          <w:szCs w:val="24"/>
          <w:lang w:val="en-ZW"/>
        </w:rPr>
        <w:t xml:space="preserve"> respondent was allegedly passed at a purported meeting of the shareholders of 1</w:t>
      </w:r>
      <w:r w:rsidR="00DC52FF" w:rsidRPr="00DC52FF">
        <w:rPr>
          <w:rFonts w:cs="Times New Roman"/>
          <w:color w:val="1F1F1F"/>
          <w:szCs w:val="24"/>
          <w:vertAlign w:val="superscript"/>
          <w:lang w:val="en-ZW"/>
        </w:rPr>
        <w:t>st</w:t>
      </w:r>
      <w:r w:rsidR="00DC52FF">
        <w:rPr>
          <w:rFonts w:cs="Times New Roman"/>
          <w:color w:val="1F1F1F"/>
          <w:szCs w:val="24"/>
          <w:lang w:val="en-ZW"/>
        </w:rPr>
        <w:t xml:space="preserve"> respondent that was</w:t>
      </w:r>
      <w:r w:rsidR="000231AB">
        <w:rPr>
          <w:rFonts w:cs="Times New Roman"/>
          <w:color w:val="1F1F1F"/>
          <w:szCs w:val="24"/>
          <w:lang w:val="en-ZW"/>
        </w:rPr>
        <w:t xml:space="preserve"> adjudged invalid in this court, it follows that the authorisation of the deponent by the directors of 2</w:t>
      </w:r>
      <w:r w:rsidR="000231AB" w:rsidRPr="000231AB">
        <w:rPr>
          <w:rFonts w:cs="Times New Roman"/>
          <w:color w:val="1F1F1F"/>
          <w:szCs w:val="24"/>
          <w:vertAlign w:val="superscript"/>
          <w:lang w:val="en-ZW"/>
        </w:rPr>
        <w:t>nd</w:t>
      </w:r>
      <w:r w:rsidR="000231AB">
        <w:rPr>
          <w:rFonts w:cs="Times New Roman"/>
          <w:color w:val="1F1F1F"/>
          <w:szCs w:val="24"/>
          <w:lang w:val="en-ZW"/>
        </w:rPr>
        <w:t xml:space="preserve"> respondent is equally invalid. </w:t>
      </w:r>
      <w:r w:rsidR="00366E31">
        <w:rPr>
          <w:rFonts w:cs="Times New Roman"/>
          <w:color w:val="1F1F1F"/>
          <w:szCs w:val="24"/>
          <w:lang w:val="en-ZW"/>
        </w:rPr>
        <w:t>It is contended</w:t>
      </w:r>
      <w:r w:rsidR="00D40275">
        <w:rPr>
          <w:rFonts w:cs="Times New Roman"/>
          <w:color w:val="1F1F1F"/>
          <w:szCs w:val="24"/>
          <w:lang w:val="en-ZW"/>
        </w:rPr>
        <w:t xml:space="preserve"> that there is no proper or valid opposition before court </w:t>
      </w:r>
      <w:r w:rsidR="008A08B6">
        <w:rPr>
          <w:rFonts w:cs="Times New Roman"/>
          <w:color w:val="1F1F1F"/>
          <w:szCs w:val="24"/>
          <w:lang w:val="en-ZW"/>
        </w:rPr>
        <w:t>by the 2</w:t>
      </w:r>
      <w:r w:rsidR="008A08B6" w:rsidRPr="008A08B6">
        <w:rPr>
          <w:rFonts w:cs="Times New Roman"/>
          <w:color w:val="1F1F1F"/>
          <w:szCs w:val="24"/>
          <w:vertAlign w:val="superscript"/>
          <w:lang w:val="en-ZW"/>
        </w:rPr>
        <w:t>nd</w:t>
      </w:r>
      <w:r w:rsidR="008A08B6">
        <w:rPr>
          <w:rFonts w:cs="Times New Roman"/>
          <w:color w:val="1F1F1F"/>
          <w:szCs w:val="24"/>
          <w:lang w:val="en-ZW"/>
        </w:rPr>
        <w:t xml:space="preserve"> respondent. </w:t>
      </w:r>
    </w:p>
    <w:p w:rsidR="00E8372E" w:rsidRDefault="008A08B6" w:rsidP="008A5329">
      <w:pPr>
        <w:autoSpaceDE w:val="0"/>
        <w:autoSpaceDN w:val="0"/>
        <w:adjustRightInd w:val="0"/>
        <w:spacing w:after="0"/>
        <w:ind w:firstLine="720"/>
        <w:jc w:val="both"/>
        <w:rPr>
          <w:rFonts w:cs="Times New Roman"/>
          <w:color w:val="1F1F1F"/>
          <w:szCs w:val="24"/>
          <w:lang w:val="en-ZW"/>
        </w:rPr>
      </w:pPr>
      <w:r>
        <w:rPr>
          <w:rFonts w:cs="Times New Roman"/>
          <w:color w:val="1F1F1F"/>
          <w:szCs w:val="24"/>
          <w:lang w:val="en-ZW"/>
        </w:rPr>
        <w:t>As regards the 3</w:t>
      </w:r>
      <w:r w:rsidRPr="008A08B6">
        <w:rPr>
          <w:rFonts w:cs="Times New Roman"/>
          <w:color w:val="1F1F1F"/>
          <w:szCs w:val="24"/>
          <w:vertAlign w:val="superscript"/>
          <w:lang w:val="en-ZW"/>
        </w:rPr>
        <w:t>rd</w:t>
      </w:r>
      <w:r>
        <w:rPr>
          <w:rFonts w:cs="Times New Roman"/>
          <w:color w:val="1F1F1F"/>
          <w:szCs w:val="24"/>
          <w:lang w:val="en-ZW"/>
        </w:rPr>
        <w:t xml:space="preserve"> respondent it is contended that the special power of attorney that is before court as authorising </w:t>
      </w:r>
      <w:r w:rsidR="00464DDA">
        <w:rPr>
          <w:rFonts w:cs="Times New Roman"/>
          <w:color w:val="1F1F1F"/>
          <w:szCs w:val="24"/>
          <w:lang w:val="en-ZW"/>
        </w:rPr>
        <w:t>the deponent to represent her was signed on the 25</w:t>
      </w:r>
      <w:r w:rsidR="00464DDA" w:rsidRPr="00464DDA">
        <w:rPr>
          <w:rFonts w:cs="Times New Roman"/>
          <w:color w:val="1F1F1F"/>
          <w:szCs w:val="24"/>
          <w:vertAlign w:val="superscript"/>
          <w:lang w:val="en-ZW"/>
        </w:rPr>
        <w:t>th</w:t>
      </w:r>
      <w:r w:rsidR="00464DDA">
        <w:rPr>
          <w:rFonts w:cs="Times New Roman"/>
          <w:color w:val="1F1F1F"/>
          <w:szCs w:val="24"/>
          <w:lang w:val="en-ZW"/>
        </w:rPr>
        <w:t xml:space="preserve"> May 2015. It does not specifically authorise or grant the deponent any authority to represent </w:t>
      </w:r>
      <w:r w:rsidR="00E87B8F">
        <w:rPr>
          <w:rFonts w:cs="Times New Roman"/>
          <w:color w:val="1F1F1F"/>
          <w:szCs w:val="24"/>
          <w:lang w:val="en-ZW"/>
        </w:rPr>
        <w:t>3</w:t>
      </w:r>
      <w:r w:rsidR="00E87B8F" w:rsidRPr="00E87B8F">
        <w:rPr>
          <w:rFonts w:cs="Times New Roman"/>
          <w:color w:val="1F1F1F"/>
          <w:szCs w:val="24"/>
          <w:vertAlign w:val="superscript"/>
          <w:lang w:val="en-ZW"/>
        </w:rPr>
        <w:t>rd</w:t>
      </w:r>
      <w:r w:rsidR="00E87B8F">
        <w:rPr>
          <w:rFonts w:cs="Times New Roman"/>
          <w:color w:val="1F1F1F"/>
          <w:szCs w:val="24"/>
          <w:lang w:val="en-ZW"/>
        </w:rPr>
        <w:t xml:space="preserve"> respondent in court proceedings. It is argued that it authorises him in general terms to manage the business affairs </w:t>
      </w:r>
      <w:r w:rsidR="00335555">
        <w:rPr>
          <w:rFonts w:cs="Times New Roman"/>
          <w:color w:val="1F1F1F"/>
          <w:szCs w:val="24"/>
          <w:lang w:val="en-ZW"/>
        </w:rPr>
        <w:t>of 3</w:t>
      </w:r>
      <w:r w:rsidR="00335555" w:rsidRPr="00335555">
        <w:rPr>
          <w:rFonts w:cs="Times New Roman"/>
          <w:color w:val="1F1F1F"/>
          <w:szCs w:val="24"/>
          <w:vertAlign w:val="superscript"/>
          <w:lang w:val="en-ZW"/>
        </w:rPr>
        <w:t>rd</w:t>
      </w:r>
      <w:r w:rsidR="00335555">
        <w:rPr>
          <w:rFonts w:cs="Times New Roman"/>
          <w:color w:val="1F1F1F"/>
          <w:szCs w:val="24"/>
          <w:lang w:val="en-ZW"/>
        </w:rPr>
        <w:t xml:space="preserve"> respondent and there is no proof that the </w:t>
      </w:r>
      <w:proofErr w:type="spellStart"/>
      <w:r w:rsidR="00335555">
        <w:rPr>
          <w:rFonts w:cs="Times New Roman"/>
          <w:color w:val="1F1F1F"/>
          <w:szCs w:val="24"/>
          <w:lang w:val="en-ZW"/>
        </w:rPr>
        <w:t>depondent</w:t>
      </w:r>
      <w:proofErr w:type="spellEnd"/>
      <w:r w:rsidR="00335555">
        <w:rPr>
          <w:rFonts w:cs="Times New Roman"/>
          <w:color w:val="1F1F1F"/>
          <w:szCs w:val="24"/>
          <w:lang w:val="en-ZW"/>
        </w:rPr>
        <w:t xml:space="preserve"> is </w:t>
      </w:r>
      <w:proofErr w:type="spellStart"/>
      <w:r w:rsidR="00335555">
        <w:rPr>
          <w:rFonts w:cs="Times New Roman"/>
          <w:color w:val="1F1F1F"/>
          <w:szCs w:val="24"/>
          <w:lang w:val="en-ZW"/>
        </w:rPr>
        <w:t>authoirsed</w:t>
      </w:r>
      <w:proofErr w:type="spellEnd"/>
      <w:r w:rsidR="00335555">
        <w:rPr>
          <w:rFonts w:cs="Times New Roman"/>
          <w:color w:val="1F1F1F"/>
          <w:szCs w:val="24"/>
          <w:lang w:val="en-ZW"/>
        </w:rPr>
        <w:t xml:space="preserve"> to represent 3</w:t>
      </w:r>
      <w:r w:rsidR="00335555" w:rsidRPr="00335555">
        <w:rPr>
          <w:rFonts w:cs="Times New Roman"/>
          <w:color w:val="1F1F1F"/>
          <w:szCs w:val="24"/>
          <w:vertAlign w:val="superscript"/>
          <w:lang w:val="en-ZW"/>
        </w:rPr>
        <w:t>rd</w:t>
      </w:r>
      <w:r w:rsidR="00335555">
        <w:rPr>
          <w:rFonts w:cs="Times New Roman"/>
          <w:color w:val="1F1F1F"/>
          <w:szCs w:val="24"/>
          <w:lang w:val="en-ZW"/>
        </w:rPr>
        <w:t xml:space="preserve"> respondent in this case. </w:t>
      </w:r>
      <w:r w:rsidR="00751976">
        <w:rPr>
          <w:rFonts w:cs="Times New Roman"/>
          <w:color w:val="1F1F1F"/>
          <w:szCs w:val="24"/>
          <w:lang w:val="en-ZW"/>
        </w:rPr>
        <w:t>It is argued that there is no proper or valid opposition to the application by the 3</w:t>
      </w:r>
      <w:r w:rsidR="00751976" w:rsidRPr="00751976">
        <w:rPr>
          <w:rFonts w:cs="Times New Roman"/>
          <w:color w:val="1F1F1F"/>
          <w:szCs w:val="24"/>
          <w:vertAlign w:val="superscript"/>
          <w:lang w:val="en-ZW"/>
        </w:rPr>
        <w:t>rd</w:t>
      </w:r>
      <w:r w:rsidR="00751976">
        <w:rPr>
          <w:rFonts w:cs="Times New Roman"/>
          <w:color w:val="1F1F1F"/>
          <w:szCs w:val="24"/>
          <w:lang w:val="en-ZW"/>
        </w:rPr>
        <w:t xml:space="preserve"> respondent. </w:t>
      </w:r>
      <w:r w:rsidR="000E4CCA">
        <w:rPr>
          <w:rFonts w:cs="Times New Roman"/>
          <w:color w:val="1F1F1F"/>
          <w:szCs w:val="24"/>
          <w:lang w:val="en-ZW"/>
        </w:rPr>
        <w:t xml:space="preserve">  </w:t>
      </w:r>
    </w:p>
    <w:p w:rsidR="003C2EC0" w:rsidRDefault="00703603" w:rsidP="00C00A77">
      <w:pPr>
        <w:autoSpaceDE w:val="0"/>
        <w:autoSpaceDN w:val="0"/>
        <w:adjustRightInd w:val="0"/>
        <w:spacing w:after="0"/>
        <w:ind w:firstLine="720"/>
        <w:jc w:val="both"/>
        <w:rPr>
          <w:rFonts w:cs="Times New Roman"/>
          <w:color w:val="1F1F1F"/>
          <w:szCs w:val="24"/>
          <w:lang w:val="en-ZW"/>
        </w:rPr>
      </w:pPr>
      <w:r>
        <w:rPr>
          <w:rFonts w:cs="Times New Roman"/>
          <w:color w:val="1F1F1F"/>
          <w:szCs w:val="24"/>
          <w:lang w:val="en-ZW"/>
        </w:rPr>
        <w:t>In this matter</w:t>
      </w:r>
      <w:r w:rsidR="00E9718F">
        <w:rPr>
          <w:rFonts w:cs="Times New Roman"/>
          <w:color w:val="1F1F1F"/>
          <w:szCs w:val="24"/>
          <w:lang w:val="en-ZW"/>
        </w:rPr>
        <w:t xml:space="preserve"> the three respondents</w:t>
      </w:r>
      <w:r w:rsidR="00E95005">
        <w:rPr>
          <w:rFonts w:cs="Times New Roman"/>
          <w:color w:val="1F1F1F"/>
          <w:szCs w:val="24"/>
          <w:lang w:val="en-ZW"/>
        </w:rPr>
        <w:t xml:space="preserve"> were directed to </w:t>
      </w:r>
      <w:r w:rsidR="00734B73">
        <w:rPr>
          <w:rFonts w:cs="Times New Roman"/>
          <w:color w:val="1F1F1F"/>
          <w:szCs w:val="24"/>
          <w:lang w:val="en-ZW"/>
        </w:rPr>
        <w:t xml:space="preserve">file opposing papers within ten days of service of the </w:t>
      </w:r>
      <w:r w:rsidR="00C46719">
        <w:rPr>
          <w:rFonts w:cs="Times New Roman"/>
          <w:color w:val="1F1F1F"/>
          <w:szCs w:val="24"/>
          <w:lang w:val="en-ZW"/>
        </w:rPr>
        <w:t xml:space="preserve">court </w:t>
      </w:r>
      <w:r w:rsidR="00734B73">
        <w:rPr>
          <w:rFonts w:cs="Times New Roman"/>
          <w:color w:val="1F1F1F"/>
          <w:szCs w:val="24"/>
          <w:lang w:val="en-ZW"/>
        </w:rPr>
        <w:t>application should t</w:t>
      </w:r>
      <w:r w:rsidR="00F47C1C">
        <w:rPr>
          <w:rFonts w:cs="Times New Roman"/>
          <w:color w:val="1F1F1F"/>
          <w:szCs w:val="24"/>
          <w:lang w:val="en-ZW"/>
        </w:rPr>
        <w:t xml:space="preserve">hey intend to oppose the matter. </w:t>
      </w:r>
      <w:r w:rsidR="00734B73">
        <w:rPr>
          <w:rFonts w:cs="Times New Roman"/>
          <w:color w:val="1F1F1F"/>
          <w:szCs w:val="24"/>
          <w:lang w:val="en-ZW"/>
        </w:rPr>
        <w:t xml:space="preserve"> </w:t>
      </w:r>
      <w:r w:rsidR="00C46719">
        <w:rPr>
          <w:rFonts w:cs="Times New Roman"/>
          <w:color w:val="1F1F1F"/>
          <w:szCs w:val="24"/>
          <w:lang w:val="en-ZW"/>
        </w:rPr>
        <w:t xml:space="preserve">Simply put </w:t>
      </w:r>
      <w:r w:rsidR="00EB258C">
        <w:rPr>
          <w:rFonts w:cs="Times New Roman"/>
          <w:color w:val="1F1F1F"/>
          <w:szCs w:val="24"/>
          <w:lang w:val="en-ZW"/>
        </w:rPr>
        <w:t>i</w:t>
      </w:r>
      <w:r w:rsidR="003171F7">
        <w:rPr>
          <w:rFonts w:cs="Times New Roman"/>
          <w:color w:val="1F1F1F"/>
          <w:szCs w:val="24"/>
          <w:lang w:val="en-ZW"/>
        </w:rPr>
        <w:t xml:space="preserve">t is applicant who invited </w:t>
      </w:r>
      <w:r w:rsidR="00D21AD3">
        <w:rPr>
          <w:rFonts w:cs="Times New Roman"/>
          <w:color w:val="1F1F1F"/>
          <w:szCs w:val="24"/>
          <w:lang w:val="en-ZW"/>
        </w:rPr>
        <w:t xml:space="preserve">all </w:t>
      </w:r>
      <w:r w:rsidR="003171F7">
        <w:rPr>
          <w:rFonts w:cs="Times New Roman"/>
          <w:color w:val="1F1F1F"/>
          <w:szCs w:val="24"/>
          <w:lang w:val="en-ZW"/>
        </w:rPr>
        <w:t xml:space="preserve">respondents to file a notice of opposition. </w:t>
      </w:r>
      <w:r w:rsidR="005F5AA3">
        <w:rPr>
          <w:rFonts w:cs="Times New Roman"/>
          <w:color w:val="1F1F1F"/>
          <w:szCs w:val="24"/>
          <w:lang w:val="en-ZW"/>
        </w:rPr>
        <w:t>In general</w:t>
      </w:r>
      <w:r w:rsidR="00AC2F71">
        <w:rPr>
          <w:rFonts w:cs="Times New Roman"/>
          <w:color w:val="1F1F1F"/>
          <w:szCs w:val="24"/>
          <w:lang w:val="en-ZW"/>
        </w:rPr>
        <w:t>,</w:t>
      </w:r>
      <w:r w:rsidR="005F5AA3">
        <w:rPr>
          <w:rFonts w:cs="Times New Roman"/>
          <w:color w:val="1F1F1F"/>
          <w:szCs w:val="24"/>
          <w:lang w:val="en-ZW"/>
        </w:rPr>
        <w:t xml:space="preserve"> I do not think a </w:t>
      </w:r>
      <w:r w:rsidR="00366E31">
        <w:rPr>
          <w:rFonts w:cs="Times New Roman"/>
          <w:color w:val="1F1F1F"/>
          <w:szCs w:val="24"/>
          <w:lang w:val="en-ZW"/>
        </w:rPr>
        <w:t>party can</w:t>
      </w:r>
      <w:r w:rsidR="00E9671B">
        <w:rPr>
          <w:rFonts w:cs="Times New Roman"/>
          <w:color w:val="1F1F1F"/>
          <w:szCs w:val="24"/>
          <w:lang w:val="en-ZW"/>
        </w:rPr>
        <w:t xml:space="preserve"> cite a litigant in court proceedings</w:t>
      </w:r>
      <w:r w:rsidR="00AC2F71">
        <w:rPr>
          <w:rFonts w:cs="Times New Roman"/>
          <w:color w:val="1F1F1F"/>
          <w:szCs w:val="24"/>
          <w:lang w:val="en-ZW"/>
        </w:rPr>
        <w:t xml:space="preserve"> and</w:t>
      </w:r>
      <w:r w:rsidR="008578D4">
        <w:rPr>
          <w:rFonts w:cs="Times New Roman"/>
          <w:color w:val="1F1F1F"/>
          <w:szCs w:val="24"/>
          <w:lang w:val="en-ZW"/>
        </w:rPr>
        <w:t xml:space="preserve"> invite such litigant to oppose the matter should it so wish</w:t>
      </w:r>
      <w:r w:rsidR="00E9671B">
        <w:rPr>
          <w:rFonts w:cs="Times New Roman"/>
          <w:color w:val="1F1F1F"/>
          <w:szCs w:val="24"/>
          <w:lang w:val="en-ZW"/>
        </w:rPr>
        <w:t xml:space="preserve"> and </w:t>
      </w:r>
      <w:r w:rsidR="008578D4">
        <w:rPr>
          <w:rFonts w:cs="Times New Roman"/>
          <w:color w:val="1F1F1F"/>
          <w:szCs w:val="24"/>
          <w:lang w:val="en-ZW"/>
        </w:rPr>
        <w:t xml:space="preserve">then </w:t>
      </w:r>
      <w:r w:rsidR="00814F21">
        <w:rPr>
          <w:rFonts w:cs="Times New Roman"/>
          <w:color w:val="1F1F1F"/>
          <w:szCs w:val="24"/>
          <w:lang w:val="en-ZW"/>
        </w:rPr>
        <w:t xml:space="preserve">make a </w:t>
      </w:r>
      <w:r w:rsidR="00E9671B">
        <w:rPr>
          <w:rFonts w:cs="Times New Roman"/>
          <w:color w:val="1F1F1F"/>
          <w:szCs w:val="24"/>
          <w:lang w:val="en-ZW"/>
        </w:rPr>
        <w:t>turn and allege that such litigant has no</w:t>
      </w:r>
      <w:r w:rsidR="008578D4">
        <w:rPr>
          <w:rFonts w:cs="Times New Roman"/>
          <w:color w:val="1F1F1F"/>
          <w:szCs w:val="24"/>
          <w:lang w:val="en-ZW"/>
        </w:rPr>
        <w:t xml:space="preserve"> authority to oppose the matter</w:t>
      </w:r>
      <w:r w:rsidR="00A70FD8">
        <w:rPr>
          <w:rFonts w:cs="Times New Roman"/>
          <w:color w:val="1F1F1F"/>
          <w:szCs w:val="24"/>
          <w:lang w:val="en-ZW"/>
        </w:rPr>
        <w:t>.</w:t>
      </w:r>
      <w:r w:rsidR="008578D4">
        <w:rPr>
          <w:rFonts w:cs="Times New Roman"/>
          <w:color w:val="1F1F1F"/>
          <w:szCs w:val="24"/>
          <w:lang w:val="en-ZW"/>
        </w:rPr>
        <w:t xml:space="preserve"> </w:t>
      </w:r>
      <w:r w:rsidR="009A7D4F">
        <w:rPr>
          <w:rFonts w:cs="Times New Roman"/>
          <w:color w:val="1F1F1F"/>
          <w:szCs w:val="24"/>
          <w:lang w:val="en-ZW"/>
        </w:rPr>
        <w:t xml:space="preserve">See: </w:t>
      </w:r>
      <w:r w:rsidR="009A7D4F" w:rsidRPr="009B34DC">
        <w:rPr>
          <w:rFonts w:cs="Times New Roman"/>
          <w:i/>
          <w:color w:val="1F1F1F"/>
          <w:szCs w:val="24"/>
          <w:lang w:val="en-ZW"/>
        </w:rPr>
        <w:t xml:space="preserve">Mudzengi &amp; Ors v Hungwe &amp; Anor </w:t>
      </w:r>
      <w:r w:rsidR="009A7D4F">
        <w:rPr>
          <w:rFonts w:cs="Times New Roman"/>
          <w:color w:val="1F1F1F"/>
          <w:szCs w:val="24"/>
          <w:lang w:val="en-ZW"/>
        </w:rPr>
        <w:t xml:space="preserve">2001 (2) ZLR 175. </w:t>
      </w:r>
      <w:r w:rsidR="00850808" w:rsidRPr="00C00A77">
        <w:rPr>
          <w:rFonts w:cs="Times New Roman"/>
          <w:szCs w:val="24"/>
        </w:rPr>
        <w:t>To my mind</w:t>
      </w:r>
      <w:r w:rsidR="00ED61BD" w:rsidRPr="00C00A77">
        <w:rPr>
          <w:rFonts w:cs="Times New Roman"/>
          <w:szCs w:val="24"/>
        </w:rPr>
        <w:t xml:space="preserve"> such would amount to double standards and </w:t>
      </w:r>
      <w:r w:rsidR="00366E31">
        <w:rPr>
          <w:rFonts w:cs="Times New Roman"/>
          <w:szCs w:val="24"/>
        </w:rPr>
        <w:t xml:space="preserve">is </w:t>
      </w:r>
      <w:r w:rsidR="00ED61BD" w:rsidRPr="00C00A77">
        <w:rPr>
          <w:rFonts w:cs="Times New Roman"/>
          <w:szCs w:val="24"/>
        </w:rPr>
        <w:t xml:space="preserve">absolutely untenable. </w:t>
      </w:r>
      <w:r w:rsidR="009B34DC">
        <w:rPr>
          <w:rFonts w:cs="Times New Roman"/>
          <w:color w:val="1F1F1F"/>
          <w:szCs w:val="24"/>
          <w:lang w:val="en-ZW"/>
        </w:rPr>
        <w:t xml:space="preserve">It is in this context that I agree with the submission </w:t>
      </w:r>
      <w:r w:rsidR="00AC2F71">
        <w:rPr>
          <w:rFonts w:cs="Times New Roman"/>
          <w:color w:val="1F1F1F"/>
          <w:szCs w:val="24"/>
          <w:lang w:val="en-ZW"/>
        </w:rPr>
        <w:t xml:space="preserve">made </w:t>
      </w:r>
      <w:r w:rsidR="009B34DC">
        <w:rPr>
          <w:rFonts w:cs="Times New Roman"/>
          <w:color w:val="1F1F1F"/>
          <w:szCs w:val="24"/>
          <w:lang w:val="en-ZW"/>
        </w:rPr>
        <w:t xml:space="preserve">by Mr </w:t>
      </w:r>
      <w:r w:rsidR="009B34DC" w:rsidRPr="003C2EC0">
        <w:rPr>
          <w:rFonts w:cs="Times New Roman"/>
          <w:i/>
          <w:color w:val="1F1F1F"/>
          <w:szCs w:val="24"/>
          <w:lang w:val="en-ZW"/>
        </w:rPr>
        <w:t>Mpofu</w:t>
      </w:r>
      <w:r w:rsidR="009B34DC">
        <w:rPr>
          <w:rFonts w:cs="Times New Roman"/>
          <w:color w:val="1F1F1F"/>
          <w:szCs w:val="24"/>
          <w:lang w:val="en-ZW"/>
        </w:rPr>
        <w:t xml:space="preserve"> that it is astounding that </w:t>
      </w:r>
      <w:r w:rsidR="009B0E2F">
        <w:rPr>
          <w:rFonts w:cs="Times New Roman"/>
          <w:color w:val="1F1F1F"/>
          <w:szCs w:val="24"/>
          <w:lang w:val="en-ZW"/>
        </w:rPr>
        <w:t xml:space="preserve">on the facts of this case </w:t>
      </w:r>
      <w:r w:rsidR="009B34DC">
        <w:rPr>
          <w:rFonts w:cs="Times New Roman"/>
          <w:color w:val="1F1F1F"/>
          <w:szCs w:val="24"/>
          <w:lang w:val="en-ZW"/>
        </w:rPr>
        <w:t>applicant can question the rig</w:t>
      </w:r>
      <w:r w:rsidR="00F47C1C">
        <w:rPr>
          <w:rFonts w:cs="Times New Roman"/>
          <w:color w:val="1F1F1F"/>
          <w:szCs w:val="24"/>
          <w:lang w:val="en-ZW"/>
        </w:rPr>
        <w:t>ht of a respondent</w:t>
      </w:r>
      <w:r w:rsidR="00EB05CD">
        <w:rPr>
          <w:rFonts w:cs="Times New Roman"/>
          <w:color w:val="1F1F1F"/>
          <w:szCs w:val="24"/>
          <w:lang w:val="en-ZW"/>
        </w:rPr>
        <w:t>s</w:t>
      </w:r>
      <w:r w:rsidR="00F47C1C">
        <w:rPr>
          <w:rFonts w:cs="Times New Roman"/>
          <w:color w:val="1F1F1F"/>
          <w:szCs w:val="24"/>
          <w:lang w:val="en-ZW"/>
        </w:rPr>
        <w:t xml:space="preserve"> to respond</w:t>
      </w:r>
      <w:r w:rsidR="009B34DC">
        <w:rPr>
          <w:rFonts w:cs="Times New Roman"/>
          <w:color w:val="1F1F1F"/>
          <w:szCs w:val="24"/>
          <w:lang w:val="en-ZW"/>
        </w:rPr>
        <w:t xml:space="preserve"> to an application it has itself filed.</w:t>
      </w:r>
    </w:p>
    <w:p w:rsidR="00F37353" w:rsidRPr="00F37353" w:rsidRDefault="00642AAE" w:rsidP="0089190E">
      <w:pPr>
        <w:autoSpaceDE w:val="0"/>
        <w:autoSpaceDN w:val="0"/>
        <w:adjustRightInd w:val="0"/>
        <w:spacing w:after="0"/>
        <w:ind w:firstLine="720"/>
        <w:jc w:val="both"/>
        <w:rPr>
          <w:rFonts w:cs="Times New Roman"/>
          <w:color w:val="1F1F1F"/>
          <w:szCs w:val="24"/>
          <w:lang w:val="en-ZW"/>
        </w:rPr>
      </w:pPr>
      <w:r>
        <w:rPr>
          <w:rFonts w:cs="Times New Roman"/>
          <w:color w:val="1F1F1F"/>
          <w:szCs w:val="24"/>
          <w:lang w:val="en-ZW"/>
        </w:rPr>
        <w:t xml:space="preserve">Mr </w:t>
      </w:r>
      <w:r w:rsidRPr="00C527FD">
        <w:rPr>
          <w:rFonts w:cs="Times New Roman"/>
          <w:i/>
          <w:color w:val="1F1F1F"/>
          <w:szCs w:val="24"/>
          <w:lang w:val="en-ZW"/>
        </w:rPr>
        <w:t>Mpofu</w:t>
      </w:r>
      <w:r>
        <w:rPr>
          <w:rFonts w:cs="Times New Roman"/>
          <w:color w:val="1F1F1F"/>
          <w:szCs w:val="24"/>
          <w:lang w:val="en-ZW"/>
        </w:rPr>
        <w:t xml:space="preserve"> argues that the issue of authority has been improperly taken. It is contended that applicant is confusing the distinction between </w:t>
      </w:r>
      <w:r w:rsidR="00C527FD">
        <w:rPr>
          <w:rFonts w:cs="Times New Roman"/>
          <w:color w:val="1F1F1F"/>
          <w:szCs w:val="24"/>
          <w:lang w:val="en-ZW"/>
        </w:rPr>
        <w:t xml:space="preserve">the </w:t>
      </w:r>
      <w:proofErr w:type="gramStart"/>
      <w:r w:rsidR="00C527FD">
        <w:rPr>
          <w:rFonts w:cs="Times New Roman"/>
          <w:color w:val="1F1F1F"/>
          <w:szCs w:val="24"/>
          <w:lang w:val="en-ZW"/>
        </w:rPr>
        <w:t>authority</w:t>
      </w:r>
      <w:proofErr w:type="gramEnd"/>
      <w:r w:rsidR="00C527FD">
        <w:rPr>
          <w:rFonts w:cs="Times New Roman"/>
          <w:color w:val="1F1F1F"/>
          <w:szCs w:val="24"/>
          <w:lang w:val="en-ZW"/>
        </w:rPr>
        <w:t xml:space="preserve"> to bring proceedings and being a witness in the proceedings. </w:t>
      </w:r>
      <w:r w:rsidR="004C6558">
        <w:rPr>
          <w:rFonts w:cs="Times New Roman"/>
          <w:color w:val="1F1F1F"/>
          <w:szCs w:val="24"/>
          <w:lang w:val="en-ZW"/>
        </w:rPr>
        <w:t xml:space="preserve">I agree. </w:t>
      </w:r>
      <w:r w:rsidR="00AE2672">
        <w:rPr>
          <w:rFonts w:cs="Times New Roman"/>
          <w:color w:val="1F1F1F"/>
          <w:szCs w:val="24"/>
          <w:lang w:val="en-ZW"/>
        </w:rPr>
        <w:t>Cut to the borne</w:t>
      </w:r>
      <w:r w:rsidR="00C45DF0">
        <w:rPr>
          <w:rFonts w:cs="Times New Roman"/>
          <w:color w:val="1F1F1F"/>
          <w:szCs w:val="24"/>
          <w:lang w:val="en-ZW"/>
        </w:rPr>
        <w:t>,</w:t>
      </w:r>
      <w:r w:rsidR="00AE2672">
        <w:rPr>
          <w:rFonts w:cs="Times New Roman"/>
          <w:color w:val="1F1F1F"/>
          <w:szCs w:val="24"/>
          <w:lang w:val="en-ZW"/>
        </w:rPr>
        <w:t xml:space="preserve"> what </w:t>
      </w:r>
      <w:r w:rsidR="00020E0B">
        <w:rPr>
          <w:rFonts w:cs="Times New Roman"/>
          <w:color w:val="1F1F1F"/>
          <w:szCs w:val="24"/>
          <w:lang w:val="en-ZW"/>
        </w:rPr>
        <w:t xml:space="preserve">applicant is challenging is </w:t>
      </w:r>
      <w:r w:rsidR="00C10D60">
        <w:rPr>
          <w:rFonts w:cs="Times New Roman"/>
          <w:color w:val="1F1F1F"/>
          <w:szCs w:val="24"/>
          <w:lang w:val="en-ZW"/>
        </w:rPr>
        <w:t>the deponent’s (</w:t>
      </w:r>
      <w:proofErr w:type="spellStart"/>
      <w:r w:rsidR="00020E0B">
        <w:rPr>
          <w:rFonts w:cs="Times New Roman"/>
          <w:color w:val="1F1F1F"/>
          <w:szCs w:val="24"/>
          <w:lang w:val="en-ZW"/>
        </w:rPr>
        <w:t>Nyoni’s</w:t>
      </w:r>
      <w:proofErr w:type="spellEnd"/>
      <w:r w:rsidR="00C10D60">
        <w:rPr>
          <w:rFonts w:cs="Times New Roman"/>
          <w:color w:val="1F1F1F"/>
          <w:szCs w:val="24"/>
          <w:lang w:val="en-ZW"/>
        </w:rPr>
        <w:t>)</w:t>
      </w:r>
      <w:r w:rsidR="00AE2672">
        <w:rPr>
          <w:rFonts w:cs="Times New Roman"/>
          <w:color w:val="1F1F1F"/>
          <w:szCs w:val="24"/>
          <w:lang w:val="en-ZW"/>
        </w:rPr>
        <w:t xml:space="preserve"> </w:t>
      </w:r>
      <w:r w:rsidR="00642126">
        <w:rPr>
          <w:rFonts w:cs="Times New Roman"/>
          <w:color w:val="1F1F1F"/>
          <w:szCs w:val="24"/>
          <w:lang w:val="en-ZW"/>
        </w:rPr>
        <w:t>competence to depose to the opposing affida</w:t>
      </w:r>
      <w:r w:rsidR="00020E0B">
        <w:rPr>
          <w:rFonts w:cs="Times New Roman"/>
          <w:color w:val="1F1F1F"/>
          <w:szCs w:val="24"/>
          <w:lang w:val="en-ZW"/>
        </w:rPr>
        <w:t>vit on behalf of the respondents</w:t>
      </w:r>
      <w:r w:rsidR="00642126">
        <w:rPr>
          <w:rFonts w:cs="Times New Roman"/>
          <w:color w:val="1F1F1F"/>
          <w:szCs w:val="24"/>
          <w:lang w:val="en-ZW"/>
        </w:rPr>
        <w:t xml:space="preserve">. </w:t>
      </w:r>
      <w:r w:rsidR="00C45DF0">
        <w:rPr>
          <w:rFonts w:cs="Times New Roman"/>
          <w:color w:val="1F1F1F"/>
          <w:szCs w:val="24"/>
          <w:lang w:val="en-ZW"/>
        </w:rPr>
        <w:t>I</w:t>
      </w:r>
      <w:r w:rsidR="008F7DC7">
        <w:rPr>
          <w:rFonts w:cs="Times New Roman"/>
          <w:color w:val="1F1F1F"/>
          <w:szCs w:val="24"/>
          <w:lang w:val="en-ZW"/>
        </w:rPr>
        <w:t xml:space="preserve"> say so because 2</w:t>
      </w:r>
      <w:r w:rsidR="008F7DC7" w:rsidRPr="008F7DC7">
        <w:rPr>
          <w:rFonts w:cs="Times New Roman"/>
          <w:color w:val="1F1F1F"/>
          <w:szCs w:val="24"/>
          <w:vertAlign w:val="superscript"/>
          <w:lang w:val="en-ZW"/>
        </w:rPr>
        <w:t>nd</w:t>
      </w:r>
      <w:r w:rsidR="008F7DC7">
        <w:rPr>
          <w:rFonts w:cs="Times New Roman"/>
          <w:color w:val="1F1F1F"/>
          <w:szCs w:val="24"/>
          <w:lang w:val="en-ZW"/>
        </w:rPr>
        <w:t xml:space="preserve"> and 3</w:t>
      </w:r>
      <w:r w:rsidR="008F7DC7" w:rsidRPr="008F7DC7">
        <w:rPr>
          <w:rFonts w:cs="Times New Roman"/>
          <w:color w:val="1F1F1F"/>
          <w:szCs w:val="24"/>
          <w:vertAlign w:val="superscript"/>
          <w:lang w:val="en-ZW"/>
        </w:rPr>
        <w:t>rd</w:t>
      </w:r>
      <w:r w:rsidR="008F7DC7">
        <w:rPr>
          <w:rFonts w:cs="Times New Roman"/>
          <w:color w:val="1F1F1F"/>
          <w:szCs w:val="24"/>
          <w:lang w:val="en-ZW"/>
        </w:rPr>
        <w:t xml:space="preserve"> respondents are not being represented by the deponent in these proceedings, but by their legal practitioners of record. </w:t>
      </w:r>
      <w:r w:rsidR="00996C48">
        <w:rPr>
          <w:rFonts w:cs="Times New Roman"/>
          <w:color w:val="1F1F1F"/>
          <w:szCs w:val="24"/>
          <w:lang w:val="en-ZW"/>
        </w:rPr>
        <w:t xml:space="preserve">The deponent is merely a witness, if this was a trial he would simply take the witness stand and testify under oath. </w:t>
      </w:r>
      <w:r w:rsidR="00FA593C">
        <w:rPr>
          <w:rFonts w:cs="Times New Roman"/>
          <w:color w:val="1F1F1F"/>
          <w:szCs w:val="24"/>
          <w:lang w:val="en-ZW"/>
        </w:rPr>
        <w:t xml:space="preserve">This position was stated with clarity in </w:t>
      </w:r>
      <w:r w:rsidR="00F37353" w:rsidRPr="00F37353">
        <w:rPr>
          <w:rFonts w:eastAsia="Times New Roman" w:cs="Times New Roman"/>
          <w:bCs/>
          <w:i/>
          <w:color w:val="4A4A4A"/>
          <w:szCs w:val="24"/>
          <w:lang w:val="en-ZW" w:eastAsia="en-ZW"/>
        </w:rPr>
        <w:t>Willoughby's Investments (Pvt) Ltd v Peruke Investments (Pvt) Ltd &amp; Anor</w:t>
      </w:r>
      <w:r w:rsidR="00F37353" w:rsidRPr="00F37353">
        <w:rPr>
          <w:rFonts w:eastAsia="Times New Roman" w:cs="Times New Roman"/>
          <w:bCs/>
          <w:color w:val="4A4A4A"/>
          <w:szCs w:val="24"/>
          <w:lang w:val="en-ZW" w:eastAsia="en-ZW"/>
        </w:rPr>
        <w:t xml:space="preserve"> HH 178/14</w:t>
      </w:r>
      <w:r w:rsidR="00FA593C">
        <w:rPr>
          <w:rFonts w:eastAsia="Times New Roman" w:cs="Times New Roman"/>
          <w:bCs/>
          <w:color w:val="4A4A4A"/>
          <w:szCs w:val="24"/>
          <w:lang w:val="en-ZW" w:eastAsia="en-ZW"/>
        </w:rPr>
        <w:t>, where</w:t>
      </w:r>
      <w:r w:rsidR="00F37353" w:rsidRPr="00F37353">
        <w:rPr>
          <w:rFonts w:eastAsia="Times New Roman" w:cs="Times New Roman"/>
          <w:bCs/>
          <w:color w:val="4A4A4A"/>
          <w:szCs w:val="24"/>
          <w:lang w:val="en-ZW" w:eastAsia="en-ZW"/>
        </w:rPr>
        <w:t xml:space="preserve"> the court held thus: </w:t>
      </w:r>
    </w:p>
    <w:p w:rsidR="00F16A8B" w:rsidRDefault="00F16A8B" w:rsidP="00230862">
      <w:pPr>
        <w:autoSpaceDE w:val="0"/>
        <w:autoSpaceDN w:val="0"/>
        <w:adjustRightInd w:val="0"/>
        <w:spacing w:after="0" w:line="276" w:lineRule="auto"/>
        <w:ind w:left="720"/>
        <w:jc w:val="both"/>
        <w:rPr>
          <w:rFonts w:cs="Times New Roman"/>
          <w:color w:val="4A4A4A"/>
          <w:szCs w:val="24"/>
          <w:shd w:val="clear" w:color="auto" w:fill="FFFFFF"/>
        </w:rPr>
      </w:pPr>
      <w:r w:rsidRPr="00230862">
        <w:rPr>
          <w:rFonts w:cs="Times New Roman"/>
          <w:color w:val="4A4A4A"/>
          <w:szCs w:val="24"/>
          <w:shd w:val="clear" w:color="auto" w:fill="FFFFFF"/>
        </w:rPr>
        <w:t xml:space="preserve">The applicant persisted with the contention that the deponent was not </w:t>
      </w:r>
      <w:proofErr w:type="spellStart"/>
      <w:r w:rsidRPr="00230862">
        <w:rPr>
          <w:rFonts w:cs="Times New Roman"/>
          <w:color w:val="4A4A4A"/>
          <w:szCs w:val="24"/>
          <w:shd w:val="clear" w:color="auto" w:fill="FFFFFF"/>
        </w:rPr>
        <w:t>authorised</w:t>
      </w:r>
      <w:proofErr w:type="spellEnd"/>
      <w:r w:rsidRPr="00230862">
        <w:rPr>
          <w:rFonts w:cs="Times New Roman"/>
          <w:color w:val="4A4A4A"/>
          <w:szCs w:val="24"/>
          <w:shd w:val="clear" w:color="auto" w:fill="FFFFFF"/>
        </w:rPr>
        <w:t xml:space="preserve"> to represent the respondent.  That argument seems to be raised with amazing regularity these days.  The applicant’s contention is not that the respondent has not sanctioned the opposition to the application but, rather, that the deponent is not </w:t>
      </w:r>
      <w:proofErr w:type="spellStart"/>
      <w:r w:rsidRPr="00230862">
        <w:rPr>
          <w:rFonts w:cs="Times New Roman"/>
          <w:color w:val="4A4A4A"/>
          <w:szCs w:val="24"/>
          <w:shd w:val="clear" w:color="auto" w:fill="FFFFFF"/>
        </w:rPr>
        <w:t>authorised</w:t>
      </w:r>
      <w:proofErr w:type="spellEnd"/>
      <w:r w:rsidRPr="00230862">
        <w:rPr>
          <w:rFonts w:cs="Times New Roman"/>
          <w:color w:val="4A4A4A"/>
          <w:szCs w:val="24"/>
          <w:shd w:val="clear" w:color="auto" w:fill="FFFFFF"/>
        </w:rPr>
        <w:t xml:space="preserve"> to represent the respondent in these proceedings.  But the respondent is represented not by the deponent but by its legal practitioners.  The rules are clear as to the qualification for a person to depose to an affidavit.  Order 32 r 227(4) provides that an affidavit filed in written applications “shall be made by the applicant or respondent, as the case may be, or by a person who can swear to the facts or averments set out </w:t>
      </w:r>
      <w:proofErr w:type="spellStart"/>
      <w:r w:rsidRPr="00230862">
        <w:rPr>
          <w:rFonts w:cs="Times New Roman"/>
          <w:color w:val="4A4A4A"/>
          <w:szCs w:val="24"/>
          <w:shd w:val="clear" w:color="auto" w:fill="FFFFFF"/>
        </w:rPr>
        <w:t>therein</w:t>
      </w:r>
      <w:proofErr w:type="spellEnd"/>
      <w:r w:rsidRPr="00230862">
        <w:rPr>
          <w:rFonts w:cs="Times New Roman"/>
          <w:color w:val="4A4A4A"/>
          <w:szCs w:val="24"/>
          <w:shd w:val="clear" w:color="auto" w:fill="FFFFFF"/>
        </w:rPr>
        <w:t>”.  In other words, a person who has knowledge of the facts and can swear to those facts is the one qualified to depose to an affidavit in application proceedings.  The applicant is not contesting the assertion that the deponent to the affidavit has knowledge of the facts stated in the affidavit.  The cases cited by the applicant in its heads of argument relate to authority to institute proceedings on behalf of a company or to take certain decisions on its behalf, and not to the competence of a witness to depose to an affidavit on behalf of a company.  Compare </w:t>
      </w:r>
      <w:r w:rsidRPr="00230862">
        <w:rPr>
          <w:rStyle w:val="Emphasis"/>
          <w:rFonts w:cs="Times New Roman"/>
          <w:color w:val="4A4A4A"/>
          <w:szCs w:val="24"/>
          <w:shd w:val="clear" w:color="auto" w:fill="FFFFFF"/>
        </w:rPr>
        <w:t>Madzivire &amp; Others </w:t>
      </w:r>
      <w:proofErr w:type="spellStart"/>
      <w:r w:rsidRPr="00230862">
        <w:rPr>
          <w:rFonts w:cs="Times New Roman"/>
          <w:color w:val="4A4A4A"/>
          <w:szCs w:val="24"/>
          <w:shd w:val="clear" w:color="auto" w:fill="FFFFFF"/>
        </w:rPr>
        <w:t>v</w:t>
      </w:r>
      <w:r w:rsidRPr="00230862">
        <w:rPr>
          <w:rStyle w:val="Emphasis"/>
          <w:rFonts w:cs="Times New Roman"/>
          <w:color w:val="4A4A4A"/>
          <w:szCs w:val="24"/>
          <w:shd w:val="clear" w:color="auto" w:fill="FFFFFF"/>
        </w:rPr>
        <w:t>Zvarivadza</w:t>
      </w:r>
      <w:proofErr w:type="spellEnd"/>
      <w:r w:rsidRPr="00230862">
        <w:rPr>
          <w:rStyle w:val="Emphasis"/>
          <w:rFonts w:cs="Times New Roman"/>
          <w:color w:val="4A4A4A"/>
          <w:szCs w:val="24"/>
          <w:shd w:val="clear" w:color="auto" w:fill="FFFFFF"/>
        </w:rPr>
        <w:t xml:space="preserve"> &amp; </w:t>
      </w:r>
      <w:proofErr w:type="gramStart"/>
      <w:r w:rsidRPr="00230862">
        <w:rPr>
          <w:rStyle w:val="Emphasis"/>
          <w:rFonts w:cs="Times New Roman"/>
          <w:color w:val="4A4A4A"/>
          <w:szCs w:val="24"/>
          <w:shd w:val="clear" w:color="auto" w:fill="FFFFFF"/>
        </w:rPr>
        <w:t>Others</w:t>
      </w:r>
      <w:proofErr w:type="gramEnd"/>
      <w:r w:rsidRPr="00230862">
        <w:rPr>
          <w:rStyle w:val="Emphasis"/>
          <w:rFonts w:cs="Times New Roman"/>
          <w:color w:val="4A4A4A"/>
          <w:szCs w:val="24"/>
          <w:shd w:val="clear" w:color="auto" w:fill="FFFFFF"/>
        </w:rPr>
        <w:t> </w:t>
      </w:r>
      <w:r w:rsidRPr="00230862">
        <w:rPr>
          <w:rFonts w:cs="Times New Roman"/>
          <w:color w:val="4A4A4A"/>
          <w:szCs w:val="24"/>
          <w:shd w:val="clear" w:color="auto" w:fill="FFFFFF"/>
        </w:rPr>
        <w:t>2005 (2) ZLR 148(H); see also </w:t>
      </w:r>
      <w:r w:rsidRPr="00230862">
        <w:rPr>
          <w:rStyle w:val="Emphasis"/>
          <w:rFonts w:cs="Times New Roman"/>
          <w:color w:val="4A4A4A"/>
          <w:szCs w:val="24"/>
          <w:shd w:val="clear" w:color="auto" w:fill="FFFFFF"/>
        </w:rPr>
        <w:t>Madzivire &amp; Others</w:t>
      </w:r>
      <w:r w:rsidRPr="00230862">
        <w:rPr>
          <w:rFonts w:cs="Times New Roman"/>
          <w:color w:val="4A4A4A"/>
          <w:szCs w:val="24"/>
          <w:shd w:val="clear" w:color="auto" w:fill="FFFFFF"/>
        </w:rPr>
        <w:t> </w:t>
      </w:r>
      <w:proofErr w:type="spellStart"/>
      <w:r w:rsidRPr="00230862">
        <w:rPr>
          <w:rFonts w:cs="Times New Roman"/>
          <w:color w:val="4A4A4A"/>
          <w:szCs w:val="24"/>
          <w:shd w:val="clear" w:color="auto" w:fill="FFFFFF"/>
        </w:rPr>
        <w:t>v</w:t>
      </w:r>
      <w:r w:rsidRPr="00230862">
        <w:rPr>
          <w:rStyle w:val="Emphasis"/>
          <w:rFonts w:cs="Times New Roman"/>
          <w:color w:val="4A4A4A"/>
          <w:szCs w:val="24"/>
          <w:shd w:val="clear" w:color="auto" w:fill="FFFFFF"/>
        </w:rPr>
        <w:t>Zvarivadza</w:t>
      </w:r>
      <w:proofErr w:type="spellEnd"/>
      <w:r w:rsidRPr="00230862">
        <w:rPr>
          <w:rStyle w:val="Emphasis"/>
          <w:rFonts w:cs="Times New Roman"/>
          <w:color w:val="4A4A4A"/>
          <w:szCs w:val="24"/>
          <w:shd w:val="clear" w:color="auto" w:fill="FFFFFF"/>
        </w:rPr>
        <w:t xml:space="preserve"> &amp; Ors </w:t>
      </w:r>
      <w:r w:rsidRPr="00230862">
        <w:rPr>
          <w:rFonts w:cs="Times New Roman"/>
          <w:color w:val="4A4A4A"/>
          <w:szCs w:val="24"/>
          <w:shd w:val="clear" w:color="auto" w:fill="FFFFFF"/>
        </w:rPr>
        <w:t>2006 (1) ZLR 514(S</w:t>
      </w:r>
      <w:r w:rsidRPr="00230862">
        <w:rPr>
          <w:rStyle w:val="Emphasis"/>
          <w:rFonts w:cs="Times New Roman"/>
          <w:color w:val="4A4A4A"/>
          <w:szCs w:val="24"/>
          <w:shd w:val="clear" w:color="auto" w:fill="FFFFFF"/>
        </w:rPr>
        <w:t>)</w:t>
      </w:r>
      <w:r w:rsidRPr="00230862">
        <w:rPr>
          <w:rFonts w:cs="Times New Roman"/>
          <w:color w:val="4A4A4A"/>
          <w:szCs w:val="24"/>
          <w:shd w:val="clear" w:color="auto" w:fill="FFFFFF"/>
        </w:rPr>
        <w:t>.  For that reason, the objection cannot be sustained.</w:t>
      </w:r>
    </w:p>
    <w:p w:rsidR="001B680F" w:rsidRDefault="00122295" w:rsidP="00893B84">
      <w:pPr>
        <w:autoSpaceDE w:val="0"/>
        <w:autoSpaceDN w:val="0"/>
        <w:adjustRightInd w:val="0"/>
        <w:spacing w:after="0"/>
        <w:ind w:firstLine="720"/>
        <w:jc w:val="both"/>
        <w:rPr>
          <w:rFonts w:cs="Times New Roman"/>
          <w:color w:val="4A4A4A"/>
          <w:szCs w:val="24"/>
          <w:shd w:val="clear" w:color="auto" w:fill="FFFFFF"/>
        </w:rPr>
      </w:pPr>
      <w:r w:rsidRPr="00230862">
        <w:rPr>
          <w:rFonts w:cs="Times New Roman"/>
          <w:color w:val="4A4A4A"/>
          <w:szCs w:val="24"/>
          <w:shd w:val="clear" w:color="auto" w:fill="FFFFFF"/>
        </w:rPr>
        <w:t xml:space="preserve">The applicant is not contesting the assertion that the deponent to the </w:t>
      </w:r>
      <w:r w:rsidR="00C7555A">
        <w:rPr>
          <w:rFonts w:cs="Times New Roman"/>
          <w:color w:val="4A4A4A"/>
          <w:szCs w:val="24"/>
          <w:shd w:val="clear" w:color="auto" w:fill="FFFFFF"/>
        </w:rPr>
        <w:t xml:space="preserve">opposing </w:t>
      </w:r>
      <w:r w:rsidRPr="00230862">
        <w:rPr>
          <w:rFonts w:cs="Times New Roman"/>
          <w:color w:val="4A4A4A"/>
          <w:szCs w:val="24"/>
          <w:shd w:val="clear" w:color="auto" w:fill="FFFFFF"/>
        </w:rPr>
        <w:t xml:space="preserve">affidavit has knowledge of the facts stated in the affidavit.  </w:t>
      </w:r>
      <w:r w:rsidR="00C7555A">
        <w:rPr>
          <w:rFonts w:cs="Times New Roman"/>
          <w:color w:val="4A4A4A"/>
          <w:szCs w:val="24"/>
          <w:shd w:val="clear" w:color="auto" w:fill="FFFFFF"/>
        </w:rPr>
        <w:t xml:space="preserve">Therefore he is a competent deponent or witness in this matter. </w:t>
      </w:r>
      <w:r w:rsidR="000E464C">
        <w:rPr>
          <w:rFonts w:cs="Times New Roman"/>
          <w:color w:val="4A4A4A"/>
          <w:szCs w:val="24"/>
          <w:shd w:val="clear" w:color="auto" w:fill="FFFFFF"/>
        </w:rPr>
        <w:t xml:space="preserve">As a deponent or witness he can only be disqualified if </w:t>
      </w:r>
      <w:r w:rsidR="00F91FAF">
        <w:rPr>
          <w:rFonts w:cs="Times New Roman"/>
          <w:color w:val="4A4A4A"/>
          <w:szCs w:val="24"/>
          <w:shd w:val="clear" w:color="auto" w:fill="FFFFFF"/>
        </w:rPr>
        <w:t xml:space="preserve">he does not meet the requirement of </w:t>
      </w:r>
      <w:r w:rsidR="00F91FAF" w:rsidRPr="00230862">
        <w:rPr>
          <w:rFonts w:cs="Times New Roman"/>
          <w:color w:val="4A4A4A"/>
          <w:szCs w:val="24"/>
          <w:shd w:val="clear" w:color="auto" w:fill="FFFFFF"/>
        </w:rPr>
        <w:t xml:space="preserve">Order 32 r 227(4) </w:t>
      </w:r>
      <w:r w:rsidR="00F91FAF">
        <w:rPr>
          <w:rFonts w:cs="Times New Roman"/>
          <w:color w:val="4A4A4A"/>
          <w:szCs w:val="24"/>
          <w:shd w:val="clear" w:color="auto" w:fill="FFFFFF"/>
        </w:rPr>
        <w:t xml:space="preserve">of the High Court Rules, 1971 which </w:t>
      </w:r>
      <w:r w:rsidR="00F91FAF" w:rsidRPr="00230862">
        <w:rPr>
          <w:rFonts w:cs="Times New Roman"/>
          <w:color w:val="4A4A4A"/>
          <w:szCs w:val="24"/>
          <w:shd w:val="clear" w:color="auto" w:fill="FFFFFF"/>
        </w:rPr>
        <w:t xml:space="preserve">provides that an affidavit filed in written applications “shall be made by the applicant or respondent, as the case may be, </w:t>
      </w:r>
      <w:r w:rsidR="00F91FAF" w:rsidRPr="001B680F">
        <w:rPr>
          <w:rFonts w:cs="Times New Roman"/>
          <w:color w:val="4A4A4A"/>
          <w:szCs w:val="24"/>
          <w:shd w:val="clear" w:color="auto" w:fill="FFFFFF"/>
        </w:rPr>
        <w:t>or by a person who can swear to the facts or averments set out therein</w:t>
      </w:r>
      <w:r w:rsidR="000220FA" w:rsidRPr="001B680F">
        <w:rPr>
          <w:rFonts w:cs="Times New Roman"/>
          <w:color w:val="4A4A4A"/>
          <w:szCs w:val="24"/>
          <w:shd w:val="clear" w:color="auto" w:fill="FFFFFF"/>
        </w:rPr>
        <w:t>.</w:t>
      </w:r>
      <w:r w:rsidR="000220FA">
        <w:rPr>
          <w:rFonts w:cs="Times New Roman"/>
          <w:color w:val="4A4A4A"/>
          <w:szCs w:val="24"/>
          <w:shd w:val="clear" w:color="auto" w:fill="FFFFFF"/>
        </w:rPr>
        <w:t>”</w:t>
      </w:r>
      <w:r w:rsidR="00994300">
        <w:rPr>
          <w:rFonts w:cs="Times New Roman"/>
          <w:color w:val="4A4A4A"/>
          <w:szCs w:val="24"/>
          <w:shd w:val="clear" w:color="auto" w:fill="FFFFFF"/>
        </w:rPr>
        <w:t xml:space="preserve"> </w:t>
      </w:r>
    </w:p>
    <w:p w:rsidR="00122295" w:rsidRDefault="00994300" w:rsidP="00893B84">
      <w:pPr>
        <w:autoSpaceDE w:val="0"/>
        <w:autoSpaceDN w:val="0"/>
        <w:adjustRightInd w:val="0"/>
        <w:spacing w:after="0"/>
        <w:ind w:firstLine="720"/>
        <w:jc w:val="both"/>
        <w:rPr>
          <w:rFonts w:cs="Times New Roman"/>
          <w:color w:val="4A4A4A"/>
          <w:szCs w:val="24"/>
          <w:shd w:val="clear" w:color="auto" w:fill="FFFFFF"/>
        </w:rPr>
      </w:pPr>
      <w:r>
        <w:rPr>
          <w:rFonts w:cs="Times New Roman"/>
          <w:color w:val="4A4A4A"/>
          <w:szCs w:val="24"/>
          <w:shd w:val="clear" w:color="auto" w:fill="FFFFFF"/>
        </w:rPr>
        <w:t>As a deponent he is not instituting</w:t>
      </w:r>
      <w:r w:rsidR="00122295" w:rsidRPr="00230862">
        <w:rPr>
          <w:rFonts w:cs="Times New Roman"/>
          <w:color w:val="4A4A4A"/>
          <w:szCs w:val="24"/>
          <w:shd w:val="clear" w:color="auto" w:fill="FFFFFF"/>
        </w:rPr>
        <w:t xml:space="preserve"> pr</w:t>
      </w:r>
      <w:r>
        <w:rPr>
          <w:rFonts w:cs="Times New Roman"/>
          <w:color w:val="4A4A4A"/>
          <w:szCs w:val="24"/>
          <w:shd w:val="clear" w:color="auto" w:fill="FFFFFF"/>
        </w:rPr>
        <w:t>oceedings on behalf of 2</w:t>
      </w:r>
      <w:r w:rsidRPr="00994300">
        <w:rPr>
          <w:rFonts w:cs="Times New Roman"/>
          <w:color w:val="4A4A4A"/>
          <w:szCs w:val="24"/>
          <w:shd w:val="clear" w:color="auto" w:fill="FFFFFF"/>
          <w:vertAlign w:val="superscript"/>
        </w:rPr>
        <w:t>nd</w:t>
      </w:r>
      <w:r>
        <w:rPr>
          <w:rFonts w:cs="Times New Roman"/>
          <w:color w:val="4A4A4A"/>
          <w:szCs w:val="24"/>
          <w:shd w:val="clear" w:color="auto" w:fill="FFFFFF"/>
        </w:rPr>
        <w:t xml:space="preserve"> and 3</w:t>
      </w:r>
      <w:r w:rsidRPr="00994300">
        <w:rPr>
          <w:rFonts w:cs="Times New Roman"/>
          <w:color w:val="4A4A4A"/>
          <w:szCs w:val="24"/>
          <w:shd w:val="clear" w:color="auto" w:fill="FFFFFF"/>
          <w:vertAlign w:val="superscript"/>
        </w:rPr>
        <w:t>rd</w:t>
      </w:r>
      <w:r>
        <w:rPr>
          <w:rFonts w:cs="Times New Roman"/>
          <w:color w:val="4A4A4A"/>
          <w:szCs w:val="24"/>
          <w:shd w:val="clear" w:color="auto" w:fill="FFFFFF"/>
        </w:rPr>
        <w:t xml:space="preserve"> respondents</w:t>
      </w:r>
      <w:r w:rsidR="00122295" w:rsidRPr="00230862">
        <w:rPr>
          <w:rFonts w:cs="Times New Roman"/>
          <w:color w:val="4A4A4A"/>
          <w:szCs w:val="24"/>
          <w:shd w:val="clear" w:color="auto" w:fill="FFFFFF"/>
        </w:rPr>
        <w:t xml:space="preserve"> or </w:t>
      </w:r>
      <w:r w:rsidR="00975847">
        <w:rPr>
          <w:rFonts w:cs="Times New Roman"/>
          <w:color w:val="4A4A4A"/>
          <w:szCs w:val="24"/>
          <w:shd w:val="clear" w:color="auto" w:fill="FFFFFF"/>
        </w:rPr>
        <w:t>to taking</w:t>
      </w:r>
      <w:r w:rsidR="00D95B3E">
        <w:rPr>
          <w:rFonts w:cs="Times New Roman"/>
          <w:color w:val="4A4A4A"/>
          <w:szCs w:val="24"/>
          <w:shd w:val="clear" w:color="auto" w:fill="FFFFFF"/>
        </w:rPr>
        <w:t xml:space="preserve"> certain decisions on their behalf. </w:t>
      </w:r>
      <w:r w:rsidR="00122295" w:rsidRPr="00230862">
        <w:rPr>
          <w:rFonts w:cs="Times New Roman"/>
          <w:color w:val="4A4A4A"/>
          <w:szCs w:val="24"/>
          <w:shd w:val="clear" w:color="auto" w:fill="FFFFFF"/>
        </w:rPr>
        <w:t xml:space="preserve"> </w:t>
      </w:r>
      <w:r w:rsidR="00D95B3E">
        <w:rPr>
          <w:rFonts w:cs="Times New Roman"/>
          <w:color w:val="4A4A4A"/>
          <w:szCs w:val="24"/>
          <w:shd w:val="clear" w:color="auto" w:fill="FFFFFF"/>
        </w:rPr>
        <w:t xml:space="preserve">This is a distinction </w:t>
      </w:r>
      <w:r w:rsidR="00785EC4">
        <w:rPr>
          <w:rFonts w:cs="Times New Roman"/>
          <w:color w:val="4A4A4A"/>
          <w:szCs w:val="24"/>
          <w:shd w:val="clear" w:color="auto" w:fill="FFFFFF"/>
        </w:rPr>
        <w:t>that must be taken note of</w:t>
      </w:r>
      <w:r w:rsidR="00D978DC">
        <w:rPr>
          <w:rFonts w:cs="Times New Roman"/>
          <w:color w:val="4A4A4A"/>
          <w:szCs w:val="24"/>
          <w:shd w:val="clear" w:color="auto" w:fill="FFFFFF"/>
        </w:rPr>
        <w:t xml:space="preserve"> i.e. the difference between the </w:t>
      </w:r>
      <w:r w:rsidR="00975847">
        <w:rPr>
          <w:rFonts w:cs="Times New Roman"/>
          <w:color w:val="4A4A4A"/>
          <w:szCs w:val="24"/>
          <w:shd w:val="clear" w:color="auto" w:fill="FFFFFF"/>
        </w:rPr>
        <w:t>authority to institute or</w:t>
      </w:r>
      <w:r w:rsidR="00D978DC">
        <w:rPr>
          <w:rFonts w:cs="Times New Roman"/>
          <w:color w:val="4A4A4A"/>
          <w:szCs w:val="24"/>
          <w:shd w:val="clear" w:color="auto" w:fill="FFFFFF"/>
        </w:rPr>
        <w:t xml:space="preserve"> defend proceedings and</w:t>
      </w:r>
      <w:r w:rsidR="00122295" w:rsidRPr="00230862">
        <w:rPr>
          <w:rFonts w:cs="Times New Roman"/>
          <w:color w:val="4A4A4A"/>
          <w:szCs w:val="24"/>
          <w:shd w:val="clear" w:color="auto" w:fill="FFFFFF"/>
        </w:rPr>
        <w:t xml:space="preserve"> the competence of a witness to depose to an </w:t>
      </w:r>
      <w:r w:rsidR="00975847">
        <w:rPr>
          <w:rFonts w:cs="Times New Roman"/>
          <w:color w:val="4A4A4A"/>
          <w:szCs w:val="24"/>
          <w:shd w:val="clear" w:color="auto" w:fill="FFFFFF"/>
        </w:rPr>
        <w:t>affidavit on behalf of a litigant</w:t>
      </w:r>
      <w:r w:rsidR="00122295" w:rsidRPr="00230862">
        <w:rPr>
          <w:rFonts w:cs="Times New Roman"/>
          <w:color w:val="4A4A4A"/>
          <w:szCs w:val="24"/>
          <w:shd w:val="clear" w:color="auto" w:fill="FFFFFF"/>
        </w:rPr>
        <w:t>.</w:t>
      </w:r>
      <w:r w:rsidR="000744F7" w:rsidRPr="000744F7">
        <w:rPr>
          <w:rFonts w:cs="Times New Roman"/>
          <w:color w:val="1F1F1F"/>
          <w:szCs w:val="24"/>
          <w:lang w:val="en-ZW"/>
        </w:rPr>
        <w:t xml:space="preserve"> </w:t>
      </w:r>
      <w:r w:rsidR="00733C33">
        <w:rPr>
          <w:rFonts w:cs="Times New Roman"/>
          <w:color w:val="1F1F1F"/>
          <w:szCs w:val="24"/>
          <w:lang w:val="en-ZW"/>
        </w:rPr>
        <w:t xml:space="preserve">On the facts of this case </w:t>
      </w:r>
      <w:r w:rsidR="00733C33">
        <w:rPr>
          <w:rFonts w:cs="Times New Roman"/>
          <w:color w:val="4A4A4A"/>
          <w:szCs w:val="24"/>
          <w:shd w:val="clear" w:color="auto" w:fill="FFFFFF"/>
        </w:rPr>
        <w:t>I find that the deponent is</w:t>
      </w:r>
      <w:r w:rsidR="00893B84">
        <w:rPr>
          <w:rFonts w:cs="Times New Roman"/>
          <w:color w:val="4A4A4A"/>
          <w:szCs w:val="24"/>
          <w:shd w:val="clear" w:color="auto" w:fill="FFFFFF"/>
        </w:rPr>
        <w:t xml:space="preserve"> a competent witness to depose to the opposing affidavit on behalf of 2</w:t>
      </w:r>
      <w:r w:rsidR="00893B84" w:rsidRPr="009F0B63">
        <w:rPr>
          <w:rFonts w:cs="Times New Roman"/>
          <w:color w:val="4A4A4A"/>
          <w:szCs w:val="24"/>
          <w:shd w:val="clear" w:color="auto" w:fill="FFFFFF"/>
          <w:vertAlign w:val="superscript"/>
        </w:rPr>
        <w:t>nd</w:t>
      </w:r>
      <w:r w:rsidR="00893B84">
        <w:rPr>
          <w:rFonts w:cs="Times New Roman"/>
          <w:color w:val="4A4A4A"/>
          <w:szCs w:val="24"/>
          <w:shd w:val="clear" w:color="auto" w:fill="FFFFFF"/>
        </w:rPr>
        <w:t xml:space="preserve"> and 3</w:t>
      </w:r>
      <w:r w:rsidR="00893B84" w:rsidRPr="009F0B63">
        <w:rPr>
          <w:rFonts w:cs="Times New Roman"/>
          <w:color w:val="4A4A4A"/>
          <w:szCs w:val="24"/>
          <w:shd w:val="clear" w:color="auto" w:fill="FFFFFF"/>
          <w:vertAlign w:val="superscript"/>
        </w:rPr>
        <w:t>rd</w:t>
      </w:r>
      <w:r w:rsidR="00893B84">
        <w:rPr>
          <w:rFonts w:cs="Times New Roman"/>
          <w:color w:val="4A4A4A"/>
          <w:szCs w:val="24"/>
          <w:shd w:val="clear" w:color="auto" w:fill="FFFFFF"/>
        </w:rPr>
        <w:t xml:space="preserve"> respondents. </w:t>
      </w:r>
      <w:r w:rsidR="000744F7">
        <w:rPr>
          <w:rFonts w:cs="Times New Roman"/>
          <w:color w:val="1F1F1F"/>
          <w:szCs w:val="24"/>
          <w:lang w:val="en-ZW"/>
        </w:rPr>
        <w:t>The contention that there is no company resolution appo</w:t>
      </w:r>
      <w:r w:rsidR="00975847">
        <w:rPr>
          <w:rFonts w:cs="Times New Roman"/>
          <w:color w:val="1F1F1F"/>
          <w:szCs w:val="24"/>
          <w:lang w:val="en-ZW"/>
        </w:rPr>
        <w:t>inting</w:t>
      </w:r>
      <w:r w:rsidR="00785EC4">
        <w:rPr>
          <w:rFonts w:cs="Times New Roman"/>
          <w:color w:val="1F1F1F"/>
          <w:szCs w:val="24"/>
          <w:lang w:val="en-ZW"/>
        </w:rPr>
        <w:t xml:space="preserve"> him</w:t>
      </w:r>
      <w:r w:rsidR="000744F7">
        <w:rPr>
          <w:rFonts w:cs="Times New Roman"/>
          <w:color w:val="1F1F1F"/>
          <w:szCs w:val="24"/>
          <w:lang w:val="en-ZW"/>
        </w:rPr>
        <w:t xml:space="preserve"> to represent the 2</w:t>
      </w:r>
      <w:r w:rsidR="000744F7" w:rsidRPr="008206B4">
        <w:rPr>
          <w:rFonts w:cs="Times New Roman"/>
          <w:color w:val="1F1F1F"/>
          <w:szCs w:val="24"/>
          <w:vertAlign w:val="superscript"/>
          <w:lang w:val="en-ZW"/>
        </w:rPr>
        <w:t>nd</w:t>
      </w:r>
      <w:r w:rsidR="000744F7">
        <w:rPr>
          <w:rFonts w:cs="Times New Roman"/>
          <w:color w:val="1F1F1F"/>
          <w:szCs w:val="24"/>
          <w:lang w:val="en-ZW"/>
        </w:rPr>
        <w:t xml:space="preserve"> and 3</w:t>
      </w:r>
      <w:r w:rsidR="000744F7" w:rsidRPr="00A23087">
        <w:rPr>
          <w:rFonts w:cs="Times New Roman"/>
          <w:color w:val="1F1F1F"/>
          <w:szCs w:val="24"/>
          <w:vertAlign w:val="superscript"/>
          <w:lang w:val="en-ZW"/>
        </w:rPr>
        <w:t>rd</w:t>
      </w:r>
      <w:r w:rsidR="000744F7">
        <w:rPr>
          <w:rFonts w:cs="Times New Roman"/>
          <w:color w:val="1F1F1F"/>
          <w:szCs w:val="24"/>
          <w:lang w:val="en-ZW"/>
        </w:rPr>
        <w:t xml:space="preserve"> respondents in this matter must fail.</w:t>
      </w:r>
      <w:r w:rsidR="00747FBA">
        <w:rPr>
          <w:rFonts w:cs="Times New Roman"/>
          <w:color w:val="4A4A4A"/>
          <w:szCs w:val="24"/>
          <w:shd w:val="clear" w:color="auto" w:fill="FFFFFF"/>
        </w:rPr>
        <w:t xml:space="preserve"> </w:t>
      </w:r>
    </w:p>
    <w:p w:rsidR="000752F3" w:rsidRDefault="00477DFE" w:rsidP="00695F84">
      <w:pPr>
        <w:autoSpaceDE w:val="0"/>
        <w:autoSpaceDN w:val="0"/>
        <w:adjustRightInd w:val="0"/>
        <w:spacing w:after="0"/>
        <w:ind w:firstLine="720"/>
        <w:jc w:val="both"/>
        <w:rPr>
          <w:rFonts w:cs="Times New Roman"/>
          <w:color w:val="1F1F1F"/>
          <w:szCs w:val="24"/>
          <w:lang w:val="en-ZW"/>
        </w:rPr>
      </w:pPr>
      <w:r>
        <w:rPr>
          <w:bCs/>
        </w:rPr>
        <w:t>This s</w:t>
      </w:r>
      <w:r w:rsidRPr="00497352">
        <w:rPr>
          <w:bCs/>
        </w:rPr>
        <w:t xml:space="preserve">hould really </w:t>
      </w:r>
      <w:r w:rsidR="00893B84">
        <w:rPr>
          <w:bCs/>
        </w:rPr>
        <w:t>mark an end to the</w:t>
      </w:r>
      <w:r>
        <w:rPr>
          <w:bCs/>
        </w:rPr>
        <w:t xml:space="preserve"> inquiry</w:t>
      </w:r>
      <w:r w:rsidR="008D645A">
        <w:rPr>
          <w:bCs/>
        </w:rPr>
        <w:t xml:space="preserve"> into this point </w:t>
      </w:r>
      <w:r w:rsidR="008D645A" w:rsidRPr="008D645A">
        <w:rPr>
          <w:bCs/>
          <w:i/>
        </w:rPr>
        <w:t>in limine</w:t>
      </w:r>
      <w:r>
        <w:rPr>
          <w:bCs/>
        </w:rPr>
        <w:t xml:space="preserve">, </w:t>
      </w:r>
      <w:r w:rsidRPr="00497352">
        <w:rPr>
          <w:bCs/>
        </w:rPr>
        <w:t>b</w:t>
      </w:r>
      <w:r>
        <w:rPr>
          <w:bCs/>
        </w:rPr>
        <w:t xml:space="preserve">ut for the </w:t>
      </w:r>
      <w:r w:rsidR="00893B84">
        <w:rPr>
          <w:bCs/>
        </w:rPr>
        <w:t>sake of completeness I deal</w:t>
      </w:r>
      <w:r w:rsidR="008D645A">
        <w:rPr>
          <w:bCs/>
        </w:rPr>
        <w:t xml:space="preserve"> </w:t>
      </w:r>
      <w:r>
        <w:rPr>
          <w:bCs/>
        </w:rPr>
        <w:t>with oth</w:t>
      </w:r>
      <w:r w:rsidR="00FB5FDC">
        <w:rPr>
          <w:bCs/>
        </w:rPr>
        <w:t xml:space="preserve">er </w:t>
      </w:r>
      <w:proofErr w:type="spellStart"/>
      <w:r w:rsidR="00893B84">
        <w:rPr>
          <w:bCs/>
        </w:rPr>
        <w:t>anciliary</w:t>
      </w:r>
      <w:proofErr w:type="spellEnd"/>
      <w:r w:rsidR="00893B84">
        <w:rPr>
          <w:bCs/>
        </w:rPr>
        <w:t xml:space="preserve"> </w:t>
      </w:r>
      <w:r w:rsidR="00017ADF">
        <w:rPr>
          <w:bCs/>
        </w:rPr>
        <w:t>issues taken</w:t>
      </w:r>
      <w:r w:rsidR="00FB5FDC">
        <w:rPr>
          <w:bCs/>
        </w:rPr>
        <w:t xml:space="preserve"> by applicant.</w:t>
      </w:r>
      <w:r w:rsidR="003A3BD8">
        <w:rPr>
          <w:bCs/>
        </w:rPr>
        <w:t xml:space="preserve"> </w:t>
      </w:r>
      <w:r w:rsidR="006732BC">
        <w:rPr>
          <w:bCs/>
        </w:rPr>
        <w:t xml:space="preserve">Applicant submits that the deponent to the opposing affidavit </w:t>
      </w:r>
      <w:r w:rsidR="009455BF">
        <w:rPr>
          <w:bCs/>
        </w:rPr>
        <w:t>is relying on the same authority or documents which were rejected by this court</w:t>
      </w:r>
      <w:r w:rsidR="00153CB6">
        <w:rPr>
          <w:bCs/>
        </w:rPr>
        <w:t xml:space="preserve"> in the main matter HC 2693/15.</w:t>
      </w:r>
      <w:r w:rsidR="00231E3F">
        <w:rPr>
          <w:bCs/>
        </w:rPr>
        <w:t xml:space="preserve"> </w:t>
      </w:r>
      <w:r w:rsidR="00695F84">
        <w:rPr>
          <w:bCs/>
        </w:rPr>
        <w:t xml:space="preserve"> </w:t>
      </w:r>
      <w:r w:rsidR="00262171">
        <w:rPr>
          <w:rFonts w:cs="Times New Roman"/>
          <w:color w:val="1F1F1F"/>
          <w:szCs w:val="24"/>
          <w:lang w:val="en-ZW"/>
        </w:rPr>
        <w:t>Again a</w:t>
      </w:r>
      <w:r w:rsidR="00883E26">
        <w:rPr>
          <w:rFonts w:cs="Times New Roman"/>
          <w:color w:val="1F1F1F"/>
          <w:szCs w:val="24"/>
          <w:lang w:val="en-ZW"/>
        </w:rPr>
        <w:t xml:space="preserve"> </w:t>
      </w:r>
      <w:r w:rsidR="00E37354">
        <w:rPr>
          <w:rFonts w:cs="Times New Roman"/>
          <w:color w:val="1F1F1F"/>
          <w:szCs w:val="24"/>
          <w:lang w:val="en-ZW"/>
        </w:rPr>
        <w:t xml:space="preserve">clear </w:t>
      </w:r>
      <w:r w:rsidR="00883E26">
        <w:rPr>
          <w:rFonts w:cs="Times New Roman"/>
          <w:color w:val="1F1F1F"/>
          <w:szCs w:val="24"/>
          <w:lang w:val="en-ZW"/>
        </w:rPr>
        <w:t xml:space="preserve">look at the judgment in </w:t>
      </w:r>
      <w:r w:rsidR="00114098" w:rsidRPr="00DD246A">
        <w:rPr>
          <w:rFonts w:cs="Times New Roman"/>
          <w:i/>
          <w:color w:val="1F1F1F"/>
          <w:szCs w:val="24"/>
          <w:lang w:val="en-ZW"/>
        </w:rPr>
        <w:t>Warman Zimbabwe (Pvt) Ltd and Ors v Dhliwayo and Ors</w:t>
      </w:r>
      <w:r w:rsidR="00114098">
        <w:rPr>
          <w:rFonts w:cs="Times New Roman"/>
          <w:i/>
          <w:color w:val="1F1F1F"/>
          <w:szCs w:val="24"/>
          <w:lang w:val="en-ZW"/>
        </w:rPr>
        <w:t xml:space="preserve"> </w:t>
      </w:r>
      <w:r w:rsidR="00883E26">
        <w:rPr>
          <w:rFonts w:cs="Times New Roman"/>
          <w:color w:val="1F1F1F"/>
          <w:szCs w:val="24"/>
          <w:lang w:val="en-ZW"/>
        </w:rPr>
        <w:t xml:space="preserve">shows that </w:t>
      </w:r>
      <w:r w:rsidR="00114098">
        <w:rPr>
          <w:rFonts w:cs="Times New Roman"/>
          <w:color w:val="1F1F1F"/>
          <w:szCs w:val="24"/>
          <w:lang w:val="en-ZW"/>
        </w:rPr>
        <w:t xml:space="preserve">this court did not deal with </w:t>
      </w:r>
      <w:r w:rsidR="005E5657">
        <w:rPr>
          <w:rFonts w:cs="Times New Roman"/>
          <w:color w:val="1F1F1F"/>
          <w:szCs w:val="24"/>
          <w:lang w:val="en-ZW"/>
        </w:rPr>
        <w:t xml:space="preserve">the </w:t>
      </w:r>
      <w:r w:rsidR="00E37354">
        <w:rPr>
          <w:rFonts w:cs="Times New Roman"/>
          <w:color w:val="1F1F1F"/>
          <w:szCs w:val="24"/>
          <w:lang w:val="en-ZW"/>
        </w:rPr>
        <w:t>competence of the deponent</w:t>
      </w:r>
      <w:r w:rsidR="0037130D">
        <w:rPr>
          <w:rFonts w:cs="Times New Roman"/>
          <w:color w:val="1F1F1F"/>
          <w:szCs w:val="24"/>
          <w:lang w:val="en-ZW"/>
        </w:rPr>
        <w:t xml:space="preserve"> to depose to the opposing affidavit on behalf of the</w:t>
      </w:r>
      <w:r w:rsidR="00114098">
        <w:rPr>
          <w:rFonts w:cs="Times New Roman"/>
          <w:color w:val="1F1F1F"/>
          <w:szCs w:val="24"/>
          <w:lang w:val="en-ZW"/>
        </w:rPr>
        <w:t xml:space="preserve"> of the 2</w:t>
      </w:r>
      <w:r w:rsidR="00114098" w:rsidRPr="000E7DCF">
        <w:rPr>
          <w:rFonts w:cs="Times New Roman"/>
          <w:color w:val="1F1F1F"/>
          <w:szCs w:val="24"/>
          <w:vertAlign w:val="superscript"/>
          <w:lang w:val="en-ZW"/>
        </w:rPr>
        <w:t>nd</w:t>
      </w:r>
      <w:r w:rsidR="00114098">
        <w:rPr>
          <w:rFonts w:cs="Times New Roman"/>
          <w:color w:val="1F1F1F"/>
          <w:szCs w:val="24"/>
          <w:lang w:val="en-ZW"/>
        </w:rPr>
        <w:t xml:space="preserve"> respondent and special power of attorney signed by the 3</w:t>
      </w:r>
      <w:r w:rsidR="00114098" w:rsidRPr="00BE59E5">
        <w:rPr>
          <w:rFonts w:cs="Times New Roman"/>
          <w:color w:val="1F1F1F"/>
          <w:szCs w:val="24"/>
          <w:vertAlign w:val="superscript"/>
          <w:lang w:val="en-ZW"/>
        </w:rPr>
        <w:t>rd</w:t>
      </w:r>
      <w:r w:rsidR="0037130D">
        <w:rPr>
          <w:rFonts w:cs="Times New Roman"/>
          <w:color w:val="1F1F1F"/>
          <w:szCs w:val="24"/>
          <w:lang w:val="en-ZW"/>
        </w:rPr>
        <w:t xml:space="preserve"> respondent</w:t>
      </w:r>
      <w:r w:rsidR="00114098">
        <w:rPr>
          <w:rFonts w:cs="Times New Roman"/>
          <w:color w:val="1F1F1F"/>
          <w:szCs w:val="24"/>
          <w:lang w:val="en-ZW"/>
        </w:rPr>
        <w:t xml:space="preserve">. </w:t>
      </w:r>
      <w:r w:rsidR="00153CB6">
        <w:rPr>
          <w:rFonts w:cs="Times New Roman"/>
          <w:color w:val="1F1F1F"/>
          <w:szCs w:val="24"/>
          <w:lang w:val="en-ZW"/>
        </w:rPr>
        <w:t>In fact I take the view that there</w:t>
      </w:r>
      <w:r w:rsidR="006F70F4">
        <w:rPr>
          <w:rFonts w:cs="Times New Roman"/>
          <w:color w:val="1F1F1F"/>
          <w:szCs w:val="24"/>
          <w:lang w:val="en-ZW"/>
        </w:rPr>
        <w:t xml:space="preserve"> is nothing irregular about </w:t>
      </w:r>
      <w:r w:rsidR="00551AFA">
        <w:rPr>
          <w:rFonts w:cs="Times New Roman"/>
          <w:color w:val="1F1F1F"/>
          <w:szCs w:val="24"/>
          <w:lang w:val="en-ZW"/>
        </w:rPr>
        <w:t xml:space="preserve">the special power of attorney. </w:t>
      </w:r>
      <w:r w:rsidR="005B50D4">
        <w:rPr>
          <w:rFonts w:cs="Times New Roman"/>
          <w:color w:val="1F1F1F"/>
          <w:szCs w:val="24"/>
          <w:lang w:val="en-ZW"/>
        </w:rPr>
        <w:t xml:space="preserve">To my mind based on the facts of this case </w:t>
      </w:r>
      <w:r w:rsidR="009554BC">
        <w:rPr>
          <w:rFonts w:cs="Times New Roman"/>
          <w:color w:val="1F1F1F"/>
          <w:szCs w:val="24"/>
          <w:lang w:val="en-ZW"/>
        </w:rPr>
        <w:t>there is a proper and valid notice of opposition by 2</w:t>
      </w:r>
      <w:r w:rsidR="009554BC" w:rsidRPr="009554BC">
        <w:rPr>
          <w:rFonts w:cs="Times New Roman"/>
          <w:color w:val="1F1F1F"/>
          <w:szCs w:val="24"/>
          <w:vertAlign w:val="superscript"/>
          <w:lang w:val="en-ZW"/>
        </w:rPr>
        <w:t>nd</w:t>
      </w:r>
      <w:r w:rsidR="009554BC">
        <w:rPr>
          <w:rFonts w:cs="Times New Roman"/>
          <w:color w:val="1F1F1F"/>
          <w:szCs w:val="24"/>
          <w:lang w:val="en-ZW"/>
        </w:rPr>
        <w:t xml:space="preserve"> and 3</w:t>
      </w:r>
      <w:r w:rsidR="009554BC" w:rsidRPr="009554BC">
        <w:rPr>
          <w:rFonts w:cs="Times New Roman"/>
          <w:color w:val="1F1F1F"/>
          <w:szCs w:val="24"/>
          <w:vertAlign w:val="superscript"/>
          <w:lang w:val="en-ZW"/>
        </w:rPr>
        <w:t>rd</w:t>
      </w:r>
      <w:r w:rsidR="009554BC">
        <w:rPr>
          <w:rFonts w:cs="Times New Roman"/>
          <w:color w:val="1F1F1F"/>
          <w:szCs w:val="24"/>
          <w:lang w:val="en-ZW"/>
        </w:rPr>
        <w:t xml:space="preserve"> respondents. </w:t>
      </w:r>
    </w:p>
    <w:p w:rsidR="00AA01DD" w:rsidRDefault="00D206A8" w:rsidP="00456B8D">
      <w:pPr>
        <w:autoSpaceDE w:val="0"/>
        <w:autoSpaceDN w:val="0"/>
        <w:adjustRightInd w:val="0"/>
        <w:spacing w:after="0"/>
        <w:ind w:firstLine="720"/>
        <w:jc w:val="both"/>
        <w:rPr>
          <w:rFonts w:cs="Times New Roman"/>
          <w:color w:val="1F1F1F"/>
          <w:szCs w:val="24"/>
          <w:lang w:val="en-ZW"/>
        </w:rPr>
      </w:pPr>
      <w:r>
        <w:rPr>
          <w:rFonts w:cs="Times New Roman"/>
          <w:color w:val="1F1F1F"/>
          <w:szCs w:val="24"/>
          <w:lang w:val="en-ZW"/>
        </w:rPr>
        <w:t>Furthermore the authority of the deponent to depose to the opposing affidavit on behalf of the 1</w:t>
      </w:r>
      <w:r w:rsidRPr="00D206A8">
        <w:rPr>
          <w:rFonts w:cs="Times New Roman"/>
          <w:color w:val="1F1F1F"/>
          <w:szCs w:val="24"/>
          <w:vertAlign w:val="superscript"/>
          <w:lang w:val="en-ZW"/>
        </w:rPr>
        <w:t>st</w:t>
      </w:r>
      <w:r>
        <w:rPr>
          <w:rFonts w:cs="Times New Roman"/>
          <w:color w:val="1F1F1F"/>
          <w:szCs w:val="24"/>
          <w:lang w:val="en-ZW"/>
        </w:rPr>
        <w:t xml:space="preserve"> respondent has not been challenged. </w:t>
      </w:r>
      <w:r w:rsidR="00582902">
        <w:rPr>
          <w:rFonts w:cs="Times New Roman"/>
          <w:color w:val="1F1F1F"/>
          <w:szCs w:val="24"/>
          <w:lang w:val="en-ZW"/>
        </w:rPr>
        <w:t xml:space="preserve">It is trite that what has not been challenged is taken to have been admitted. </w:t>
      </w:r>
      <w:r w:rsidR="004877CE">
        <w:rPr>
          <w:rFonts w:cs="Times New Roman"/>
          <w:color w:val="1F1F1F"/>
          <w:szCs w:val="24"/>
          <w:lang w:val="en-ZW"/>
        </w:rPr>
        <w:t xml:space="preserve">Therefore even on applicant’s best case this application is </w:t>
      </w:r>
      <w:r w:rsidR="00CC55AC">
        <w:rPr>
          <w:rFonts w:cs="Times New Roman"/>
          <w:color w:val="1F1F1F"/>
          <w:szCs w:val="24"/>
          <w:lang w:val="en-ZW"/>
        </w:rPr>
        <w:t xml:space="preserve">still </w:t>
      </w:r>
      <w:r w:rsidR="004877CE">
        <w:rPr>
          <w:rFonts w:cs="Times New Roman"/>
          <w:color w:val="1F1F1F"/>
          <w:szCs w:val="24"/>
          <w:lang w:val="en-ZW"/>
        </w:rPr>
        <w:t xml:space="preserve">opposed. </w:t>
      </w:r>
    </w:p>
    <w:p w:rsidR="00114098" w:rsidRPr="000D26DA" w:rsidRDefault="0002622A" w:rsidP="000D26DA">
      <w:pPr>
        <w:autoSpaceDE w:val="0"/>
        <w:autoSpaceDN w:val="0"/>
        <w:adjustRightInd w:val="0"/>
        <w:spacing w:after="0"/>
        <w:ind w:firstLine="720"/>
        <w:jc w:val="both"/>
        <w:rPr>
          <w:rFonts w:cs="Times New Roman"/>
          <w:szCs w:val="24"/>
          <w:lang w:val="en-ZW"/>
        </w:rPr>
      </w:pPr>
      <w:r>
        <w:rPr>
          <w:rFonts w:cs="Times New Roman"/>
          <w:color w:val="1F1F1F"/>
          <w:szCs w:val="24"/>
          <w:lang w:val="en-ZW"/>
        </w:rPr>
        <w:t xml:space="preserve">In any event </w:t>
      </w:r>
      <w:r w:rsidR="008477B5">
        <w:rPr>
          <w:rFonts w:cs="Times New Roman"/>
          <w:color w:val="1F1F1F"/>
          <w:szCs w:val="24"/>
          <w:lang w:val="en-ZW"/>
        </w:rPr>
        <w:t>on the 12</w:t>
      </w:r>
      <w:r w:rsidR="008477B5" w:rsidRPr="008477B5">
        <w:rPr>
          <w:rFonts w:cs="Times New Roman"/>
          <w:color w:val="1F1F1F"/>
          <w:szCs w:val="24"/>
          <w:vertAlign w:val="superscript"/>
          <w:lang w:val="en-ZW"/>
        </w:rPr>
        <w:t>th</w:t>
      </w:r>
      <w:r w:rsidR="008477B5">
        <w:rPr>
          <w:rFonts w:cs="Times New Roman"/>
          <w:color w:val="1F1F1F"/>
          <w:szCs w:val="24"/>
          <w:lang w:val="en-ZW"/>
        </w:rPr>
        <w:t xml:space="preserve"> August 2019 </w:t>
      </w:r>
      <w:r>
        <w:rPr>
          <w:rFonts w:cs="Times New Roman"/>
          <w:color w:val="1F1F1F"/>
          <w:szCs w:val="24"/>
          <w:lang w:val="en-ZW"/>
        </w:rPr>
        <w:t>1</w:t>
      </w:r>
      <w:r w:rsidRPr="0002622A">
        <w:rPr>
          <w:rFonts w:cs="Times New Roman"/>
          <w:color w:val="1F1F1F"/>
          <w:szCs w:val="24"/>
          <w:vertAlign w:val="superscript"/>
          <w:lang w:val="en-ZW"/>
        </w:rPr>
        <w:t>st</w:t>
      </w:r>
      <w:r>
        <w:rPr>
          <w:rFonts w:cs="Times New Roman"/>
          <w:color w:val="1F1F1F"/>
          <w:szCs w:val="24"/>
          <w:lang w:val="en-ZW"/>
        </w:rPr>
        <w:t xml:space="preserve"> respondent passed a resolution </w:t>
      </w:r>
      <w:r w:rsidR="00B71CE9">
        <w:rPr>
          <w:rFonts w:cs="Times New Roman"/>
          <w:color w:val="1F1F1F"/>
          <w:szCs w:val="24"/>
          <w:lang w:val="en-ZW"/>
        </w:rPr>
        <w:t xml:space="preserve">authorising and empowering the deponent to sign the affidavit on its behalf. </w:t>
      </w:r>
      <w:r w:rsidR="00DF7D52">
        <w:rPr>
          <w:rFonts w:cs="Times New Roman"/>
          <w:color w:val="1F1F1F"/>
          <w:szCs w:val="24"/>
          <w:lang w:val="en-ZW"/>
        </w:rPr>
        <w:t>This resolution was p</w:t>
      </w:r>
      <w:r w:rsidR="00F829E0">
        <w:rPr>
          <w:rFonts w:cs="Times New Roman"/>
          <w:color w:val="1F1F1F"/>
          <w:szCs w:val="24"/>
          <w:lang w:val="en-ZW"/>
        </w:rPr>
        <w:t>a</w:t>
      </w:r>
      <w:r w:rsidR="00456B8D">
        <w:rPr>
          <w:rFonts w:cs="Times New Roman"/>
          <w:color w:val="1F1F1F"/>
          <w:szCs w:val="24"/>
          <w:lang w:val="en-ZW"/>
        </w:rPr>
        <w:t>ssed by means of a Round Robin.</w:t>
      </w:r>
      <w:r w:rsidR="00F829E0">
        <w:rPr>
          <w:rStyle w:val="FootnoteReference"/>
          <w:rFonts w:cs="Times New Roman"/>
          <w:color w:val="1F1F1F"/>
          <w:szCs w:val="24"/>
          <w:lang w:val="en-ZW"/>
        </w:rPr>
        <w:footnoteReference w:id="2"/>
      </w:r>
      <w:r w:rsidR="00936937">
        <w:rPr>
          <w:rFonts w:cs="Times New Roman"/>
          <w:color w:val="1F1F1F"/>
          <w:szCs w:val="24"/>
          <w:lang w:val="en-ZW"/>
        </w:rPr>
        <w:t xml:space="preserve"> </w:t>
      </w:r>
      <w:r w:rsidR="00E95E1D" w:rsidRPr="0058119E">
        <w:rPr>
          <w:rFonts w:cs="Times New Roman"/>
          <w:szCs w:val="24"/>
          <w:shd w:val="clear" w:color="auto" w:fill="FFFFFF"/>
        </w:rPr>
        <w:t>A </w:t>
      </w:r>
      <w:hyperlink r:id="rId8" w:history="1">
        <w:r w:rsidR="0058119E">
          <w:rPr>
            <w:rStyle w:val="Hyperlink"/>
            <w:rFonts w:cs="Times New Roman"/>
            <w:bCs/>
            <w:color w:val="auto"/>
            <w:szCs w:val="24"/>
            <w:u w:val="none"/>
          </w:rPr>
          <w:t>Round Robin r</w:t>
        </w:r>
        <w:r w:rsidR="00E95E1D" w:rsidRPr="0058119E">
          <w:rPr>
            <w:rStyle w:val="Hyperlink"/>
            <w:rFonts w:cs="Times New Roman"/>
            <w:bCs/>
            <w:color w:val="auto"/>
            <w:szCs w:val="24"/>
            <w:u w:val="none"/>
          </w:rPr>
          <w:t>esolution</w:t>
        </w:r>
      </w:hyperlink>
      <w:r w:rsidR="00E95E1D" w:rsidRPr="0058119E">
        <w:rPr>
          <w:rFonts w:cs="Times New Roman"/>
          <w:szCs w:val="24"/>
          <w:shd w:val="clear" w:color="auto" w:fill="FFFFFF"/>
        </w:rPr>
        <w:t> </w:t>
      </w:r>
      <w:r w:rsidR="0058119E">
        <w:rPr>
          <w:rFonts w:cs="Times New Roman"/>
          <w:szCs w:val="24"/>
          <w:shd w:val="clear" w:color="auto" w:fill="FFFFFF"/>
        </w:rPr>
        <w:t>of d</w:t>
      </w:r>
      <w:r w:rsidR="00E95E1D" w:rsidRPr="0058119E">
        <w:rPr>
          <w:rFonts w:cs="Times New Roman"/>
          <w:szCs w:val="24"/>
          <w:shd w:val="clear" w:color="auto" w:fill="FFFFFF"/>
        </w:rPr>
        <w:t>irectors is as valid and effectual as if it had b</w:t>
      </w:r>
      <w:r w:rsidR="0058119E">
        <w:rPr>
          <w:rFonts w:cs="Times New Roman"/>
          <w:szCs w:val="24"/>
          <w:shd w:val="clear" w:color="auto" w:fill="FFFFFF"/>
        </w:rPr>
        <w:t>een passed at a meeting of the d</w:t>
      </w:r>
      <w:r w:rsidR="00E95E1D" w:rsidRPr="0058119E">
        <w:rPr>
          <w:rFonts w:cs="Times New Roman"/>
          <w:szCs w:val="24"/>
          <w:shd w:val="clear" w:color="auto" w:fill="FFFFFF"/>
        </w:rPr>
        <w:t>irectors duly called and c</w:t>
      </w:r>
      <w:r w:rsidR="00AC156C" w:rsidRPr="0058119E">
        <w:rPr>
          <w:rFonts w:cs="Times New Roman"/>
          <w:szCs w:val="24"/>
          <w:shd w:val="clear" w:color="auto" w:fill="FFFFFF"/>
        </w:rPr>
        <w:t>onstituted, provided that the majority of the d</w:t>
      </w:r>
      <w:r w:rsidR="00E95E1D" w:rsidRPr="0058119E">
        <w:rPr>
          <w:rFonts w:cs="Times New Roman"/>
          <w:szCs w:val="24"/>
          <w:shd w:val="clear" w:color="auto" w:fill="FFFFFF"/>
        </w:rPr>
        <w:t>irectors have voted in favour of the matter.</w:t>
      </w:r>
      <w:r w:rsidR="000D26DA">
        <w:rPr>
          <w:rFonts w:cs="Times New Roman"/>
          <w:szCs w:val="24"/>
          <w:shd w:val="clear" w:color="auto" w:fill="FFFFFF"/>
        </w:rPr>
        <w:t xml:space="preserve"> Again on this basis the application is still opposed by the 1</w:t>
      </w:r>
      <w:r w:rsidR="000D26DA" w:rsidRPr="000D26DA">
        <w:rPr>
          <w:rFonts w:cs="Times New Roman"/>
          <w:szCs w:val="24"/>
          <w:shd w:val="clear" w:color="auto" w:fill="FFFFFF"/>
          <w:vertAlign w:val="superscript"/>
        </w:rPr>
        <w:t>st</w:t>
      </w:r>
      <w:r w:rsidR="000D26DA">
        <w:rPr>
          <w:rFonts w:cs="Times New Roman"/>
          <w:szCs w:val="24"/>
          <w:shd w:val="clear" w:color="auto" w:fill="FFFFFF"/>
        </w:rPr>
        <w:t xml:space="preserve"> respondent. </w:t>
      </w:r>
      <w:r w:rsidR="00114098">
        <w:rPr>
          <w:rFonts w:cs="Times New Roman"/>
          <w:color w:val="1F1F1F"/>
          <w:szCs w:val="24"/>
          <w:lang w:val="en-ZW"/>
        </w:rPr>
        <w:t>It is for these reasons that applicant</w:t>
      </w:r>
      <w:r w:rsidR="006A3427">
        <w:rPr>
          <w:rFonts w:cs="Times New Roman"/>
          <w:color w:val="1F1F1F"/>
          <w:szCs w:val="24"/>
          <w:lang w:val="en-ZW"/>
        </w:rPr>
        <w:t>’</w:t>
      </w:r>
      <w:r w:rsidR="00114098">
        <w:rPr>
          <w:rFonts w:cs="Times New Roman"/>
          <w:color w:val="1F1F1F"/>
          <w:szCs w:val="24"/>
          <w:lang w:val="en-ZW"/>
        </w:rPr>
        <w:t xml:space="preserve">s point </w:t>
      </w:r>
      <w:r w:rsidR="00114098" w:rsidRPr="00D507D8">
        <w:rPr>
          <w:rFonts w:cs="Times New Roman"/>
          <w:i/>
          <w:color w:val="1F1F1F"/>
          <w:szCs w:val="24"/>
          <w:lang w:val="en-ZW"/>
        </w:rPr>
        <w:t>in limine</w:t>
      </w:r>
      <w:r w:rsidR="006A3427">
        <w:rPr>
          <w:rFonts w:cs="Times New Roman"/>
          <w:color w:val="1F1F1F"/>
          <w:szCs w:val="24"/>
          <w:lang w:val="en-ZW"/>
        </w:rPr>
        <w:t xml:space="preserve"> must fail and it is accordingly refused. </w:t>
      </w:r>
    </w:p>
    <w:p w:rsidR="00114098" w:rsidRDefault="007768AF" w:rsidP="007768AF">
      <w:pPr>
        <w:jc w:val="both"/>
        <w:rPr>
          <w:rFonts w:cs="Times New Roman"/>
          <w:b/>
          <w:i/>
          <w:color w:val="1F1F1F"/>
          <w:szCs w:val="24"/>
          <w:lang w:val="en-ZW"/>
        </w:rPr>
      </w:pPr>
      <w:r w:rsidRPr="007768AF">
        <w:rPr>
          <w:rFonts w:cs="Times New Roman"/>
          <w:b/>
          <w:color w:val="1F1F1F"/>
          <w:szCs w:val="24"/>
          <w:lang w:val="en-ZW"/>
        </w:rPr>
        <w:t xml:space="preserve">Respondents’ points </w:t>
      </w:r>
      <w:r w:rsidRPr="007768AF">
        <w:rPr>
          <w:rFonts w:cs="Times New Roman"/>
          <w:b/>
          <w:i/>
          <w:color w:val="1F1F1F"/>
          <w:szCs w:val="24"/>
          <w:lang w:val="en-ZW"/>
        </w:rPr>
        <w:t xml:space="preserve">in limine </w:t>
      </w:r>
    </w:p>
    <w:p w:rsidR="0096512D" w:rsidRDefault="004D1425" w:rsidP="007768AF">
      <w:pPr>
        <w:jc w:val="both"/>
        <w:rPr>
          <w:rFonts w:cs="Times New Roman"/>
          <w:color w:val="1F1F1F"/>
          <w:szCs w:val="24"/>
          <w:lang w:val="en-ZW"/>
        </w:rPr>
      </w:pPr>
      <w:r>
        <w:rPr>
          <w:rFonts w:cs="Times New Roman"/>
          <w:b/>
          <w:i/>
          <w:color w:val="1F1F1F"/>
          <w:szCs w:val="24"/>
          <w:lang w:val="en-ZW"/>
        </w:rPr>
        <w:tab/>
      </w:r>
      <w:r w:rsidR="001A79FB">
        <w:rPr>
          <w:rFonts w:cs="Times New Roman"/>
          <w:color w:val="1F1F1F"/>
          <w:szCs w:val="24"/>
          <w:lang w:val="en-ZW"/>
        </w:rPr>
        <w:t xml:space="preserve">Respondent </w:t>
      </w:r>
      <w:r w:rsidR="009E470B">
        <w:rPr>
          <w:rFonts w:cs="Times New Roman"/>
          <w:color w:val="1F1F1F"/>
          <w:szCs w:val="24"/>
          <w:lang w:val="en-ZW"/>
        </w:rPr>
        <w:t xml:space="preserve">raised the following points </w:t>
      </w:r>
      <w:r w:rsidR="009E470B" w:rsidRPr="009E470B">
        <w:rPr>
          <w:rFonts w:cs="Times New Roman"/>
          <w:i/>
          <w:color w:val="1F1F1F"/>
          <w:szCs w:val="24"/>
          <w:lang w:val="en-ZW"/>
        </w:rPr>
        <w:t>in limine viz</w:t>
      </w:r>
      <w:r w:rsidR="009E470B">
        <w:rPr>
          <w:rFonts w:cs="Times New Roman"/>
          <w:color w:val="1F1F1F"/>
          <w:szCs w:val="24"/>
          <w:lang w:val="en-ZW"/>
        </w:rPr>
        <w:t xml:space="preserve"> non-joinder of parties who were cited in the application </w:t>
      </w:r>
      <w:r w:rsidR="00AF59F3">
        <w:rPr>
          <w:rFonts w:cs="Times New Roman"/>
          <w:color w:val="1F1F1F"/>
          <w:szCs w:val="24"/>
          <w:lang w:val="en-ZW"/>
        </w:rPr>
        <w:t>that yielded the judgment sought to be rescinded; judgement sough</w:t>
      </w:r>
      <w:r w:rsidR="00DD3448">
        <w:rPr>
          <w:rFonts w:cs="Times New Roman"/>
          <w:color w:val="1F1F1F"/>
          <w:szCs w:val="24"/>
          <w:lang w:val="en-ZW"/>
        </w:rPr>
        <w:t>t</w:t>
      </w:r>
      <w:r w:rsidR="00AF59F3">
        <w:rPr>
          <w:rFonts w:cs="Times New Roman"/>
          <w:color w:val="1F1F1F"/>
          <w:szCs w:val="24"/>
          <w:lang w:val="en-ZW"/>
        </w:rPr>
        <w:t xml:space="preserve"> to be rescinded </w:t>
      </w:r>
      <w:r w:rsidR="00236C3E">
        <w:rPr>
          <w:rFonts w:cs="Times New Roman"/>
          <w:color w:val="1F1F1F"/>
          <w:szCs w:val="24"/>
          <w:lang w:val="en-ZW"/>
        </w:rPr>
        <w:t xml:space="preserve">has been given full effect to with applicant’s participation and consent </w:t>
      </w:r>
      <w:r w:rsidR="00DD3448">
        <w:rPr>
          <w:rFonts w:cs="Times New Roman"/>
          <w:color w:val="1F1F1F"/>
          <w:szCs w:val="24"/>
          <w:lang w:val="en-ZW"/>
        </w:rPr>
        <w:t xml:space="preserve">and there is nothing to rescind i.e. doctrine of peremption and mootness; </w:t>
      </w:r>
      <w:r w:rsidR="00236C3E">
        <w:rPr>
          <w:rFonts w:cs="Times New Roman"/>
          <w:color w:val="1F1F1F"/>
          <w:szCs w:val="24"/>
          <w:lang w:val="en-ZW"/>
        </w:rPr>
        <w:t xml:space="preserve"> </w:t>
      </w:r>
      <w:r w:rsidR="00D665E9">
        <w:rPr>
          <w:rFonts w:cs="Times New Roman"/>
          <w:color w:val="1F1F1F"/>
          <w:szCs w:val="24"/>
          <w:lang w:val="en-ZW"/>
        </w:rPr>
        <w:t xml:space="preserve">and </w:t>
      </w:r>
      <w:r w:rsidR="00474F4B">
        <w:rPr>
          <w:rFonts w:cs="Times New Roman"/>
          <w:color w:val="1F1F1F"/>
          <w:szCs w:val="24"/>
          <w:lang w:val="en-ZW"/>
        </w:rPr>
        <w:t>material non-dis</w:t>
      </w:r>
      <w:r w:rsidR="00D665E9">
        <w:rPr>
          <w:rFonts w:cs="Times New Roman"/>
          <w:color w:val="1F1F1F"/>
          <w:szCs w:val="24"/>
          <w:lang w:val="en-ZW"/>
        </w:rPr>
        <w:t xml:space="preserve">closure and material falsehoods. </w:t>
      </w:r>
      <w:r w:rsidR="00E6185A">
        <w:rPr>
          <w:rFonts w:cs="Times New Roman"/>
          <w:color w:val="1F1F1F"/>
          <w:szCs w:val="24"/>
          <w:lang w:val="en-ZW"/>
        </w:rPr>
        <w:t xml:space="preserve">It is contended that the points </w:t>
      </w:r>
      <w:r w:rsidR="00E6185A" w:rsidRPr="00FC7811">
        <w:rPr>
          <w:rFonts w:cs="Times New Roman"/>
          <w:i/>
          <w:color w:val="1F1F1F"/>
          <w:szCs w:val="24"/>
          <w:lang w:val="en-ZW"/>
        </w:rPr>
        <w:t>in limine</w:t>
      </w:r>
      <w:r w:rsidR="00E6185A">
        <w:rPr>
          <w:rFonts w:cs="Times New Roman"/>
          <w:color w:val="1F1F1F"/>
          <w:szCs w:val="24"/>
          <w:lang w:val="en-ZW"/>
        </w:rPr>
        <w:t xml:space="preserve"> be upheld and the application be dismissed without any consideration of the merits. </w:t>
      </w:r>
      <w:r w:rsidR="00474F4B">
        <w:rPr>
          <w:rFonts w:cs="Times New Roman"/>
          <w:color w:val="1F1F1F"/>
          <w:szCs w:val="24"/>
          <w:lang w:val="en-ZW"/>
        </w:rPr>
        <w:t xml:space="preserve"> </w:t>
      </w:r>
    </w:p>
    <w:p w:rsidR="004D1425" w:rsidRDefault="001F70A2" w:rsidP="0096512D">
      <w:pPr>
        <w:ind w:firstLine="720"/>
        <w:jc w:val="both"/>
        <w:rPr>
          <w:rFonts w:cs="Times New Roman"/>
          <w:color w:val="1F1F1F"/>
          <w:szCs w:val="24"/>
          <w:lang w:val="en-ZW"/>
        </w:rPr>
      </w:pPr>
      <w:r>
        <w:rPr>
          <w:rFonts w:cs="Times New Roman"/>
          <w:color w:val="1F1F1F"/>
          <w:szCs w:val="24"/>
          <w:lang w:val="en-ZW"/>
        </w:rPr>
        <w:t xml:space="preserve">I </w:t>
      </w:r>
      <w:r w:rsidR="0096512D">
        <w:rPr>
          <w:rFonts w:cs="Times New Roman"/>
          <w:color w:val="1F1F1F"/>
          <w:szCs w:val="24"/>
          <w:lang w:val="en-ZW"/>
        </w:rPr>
        <w:t xml:space="preserve">now </w:t>
      </w:r>
      <w:r>
        <w:rPr>
          <w:rFonts w:cs="Times New Roman"/>
          <w:color w:val="1F1F1F"/>
          <w:szCs w:val="24"/>
          <w:lang w:val="en-ZW"/>
        </w:rPr>
        <w:t xml:space="preserve">deal with these points </w:t>
      </w:r>
      <w:r w:rsidRPr="001F70A2">
        <w:rPr>
          <w:rFonts w:cs="Times New Roman"/>
          <w:i/>
          <w:color w:val="1F1F1F"/>
          <w:szCs w:val="24"/>
          <w:lang w:val="en-ZW"/>
        </w:rPr>
        <w:t>in limine</w:t>
      </w:r>
      <w:r>
        <w:rPr>
          <w:rFonts w:cs="Times New Roman"/>
          <w:color w:val="1F1F1F"/>
          <w:szCs w:val="24"/>
          <w:lang w:val="en-ZW"/>
        </w:rPr>
        <w:t xml:space="preserve"> in turn. </w:t>
      </w:r>
    </w:p>
    <w:p w:rsidR="00E41E82" w:rsidRPr="00E41E82" w:rsidRDefault="00CD7BE4" w:rsidP="009677B1">
      <w:pPr>
        <w:jc w:val="both"/>
        <w:rPr>
          <w:rFonts w:cs="Times New Roman"/>
          <w:b/>
          <w:szCs w:val="24"/>
        </w:rPr>
      </w:pPr>
      <w:r>
        <w:rPr>
          <w:b/>
        </w:rPr>
        <w:t>The Doctrine of Peremptio</w:t>
      </w:r>
      <w:r w:rsidR="00BD3271">
        <w:rPr>
          <w:b/>
        </w:rPr>
        <w:t>n</w:t>
      </w:r>
    </w:p>
    <w:p w:rsidR="00BD3679" w:rsidRDefault="007E1CD0" w:rsidP="0076594E">
      <w:pPr>
        <w:ind w:firstLine="720"/>
        <w:jc w:val="both"/>
        <w:rPr>
          <w:szCs w:val="24"/>
        </w:rPr>
      </w:pPr>
      <w:r>
        <w:rPr>
          <w:szCs w:val="24"/>
        </w:rPr>
        <w:t xml:space="preserve">Mr </w:t>
      </w:r>
      <w:r w:rsidRPr="007E1CD0">
        <w:rPr>
          <w:i/>
          <w:szCs w:val="24"/>
        </w:rPr>
        <w:t>Mpofu</w:t>
      </w:r>
      <w:r>
        <w:rPr>
          <w:szCs w:val="24"/>
        </w:rPr>
        <w:t xml:space="preserve"> argued that it is well established in law that a party who becomes aware of a judgment and acquiesces therein is precluded thereafter from applying for rescission of the same judgment as the right to challenge it would have become perempted.</w:t>
      </w:r>
      <w:r w:rsidR="0076594E">
        <w:rPr>
          <w:szCs w:val="24"/>
        </w:rPr>
        <w:t xml:space="preserve"> </w:t>
      </w:r>
      <w:r w:rsidR="00E45A73">
        <w:rPr>
          <w:szCs w:val="24"/>
        </w:rPr>
        <w:t>Respondents submits</w:t>
      </w:r>
      <w:r w:rsidR="00CF21FC">
        <w:rPr>
          <w:szCs w:val="24"/>
        </w:rPr>
        <w:t xml:space="preserve"> </w:t>
      </w:r>
      <w:r w:rsidR="006A24BB" w:rsidRPr="006A24BB">
        <w:rPr>
          <w:szCs w:val="24"/>
        </w:rPr>
        <w:t xml:space="preserve">that </w:t>
      </w:r>
      <w:r w:rsidR="004F7FA4">
        <w:rPr>
          <w:szCs w:val="24"/>
        </w:rPr>
        <w:t xml:space="preserve">a party who has acquiesced in a judgment cannot thereafter </w:t>
      </w:r>
      <w:r w:rsidR="00E45A73">
        <w:rPr>
          <w:szCs w:val="24"/>
        </w:rPr>
        <w:t xml:space="preserve">seek to </w:t>
      </w:r>
      <w:r w:rsidR="004F7FA4">
        <w:rPr>
          <w:szCs w:val="24"/>
        </w:rPr>
        <w:t xml:space="preserve">challenge it. </w:t>
      </w:r>
      <w:r w:rsidR="0088335C">
        <w:rPr>
          <w:szCs w:val="24"/>
        </w:rPr>
        <w:t>It is contended</w:t>
      </w:r>
      <w:r w:rsidR="00E45A73">
        <w:rPr>
          <w:szCs w:val="24"/>
        </w:rPr>
        <w:t xml:space="preserve"> that applicant has acquiesced to</w:t>
      </w:r>
      <w:r w:rsidR="0088335C">
        <w:rPr>
          <w:szCs w:val="24"/>
        </w:rPr>
        <w:t xml:space="preserve"> the </w:t>
      </w:r>
      <w:r w:rsidR="00C434E6">
        <w:rPr>
          <w:szCs w:val="24"/>
        </w:rPr>
        <w:t xml:space="preserve">order he seeks to be set aside by means of rescission of judgment. </w:t>
      </w:r>
      <w:r w:rsidR="004F0A92">
        <w:rPr>
          <w:szCs w:val="24"/>
        </w:rPr>
        <w:t xml:space="preserve"> </w:t>
      </w:r>
      <w:r w:rsidR="0076594E">
        <w:rPr>
          <w:szCs w:val="24"/>
        </w:rPr>
        <w:t>It is submitted</w:t>
      </w:r>
      <w:r w:rsidR="00C434E6">
        <w:rPr>
          <w:szCs w:val="24"/>
        </w:rPr>
        <w:t xml:space="preserve"> </w:t>
      </w:r>
      <w:r w:rsidR="00C675E9">
        <w:rPr>
          <w:szCs w:val="24"/>
        </w:rPr>
        <w:t xml:space="preserve">that applicant has acquiesced </w:t>
      </w:r>
      <w:r w:rsidR="00B01904">
        <w:rPr>
          <w:szCs w:val="24"/>
        </w:rPr>
        <w:t>in the judgment in that</w:t>
      </w:r>
      <w:r w:rsidR="002C70BA">
        <w:rPr>
          <w:szCs w:val="24"/>
        </w:rPr>
        <w:t xml:space="preserve"> on the 18 July 2019</w:t>
      </w:r>
      <w:r w:rsidR="00390A35">
        <w:rPr>
          <w:szCs w:val="24"/>
        </w:rPr>
        <w:t xml:space="preserve"> he contacted Mr Clark and Mr West for a meeting at the offices of Coghla</w:t>
      </w:r>
      <w:r w:rsidR="00BA25BE">
        <w:rPr>
          <w:szCs w:val="24"/>
        </w:rPr>
        <w:t xml:space="preserve">n and Welsh Legal Practitioners and requested that it be a </w:t>
      </w:r>
      <w:r w:rsidR="002F3130">
        <w:rPr>
          <w:szCs w:val="24"/>
        </w:rPr>
        <w:t>“</w:t>
      </w:r>
      <w:r w:rsidR="00BA25BE">
        <w:rPr>
          <w:szCs w:val="24"/>
        </w:rPr>
        <w:t>no lawyers meeting.</w:t>
      </w:r>
      <w:r w:rsidR="002F3130">
        <w:rPr>
          <w:szCs w:val="24"/>
        </w:rPr>
        <w:t>”</w:t>
      </w:r>
      <w:r w:rsidR="00BA25BE">
        <w:rPr>
          <w:szCs w:val="24"/>
        </w:rPr>
        <w:t xml:space="preserve"> </w:t>
      </w:r>
      <w:r w:rsidR="0032702A">
        <w:rPr>
          <w:szCs w:val="24"/>
        </w:rPr>
        <w:t xml:space="preserve">At the meeting he handed over the company </w:t>
      </w:r>
      <w:r w:rsidR="002F3130">
        <w:rPr>
          <w:szCs w:val="24"/>
        </w:rPr>
        <w:t xml:space="preserve">and </w:t>
      </w:r>
      <w:r w:rsidR="0032702A">
        <w:rPr>
          <w:szCs w:val="24"/>
        </w:rPr>
        <w:t xml:space="preserve">accounted </w:t>
      </w:r>
      <w:r w:rsidR="005961B1">
        <w:rPr>
          <w:szCs w:val="24"/>
        </w:rPr>
        <w:t>to</w:t>
      </w:r>
      <w:r w:rsidR="003F5698">
        <w:rPr>
          <w:szCs w:val="24"/>
        </w:rPr>
        <w:t xml:space="preserve"> what he termed his principals i.e. </w:t>
      </w:r>
      <w:r w:rsidR="002F3130">
        <w:rPr>
          <w:szCs w:val="24"/>
        </w:rPr>
        <w:t xml:space="preserve"> </w:t>
      </w:r>
      <w:r w:rsidR="003F5698">
        <w:rPr>
          <w:szCs w:val="24"/>
        </w:rPr>
        <w:t xml:space="preserve">Mr Clark and Mr West. </w:t>
      </w:r>
    </w:p>
    <w:p w:rsidR="005E3875" w:rsidRPr="00831F9C" w:rsidRDefault="0093264D" w:rsidP="005B445E">
      <w:pPr>
        <w:ind w:firstLine="720"/>
        <w:jc w:val="both"/>
        <w:rPr>
          <w:szCs w:val="24"/>
        </w:rPr>
      </w:pPr>
      <w:r>
        <w:rPr>
          <w:szCs w:val="24"/>
        </w:rPr>
        <w:t xml:space="preserve">In his affidavit </w:t>
      </w:r>
      <w:proofErr w:type="spellStart"/>
      <w:r w:rsidR="00F17369">
        <w:rPr>
          <w:szCs w:val="24"/>
        </w:rPr>
        <w:t>C</w:t>
      </w:r>
      <w:r w:rsidR="00E32DF3">
        <w:rPr>
          <w:szCs w:val="24"/>
        </w:rPr>
        <w:t>harl</w:t>
      </w:r>
      <w:proofErr w:type="spellEnd"/>
      <w:r w:rsidR="00E32DF3">
        <w:rPr>
          <w:szCs w:val="24"/>
        </w:rPr>
        <w:t xml:space="preserve"> Henning Clark</w:t>
      </w:r>
      <w:r>
        <w:rPr>
          <w:szCs w:val="24"/>
        </w:rPr>
        <w:t xml:space="preserve"> </w:t>
      </w:r>
      <w:r w:rsidR="00831F9C">
        <w:rPr>
          <w:szCs w:val="24"/>
        </w:rPr>
        <w:t xml:space="preserve">(Mr Clark) </w:t>
      </w:r>
      <w:r>
        <w:rPr>
          <w:szCs w:val="24"/>
        </w:rPr>
        <w:t xml:space="preserve">states that on the 18 July 2019, after attending court and default judgement </w:t>
      </w:r>
      <w:r w:rsidR="002C348B">
        <w:rPr>
          <w:szCs w:val="24"/>
        </w:rPr>
        <w:t>was granted against applicant they were advised that applicant was seeking a meeting to hand over the a</w:t>
      </w:r>
      <w:r w:rsidR="00060795">
        <w:rPr>
          <w:szCs w:val="24"/>
        </w:rPr>
        <w:t>ssets and control of the company</w:t>
      </w:r>
      <w:r w:rsidR="00E12B1A">
        <w:rPr>
          <w:szCs w:val="24"/>
        </w:rPr>
        <w:t>. A</w:t>
      </w:r>
      <w:r w:rsidR="000F5798">
        <w:rPr>
          <w:szCs w:val="24"/>
        </w:rPr>
        <w:t xml:space="preserve"> meeting was held a</w:t>
      </w:r>
      <w:r w:rsidR="00E12B1A">
        <w:rPr>
          <w:szCs w:val="24"/>
        </w:rPr>
        <w:t>t</w:t>
      </w:r>
      <w:r w:rsidR="000F5798">
        <w:rPr>
          <w:szCs w:val="24"/>
        </w:rPr>
        <w:t xml:space="preserve"> </w:t>
      </w:r>
      <w:r w:rsidR="004B07FF">
        <w:rPr>
          <w:szCs w:val="24"/>
        </w:rPr>
        <w:t xml:space="preserve">about 1500 hours at </w:t>
      </w:r>
      <w:r w:rsidR="00060795">
        <w:rPr>
          <w:szCs w:val="24"/>
        </w:rPr>
        <w:t>the offices of Coghlan and W</w:t>
      </w:r>
      <w:r w:rsidR="000F5798" w:rsidRPr="00E12B1A">
        <w:rPr>
          <w:szCs w:val="24"/>
        </w:rPr>
        <w:t>elsh Legal Practitioners</w:t>
      </w:r>
      <w:r w:rsidR="000F5798">
        <w:rPr>
          <w:szCs w:val="24"/>
        </w:rPr>
        <w:t xml:space="preserve">. </w:t>
      </w:r>
      <w:r w:rsidR="000F5798" w:rsidRPr="00E12B1A">
        <w:rPr>
          <w:szCs w:val="24"/>
        </w:rPr>
        <w:t xml:space="preserve"> </w:t>
      </w:r>
      <w:r w:rsidR="00510B20">
        <w:rPr>
          <w:szCs w:val="24"/>
        </w:rPr>
        <w:t xml:space="preserve">In attendance was Clark, Mr John West and applicant. </w:t>
      </w:r>
      <w:r w:rsidR="00B35C6A">
        <w:rPr>
          <w:szCs w:val="24"/>
        </w:rPr>
        <w:t xml:space="preserve">In that meeting applicant gave an account </w:t>
      </w:r>
      <w:r w:rsidR="00E408B0">
        <w:rPr>
          <w:szCs w:val="24"/>
        </w:rPr>
        <w:t>of the affairs of 1</w:t>
      </w:r>
      <w:r w:rsidR="00E408B0" w:rsidRPr="00E408B0">
        <w:rPr>
          <w:szCs w:val="24"/>
          <w:vertAlign w:val="superscript"/>
        </w:rPr>
        <w:t>st</w:t>
      </w:r>
      <w:r w:rsidR="00E408B0">
        <w:rPr>
          <w:szCs w:val="24"/>
        </w:rPr>
        <w:t xml:space="preserve"> respondent and informed all the employees to h</w:t>
      </w:r>
      <w:r w:rsidR="00B30372">
        <w:rPr>
          <w:szCs w:val="24"/>
        </w:rPr>
        <w:t xml:space="preserve">and over all the company assets. Applicant further informed the employees to report to Mr Clark and </w:t>
      </w:r>
      <w:r w:rsidR="00E12B1A" w:rsidRPr="00E408B0">
        <w:rPr>
          <w:szCs w:val="24"/>
        </w:rPr>
        <w:t>Memezi Tariro Nyon</w:t>
      </w:r>
      <w:r w:rsidR="00831F9C">
        <w:rPr>
          <w:szCs w:val="24"/>
        </w:rPr>
        <w:t>i</w:t>
      </w:r>
      <w:r w:rsidR="00060795">
        <w:rPr>
          <w:szCs w:val="24"/>
        </w:rPr>
        <w:t xml:space="preserve"> (the deponent to the opposing affidavit)</w:t>
      </w:r>
      <w:r w:rsidR="00831F9C">
        <w:rPr>
          <w:szCs w:val="24"/>
        </w:rPr>
        <w:t>.</w:t>
      </w:r>
    </w:p>
    <w:p w:rsidR="00552D9D" w:rsidRPr="00710CDA" w:rsidRDefault="00CD7BE4" w:rsidP="000B3B5C">
      <w:pPr>
        <w:ind w:firstLine="720"/>
        <w:jc w:val="both"/>
        <w:rPr>
          <w:szCs w:val="24"/>
        </w:rPr>
      </w:pPr>
      <w:r>
        <w:rPr>
          <w:szCs w:val="24"/>
        </w:rPr>
        <w:t xml:space="preserve">In his supporting affidavit </w:t>
      </w:r>
      <w:proofErr w:type="spellStart"/>
      <w:r w:rsidR="00A94BCE">
        <w:rPr>
          <w:szCs w:val="24"/>
        </w:rPr>
        <w:t>Lunga</w:t>
      </w:r>
      <w:proofErr w:type="spellEnd"/>
      <w:r w:rsidR="00A94BCE">
        <w:rPr>
          <w:szCs w:val="24"/>
        </w:rPr>
        <w:t xml:space="preserve"> avers that he</w:t>
      </w:r>
      <w:r w:rsidR="00A94BCE" w:rsidRPr="00A94BCE">
        <w:rPr>
          <w:szCs w:val="24"/>
        </w:rPr>
        <w:t xml:space="preserve"> contacted applicant and advised him to handover the company to the respondents and </w:t>
      </w:r>
      <w:r w:rsidR="008513DC">
        <w:rPr>
          <w:szCs w:val="24"/>
        </w:rPr>
        <w:t xml:space="preserve">to </w:t>
      </w:r>
      <w:r w:rsidR="00A94BCE" w:rsidRPr="00A94BCE">
        <w:rPr>
          <w:szCs w:val="24"/>
        </w:rPr>
        <w:t xml:space="preserve">settle the matter </w:t>
      </w:r>
      <w:r w:rsidR="00A94BCE">
        <w:rPr>
          <w:szCs w:val="24"/>
        </w:rPr>
        <w:t>out of court. He met applicant</w:t>
      </w:r>
      <w:r w:rsidR="00A94BCE" w:rsidRPr="00A94BCE">
        <w:rPr>
          <w:szCs w:val="24"/>
        </w:rPr>
        <w:t xml:space="preserve"> and urged him to do this in earnest and not prolong the dispute. </w:t>
      </w:r>
      <w:r w:rsidR="00A94BCE">
        <w:rPr>
          <w:szCs w:val="24"/>
        </w:rPr>
        <w:t xml:space="preserve">He </w:t>
      </w:r>
      <w:r w:rsidR="00A94BCE" w:rsidRPr="00A94BCE">
        <w:rPr>
          <w:szCs w:val="24"/>
        </w:rPr>
        <w:t>advised applicant to meet the two representatives of the respondents to ma</w:t>
      </w:r>
      <w:r w:rsidR="00837EB8">
        <w:rPr>
          <w:szCs w:val="24"/>
        </w:rPr>
        <w:t>p the way forward. A</w:t>
      </w:r>
      <w:r w:rsidR="00A94BCE" w:rsidRPr="00A94BCE">
        <w:rPr>
          <w:szCs w:val="24"/>
        </w:rPr>
        <w:t>pplicant</w:t>
      </w:r>
      <w:r w:rsidR="00837EB8">
        <w:rPr>
          <w:szCs w:val="24"/>
        </w:rPr>
        <w:t xml:space="preserve"> agreed</w:t>
      </w:r>
      <w:r w:rsidR="00A94BCE" w:rsidRPr="00A94BCE">
        <w:rPr>
          <w:szCs w:val="24"/>
        </w:rPr>
        <w:t xml:space="preserve"> </w:t>
      </w:r>
      <w:r w:rsidR="009C61F0">
        <w:rPr>
          <w:szCs w:val="24"/>
        </w:rPr>
        <w:t>a</w:t>
      </w:r>
      <w:r w:rsidR="008513DC">
        <w:rPr>
          <w:szCs w:val="24"/>
        </w:rPr>
        <w:t xml:space="preserve">nd </w:t>
      </w:r>
      <w:r w:rsidR="00A94BCE" w:rsidRPr="00A94BCE">
        <w:rPr>
          <w:szCs w:val="24"/>
        </w:rPr>
        <w:t xml:space="preserve">as a result </w:t>
      </w:r>
      <w:r w:rsidR="00837EB8">
        <w:rPr>
          <w:szCs w:val="24"/>
        </w:rPr>
        <w:t>a</w:t>
      </w:r>
      <w:r w:rsidR="00A94BCE" w:rsidRPr="00A94BCE">
        <w:rPr>
          <w:szCs w:val="24"/>
        </w:rPr>
        <w:t xml:space="preserve"> meeting</w:t>
      </w:r>
      <w:r w:rsidR="008513DC">
        <w:rPr>
          <w:szCs w:val="24"/>
        </w:rPr>
        <w:t xml:space="preserve"> was </w:t>
      </w:r>
      <w:proofErr w:type="gramStart"/>
      <w:r w:rsidR="008513DC">
        <w:rPr>
          <w:szCs w:val="24"/>
        </w:rPr>
        <w:t xml:space="preserve">held </w:t>
      </w:r>
      <w:r w:rsidR="00A94BCE" w:rsidRPr="00A94BCE">
        <w:rPr>
          <w:szCs w:val="24"/>
        </w:rPr>
        <w:t xml:space="preserve"> </w:t>
      </w:r>
      <w:r w:rsidR="009C61F0">
        <w:rPr>
          <w:szCs w:val="24"/>
        </w:rPr>
        <w:t>and</w:t>
      </w:r>
      <w:proofErr w:type="gramEnd"/>
      <w:r w:rsidR="009C61F0">
        <w:rPr>
          <w:szCs w:val="24"/>
        </w:rPr>
        <w:t xml:space="preserve"> </w:t>
      </w:r>
      <w:r w:rsidR="00A94BCE" w:rsidRPr="00A94BCE">
        <w:rPr>
          <w:szCs w:val="24"/>
        </w:rPr>
        <w:t>the premises and vehicles of the company were s</w:t>
      </w:r>
      <w:r w:rsidR="000E581E">
        <w:rPr>
          <w:szCs w:val="24"/>
        </w:rPr>
        <w:t xml:space="preserve">ubsequently handed over to the representatives of the respondents. </w:t>
      </w:r>
      <w:r w:rsidR="00A94BCE" w:rsidRPr="00A94BCE">
        <w:rPr>
          <w:szCs w:val="24"/>
        </w:rPr>
        <w:t xml:space="preserve"> </w:t>
      </w:r>
      <w:r w:rsidR="000E581E">
        <w:rPr>
          <w:szCs w:val="24"/>
        </w:rPr>
        <w:t xml:space="preserve">Mr </w:t>
      </w:r>
      <w:proofErr w:type="spellStart"/>
      <w:r w:rsidR="0070294C">
        <w:rPr>
          <w:szCs w:val="24"/>
        </w:rPr>
        <w:t>Lunga</w:t>
      </w:r>
      <w:proofErr w:type="spellEnd"/>
      <w:r w:rsidR="0070294C">
        <w:rPr>
          <w:szCs w:val="24"/>
        </w:rPr>
        <w:t xml:space="preserve"> resigned</w:t>
      </w:r>
      <w:r w:rsidR="00A94BCE" w:rsidRPr="000E581E">
        <w:rPr>
          <w:szCs w:val="24"/>
        </w:rPr>
        <w:t xml:space="preserve"> as a dire</w:t>
      </w:r>
      <w:r w:rsidR="009C61F0">
        <w:rPr>
          <w:szCs w:val="24"/>
        </w:rPr>
        <w:t>ctor</w:t>
      </w:r>
      <w:r w:rsidR="000E581E">
        <w:rPr>
          <w:szCs w:val="24"/>
        </w:rPr>
        <w:t xml:space="preserve"> in 1</w:t>
      </w:r>
      <w:r w:rsidR="000E581E" w:rsidRPr="000E581E">
        <w:rPr>
          <w:szCs w:val="24"/>
          <w:vertAlign w:val="superscript"/>
        </w:rPr>
        <w:t>st</w:t>
      </w:r>
      <w:r w:rsidR="000E581E">
        <w:rPr>
          <w:szCs w:val="24"/>
        </w:rPr>
        <w:t xml:space="preserve"> respondent. </w:t>
      </w:r>
    </w:p>
    <w:p w:rsidR="0019194D" w:rsidRDefault="009105A0" w:rsidP="00E72E84">
      <w:pPr>
        <w:ind w:firstLine="720"/>
        <w:jc w:val="both"/>
        <w:rPr>
          <w:szCs w:val="24"/>
        </w:rPr>
      </w:pPr>
      <w:r>
        <w:rPr>
          <w:szCs w:val="24"/>
        </w:rPr>
        <w:t>I</w:t>
      </w:r>
      <w:r w:rsidR="0019194D">
        <w:rPr>
          <w:szCs w:val="24"/>
        </w:rPr>
        <w:t xml:space="preserve">n his supporting </w:t>
      </w:r>
      <w:r w:rsidR="002D5AFA">
        <w:rPr>
          <w:szCs w:val="24"/>
        </w:rPr>
        <w:t xml:space="preserve">affidavit </w:t>
      </w:r>
      <w:r w:rsidR="00211A28">
        <w:rPr>
          <w:szCs w:val="24"/>
        </w:rPr>
        <w:t>Mr Ncube avers that</w:t>
      </w:r>
      <w:r w:rsidR="0019194D">
        <w:rPr>
          <w:szCs w:val="24"/>
        </w:rPr>
        <w:t xml:space="preserve"> he was</w:t>
      </w:r>
      <w:r w:rsidR="0019194D" w:rsidRPr="0019194D">
        <w:rPr>
          <w:szCs w:val="24"/>
        </w:rPr>
        <w:t xml:space="preserve"> employed by 1</w:t>
      </w:r>
      <w:r w:rsidR="0019194D" w:rsidRPr="0019194D">
        <w:rPr>
          <w:szCs w:val="24"/>
          <w:vertAlign w:val="superscript"/>
        </w:rPr>
        <w:t>st</w:t>
      </w:r>
      <w:r w:rsidR="0019194D" w:rsidRPr="0019194D">
        <w:rPr>
          <w:szCs w:val="24"/>
        </w:rPr>
        <w:t xml:space="preserve"> respondent as a Sales Engineer until 30 September 2015. In January 2015, applicant called a meeting and advised</w:t>
      </w:r>
      <w:r w:rsidR="0019194D">
        <w:rPr>
          <w:szCs w:val="24"/>
        </w:rPr>
        <w:t xml:space="preserve"> the employees of 1</w:t>
      </w:r>
      <w:r w:rsidR="0019194D" w:rsidRPr="0019194D">
        <w:rPr>
          <w:szCs w:val="24"/>
          <w:vertAlign w:val="superscript"/>
        </w:rPr>
        <w:t>st</w:t>
      </w:r>
      <w:r w:rsidR="0019194D">
        <w:rPr>
          <w:szCs w:val="24"/>
        </w:rPr>
        <w:t xml:space="preserve"> respondent to stop</w:t>
      </w:r>
      <w:r w:rsidR="0019194D" w:rsidRPr="0019194D">
        <w:rPr>
          <w:szCs w:val="24"/>
        </w:rPr>
        <w:t xml:space="preserve"> reporting to Weir Minerals Africa (Pvt) Ltd </w:t>
      </w:r>
      <w:r w:rsidR="00E72E84">
        <w:rPr>
          <w:szCs w:val="24"/>
        </w:rPr>
        <w:t xml:space="preserve">and that anyone who engaged Weir </w:t>
      </w:r>
      <w:r w:rsidR="0019194D" w:rsidRPr="0019194D">
        <w:rPr>
          <w:szCs w:val="24"/>
        </w:rPr>
        <w:t>directly would be dismissed.</w:t>
      </w:r>
      <w:r w:rsidR="00E72E84">
        <w:rPr>
          <w:szCs w:val="24"/>
        </w:rPr>
        <w:t xml:space="preserve"> Mr Ncube was then </w:t>
      </w:r>
      <w:r w:rsidR="0019194D">
        <w:rPr>
          <w:szCs w:val="24"/>
        </w:rPr>
        <w:t xml:space="preserve">appointed a director </w:t>
      </w:r>
      <w:r w:rsidR="00E72E84">
        <w:rPr>
          <w:szCs w:val="24"/>
        </w:rPr>
        <w:t>in 1</w:t>
      </w:r>
      <w:r w:rsidR="00E72E84" w:rsidRPr="00E72E84">
        <w:rPr>
          <w:szCs w:val="24"/>
          <w:vertAlign w:val="superscript"/>
        </w:rPr>
        <w:t>st</w:t>
      </w:r>
      <w:r w:rsidR="00E72E84">
        <w:rPr>
          <w:szCs w:val="24"/>
        </w:rPr>
        <w:t xml:space="preserve"> respondent.</w:t>
      </w:r>
      <w:r w:rsidR="00435D70">
        <w:rPr>
          <w:szCs w:val="24"/>
        </w:rPr>
        <w:t xml:space="preserve"> He says he</w:t>
      </w:r>
      <w:r w:rsidR="0019194D">
        <w:rPr>
          <w:szCs w:val="24"/>
        </w:rPr>
        <w:t xml:space="preserve"> did not solici</w:t>
      </w:r>
      <w:r w:rsidR="00435D70">
        <w:rPr>
          <w:szCs w:val="24"/>
        </w:rPr>
        <w:t xml:space="preserve">t </w:t>
      </w:r>
      <w:r w:rsidR="00211A28">
        <w:rPr>
          <w:szCs w:val="24"/>
        </w:rPr>
        <w:t xml:space="preserve">for </w:t>
      </w:r>
      <w:r w:rsidR="00435D70">
        <w:rPr>
          <w:szCs w:val="24"/>
        </w:rPr>
        <w:t xml:space="preserve">the appointment neither was he </w:t>
      </w:r>
      <w:r w:rsidR="0019194D">
        <w:rPr>
          <w:szCs w:val="24"/>
        </w:rPr>
        <w:t>shown any authority from the sh</w:t>
      </w:r>
      <w:r w:rsidR="00435D70">
        <w:rPr>
          <w:szCs w:val="24"/>
        </w:rPr>
        <w:t xml:space="preserve">areholders. When </w:t>
      </w:r>
      <w:r w:rsidR="0019194D">
        <w:rPr>
          <w:szCs w:val="24"/>
        </w:rPr>
        <w:t>Weir Mine</w:t>
      </w:r>
      <w:r w:rsidR="00435D70">
        <w:rPr>
          <w:szCs w:val="24"/>
        </w:rPr>
        <w:t>rals Africa (Pvt) Ltd advised him that it</w:t>
      </w:r>
      <w:r w:rsidR="0019194D">
        <w:rPr>
          <w:szCs w:val="24"/>
        </w:rPr>
        <w:t xml:space="preserve"> had no</w:t>
      </w:r>
      <w:r w:rsidR="00435D70">
        <w:rPr>
          <w:szCs w:val="24"/>
        </w:rPr>
        <w:t>t blessed applicant’s actions, he</w:t>
      </w:r>
      <w:r w:rsidR="0019194D">
        <w:rPr>
          <w:szCs w:val="24"/>
        </w:rPr>
        <w:t xml:space="preserve"> resigned as a director on the 28 September 2015.</w:t>
      </w:r>
    </w:p>
    <w:p w:rsidR="00F17369" w:rsidRDefault="00DD3556" w:rsidP="00A223BB">
      <w:pPr>
        <w:ind w:firstLine="720"/>
        <w:jc w:val="both"/>
        <w:rPr>
          <w:szCs w:val="24"/>
        </w:rPr>
      </w:pPr>
      <w:r>
        <w:rPr>
          <w:szCs w:val="24"/>
        </w:rPr>
        <w:t>In his an</w:t>
      </w:r>
      <w:r w:rsidR="000D208A">
        <w:rPr>
          <w:szCs w:val="24"/>
        </w:rPr>
        <w:t>swering</w:t>
      </w:r>
      <w:r w:rsidR="003B3BB8">
        <w:rPr>
          <w:szCs w:val="24"/>
        </w:rPr>
        <w:t xml:space="preserve"> affidavit applicant avers that</w:t>
      </w:r>
      <w:r w:rsidR="003B3BB8" w:rsidRPr="003B3BB8">
        <w:rPr>
          <w:szCs w:val="24"/>
        </w:rPr>
        <w:t xml:space="preserve"> </w:t>
      </w:r>
      <w:r w:rsidR="003B3BB8">
        <w:rPr>
          <w:szCs w:val="24"/>
        </w:rPr>
        <w:t xml:space="preserve">it is not correct to say that he is the one who contacted Mr Clark and Mr West to organize a meeting at Coghlan and </w:t>
      </w:r>
      <w:proofErr w:type="spellStart"/>
      <w:r w:rsidR="003B3BB8">
        <w:rPr>
          <w:szCs w:val="24"/>
        </w:rPr>
        <w:t>Wesh</w:t>
      </w:r>
      <w:proofErr w:type="spellEnd"/>
      <w:r w:rsidR="003B3BB8">
        <w:rPr>
          <w:szCs w:val="24"/>
        </w:rPr>
        <w:t xml:space="preserve"> on the 18</w:t>
      </w:r>
      <w:r w:rsidR="003B3BB8" w:rsidRPr="007907D1">
        <w:rPr>
          <w:szCs w:val="24"/>
          <w:vertAlign w:val="superscript"/>
        </w:rPr>
        <w:t>th</w:t>
      </w:r>
      <w:r w:rsidR="003B3BB8">
        <w:rPr>
          <w:szCs w:val="24"/>
        </w:rPr>
        <w:t xml:space="preserve"> July 2019.</w:t>
      </w:r>
      <w:r w:rsidR="007B285E">
        <w:rPr>
          <w:szCs w:val="24"/>
        </w:rPr>
        <w:t xml:space="preserve"> It is Mr </w:t>
      </w:r>
      <w:proofErr w:type="spellStart"/>
      <w:r w:rsidR="007B285E">
        <w:rPr>
          <w:szCs w:val="24"/>
        </w:rPr>
        <w:t>Lunga</w:t>
      </w:r>
      <w:proofErr w:type="spellEnd"/>
      <w:r w:rsidR="007B285E">
        <w:rPr>
          <w:szCs w:val="24"/>
        </w:rPr>
        <w:t xml:space="preserve"> who requested him to attend such a meeting. </w:t>
      </w:r>
      <w:r w:rsidR="00F42C44">
        <w:rPr>
          <w:szCs w:val="24"/>
        </w:rPr>
        <w:t xml:space="preserve">He initially refused to attend the meeting. </w:t>
      </w:r>
      <w:r w:rsidR="00884970">
        <w:rPr>
          <w:szCs w:val="24"/>
        </w:rPr>
        <w:t>He agreed to attend because of the hopes of an</w:t>
      </w:r>
      <w:r w:rsidR="00F42C44">
        <w:rPr>
          <w:szCs w:val="24"/>
        </w:rPr>
        <w:t xml:space="preserve"> am</w:t>
      </w:r>
      <w:r w:rsidR="00884970">
        <w:rPr>
          <w:szCs w:val="24"/>
        </w:rPr>
        <w:t>icable resolution of the matter. He did not know that he</w:t>
      </w:r>
      <w:r w:rsidR="00F42C44">
        <w:rPr>
          <w:szCs w:val="24"/>
        </w:rPr>
        <w:t xml:space="preserve"> was going to hand over all company assets and tell the employees to co-operate with Mr Clark and Mr West</w:t>
      </w:r>
      <w:r w:rsidR="00BF1C3E">
        <w:rPr>
          <w:szCs w:val="24"/>
        </w:rPr>
        <w:t>. He acted</w:t>
      </w:r>
      <w:r w:rsidR="00F42C44">
        <w:rPr>
          <w:szCs w:val="24"/>
        </w:rPr>
        <w:t xml:space="preserve"> under duress. </w:t>
      </w:r>
      <w:r w:rsidR="00BF1C3E">
        <w:rPr>
          <w:szCs w:val="24"/>
        </w:rPr>
        <w:t>He says he was told by Mr Clark and Mr West</w:t>
      </w:r>
      <w:r w:rsidR="00F42C44">
        <w:rPr>
          <w:szCs w:val="24"/>
        </w:rPr>
        <w:t xml:space="preserve"> that </w:t>
      </w:r>
      <w:r w:rsidR="00BF1C3E">
        <w:rPr>
          <w:szCs w:val="24"/>
        </w:rPr>
        <w:t>he</w:t>
      </w:r>
      <w:r w:rsidR="00F42C44">
        <w:rPr>
          <w:szCs w:val="24"/>
        </w:rPr>
        <w:t xml:space="preserve"> was going to comply with their demands willingly or by force if </w:t>
      </w:r>
      <w:r w:rsidR="00BF1C3E">
        <w:rPr>
          <w:szCs w:val="24"/>
        </w:rPr>
        <w:t>he</w:t>
      </w:r>
      <w:r w:rsidR="00F42C44">
        <w:rPr>
          <w:szCs w:val="24"/>
        </w:rPr>
        <w:t xml:space="preserve"> di</w:t>
      </w:r>
      <w:r w:rsidR="00BF1C3E">
        <w:rPr>
          <w:szCs w:val="24"/>
        </w:rPr>
        <w:t>d not consent.</w:t>
      </w:r>
      <w:r w:rsidR="00F42C44">
        <w:rPr>
          <w:szCs w:val="24"/>
        </w:rPr>
        <w:t xml:space="preserve"> </w:t>
      </w:r>
      <w:r w:rsidR="00607557">
        <w:rPr>
          <w:szCs w:val="24"/>
        </w:rPr>
        <w:t>He says he</w:t>
      </w:r>
      <w:r w:rsidR="00F42C44">
        <w:rPr>
          <w:szCs w:val="24"/>
        </w:rPr>
        <w:t xml:space="preserve"> also complied with their demands because </w:t>
      </w:r>
      <w:r w:rsidR="00607557">
        <w:rPr>
          <w:szCs w:val="24"/>
        </w:rPr>
        <w:t>he</w:t>
      </w:r>
      <w:r w:rsidR="00F42C44">
        <w:rPr>
          <w:szCs w:val="24"/>
        </w:rPr>
        <w:t xml:space="preserve"> did not want them to end up breaking into the premises by force as they had done previously.</w:t>
      </w:r>
      <w:r w:rsidR="00BB65A8">
        <w:rPr>
          <w:rStyle w:val="FootnoteReference"/>
          <w:szCs w:val="24"/>
        </w:rPr>
        <w:footnoteReference w:id="3"/>
      </w:r>
      <w:r w:rsidR="003448AC">
        <w:rPr>
          <w:szCs w:val="24"/>
        </w:rPr>
        <w:t xml:space="preserve"> </w:t>
      </w:r>
    </w:p>
    <w:p w:rsidR="00930505" w:rsidRDefault="005B19B0" w:rsidP="00930505">
      <w:pPr>
        <w:ind w:firstLine="720"/>
        <w:jc w:val="both"/>
        <w:rPr>
          <w:szCs w:val="24"/>
        </w:rPr>
      </w:pPr>
      <w:r>
        <w:rPr>
          <w:szCs w:val="24"/>
        </w:rPr>
        <w:t>In his evidence and submissions</w:t>
      </w:r>
      <w:r w:rsidR="000A72D5">
        <w:rPr>
          <w:szCs w:val="24"/>
        </w:rPr>
        <w:t xml:space="preserve"> applicant</w:t>
      </w:r>
      <w:r w:rsidR="00DB27D6">
        <w:rPr>
          <w:szCs w:val="24"/>
        </w:rPr>
        <w:t xml:space="preserve"> denies that the handover of the company was voluntary. </w:t>
      </w:r>
      <w:r w:rsidR="000A72D5">
        <w:rPr>
          <w:szCs w:val="24"/>
        </w:rPr>
        <w:t xml:space="preserve">It is said he handed over the company as a result of duress. </w:t>
      </w:r>
      <w:r w:rsidR="003E3760">
        <w:rPr>
          <w:szCs w:val="24"/>
        </w:rPr>
        <w:t xml:space="preserve">It is contended that the handing over of the company should not be used to defeat applicant’s case. </w:t>
      </w:r>
      <w:r w:rsidR="00AE69CC">
        <w:rPr>
          <w:szCs w:val="24"/>
        </w:rPr>
        <w:t xml:space="preserve"> </w:t>
      </w:r>
      <w:r w:rsidR="0080605E">
        <w:rPr>
          <w:szCs w:val="24"/>
        </w:rPr>
        <w:t>The high watermark</w:t>
      </w:r>
      <w:r w:rsidR="00F22DDE">
        <w:rPr>
          <w:szCs w:val="24"/>
        </w:rPr>
        <w:t xml:space="preserve"> of applicant’s opposition to this point</w:t>
      </w:r>
      <w:r w:rsidR="00F22DDE" w:rsidRPr="00F22DDE">
        <w:rPr>
          <w:i/>
          <w:szCs w:val="24"/>
        </w:rPr>
        <w:t xml:space="preserve"> in limine</w:t>
      </w:r>
      <w:r w:rsidR="000465C8">
        <w:rPr>
          <w:szCs w:val="24"/>
        </w:rPr>
        <w:t xml:space="preserve"> is</w:t>
      </w:r>
      <w:r w:rsidR="00F22DDE">
        <w:rPr>
          <w:szCs w:val="24"/>
        </w:rPr>
        <w:t xml:space="preserve"> duress. It is important to note that </w:t>
      </w:r>
      <w:r w:rsidR="0080605E">
        <w:rPr>
          <w:szCs w:val="24"/>
        </w:rPr>
        <w:t>he does not dispute that he has complied</w:t>
      </w:r>
      <w:r w:rsidR="00D126DA">
        <w:rPr>
          <w:szCs w:val="24"/>
        </w:rPr>
        <w:t xml:space="preserve"> with the judgment in HC 2693/15</w:t>
      </w:r>
      <w:r w:rsidR="0080605E">
        <w:rPr>
          <w:szCs w:val="24"/>
        </w:rPr>
        <w:t xml:space="preserve">, he contends that he did so under duress. </w:t>
      </w:r>
      <w:r w:rsidR="00FD703E">
        <w:rPr>
          <w:szCs w:val="24"/>
        </w:rPr>
        <w:t xml:space="preserve">This narrows the inquiry to whether or not his compliance was induced by duress. </w:t>
      </w:r>
    </w:p>
    <w:p w:rsidR="00EC2E64" w:rsidRPr="00C36121" w:rsidRDefault="00A86A46" w:rsidP="00DF0D04">
      <w:pPr>
        <w:pStyle w:val="JUDGMENTNUMBERED"/>
        <w:numPr>
          <w:ilvl w:val="0"/>
          <w:numId w:val="0"/>
        </w:numPr>
        <w:ind w:firstLine="680"/>
        <w:rPr>
          <w:sz w:val="24"/>
          <w:szCs w:val="24"/>
        </w:rPr>
      </w:pPr>
      <w:r w:rsidRPr="00EC2E64">
        <w:rPr>
          <w:sz w:val="24"/>
          <w:szCs w:val="24"/>
        </w:rPr>
        <w:t>According to the common law doctrine of peremption, a party who acquiesces to a judgment cannot subsequently seek to challenge the judgment to which he has acquiesced. This doctrine is founded on the logic that no person may be allowed to opportunistically endorse two conflicting positions or to both approbate and reprobate, or to blow hot and cold. It may even be said that a party will not be allowed to have her cake and eat it too.</w:t>
      </w:r>
      <w:r w:rsidR="0054460B" w:rsidRPr="00EC2E64">
        <w:rPr>
          <w:sz w:val="24"/>
          <w:szCs w:val="24"/>
        </w:rPr>
        <w:t xml:space="preserve"> </w:t>
      </w:r>
      <w:r w:rsidR="005B6534" w:rsidRPr="00EC2E64">
        <w:rPr>
          <w:sz w:val="24"/>
          <w:szCs w:val="24"/>
          <w:lang w:val="en-GB"/>
        </w:rPr>
        <w:t>Although the doctrine has its origin in appeals, the doctrine and its principles do apply equally in the case of rescission.</w:t>
      </w:r>
      <w:r w:rsidR="009F5CE4" w:rsidRPr="00EC2E64">
        <w:rPr>
          <w:sz w:val="24"/>
          <w:szCs w:val="24"/>
          <w:lang w:val="en-GB"/>
        </w:rPr>
        <w:t xml:space="preserve"> See: </w:t>
      </w:r>
      <w:r w:rsidR="00EC2E64" w:rsidRPr="00EC2E64">
        <w:rPr>
          <w:i/>
          <w:sz w:val="24"/>
          <w:szCs w:val="24"/>
        </w:rPr>
        <w:t xml:space="preserve">Zuma v Secretary of the Judicial Commission of Inquiry into Allegations of State Capture, Corruption and Fraud in the Public Sector Including Organs of State and Others </w:t>
      </w:r>
      <w:r w:rsidR="00EC2E64" w:rsidRPr="00EC2E64">
        <w:rPr>
          <w:sz w:val="24"/>
          <w:szCs w:val="24"/>
        </w:rPr>
        <w:t xml:space="preserve">[2021] ZACC 28[1] para. 101. </w:t>
      </w:r>
    </w:p>
    <w:p w:rsidR="00CF21FC" w:rsidRDefault="00BE0FB2" w:rsidP="00222715">
      <w:pPr>
        <w:ind w:firstLine="680"/>
        <w:jc w:val="both"/>
      </w:pPr>
      <w:r>
        <w:t>The doctrine of peremption was enunciat</w:t>
      </w:r>
      <w:r w:rsidR="00D86878">
        <w:t xml:space="preserve">ed in </w:t>
      </w:r>
      <w:proofErr w:type="spellStart"/>
      <w:r w:rsidR="00D86878" w:rsidRPr="00D86878">
        <w:rPr>
          <w:i/>
        </w:rPr>
        <w:t>Hlatswayo</w:t>
      </w:r>
      <w:proofErr w:type="spellEnd"/>
      <w:r w:rsidR="00D86878" w:rsidRPr="00D86878">
        <w:rPr>
          <w:i/>
        </w:rPr>
        <w:t xml:space="preserve"> v Mare and Deas</w:t>
      </w:r>
      <w:r>
        <w:t xml:space="preserve"> </w:t>
      </w:r>
      <w:r w:rsidR="00222715">
        <w:rPr>
          <w:rFonts w:cs="Times New Roman"/>
          <w:szCs w:val="24"/>
          <w:lang w:val="en-ZW"/>
        </w:rPr>
        <w:t>1912 AD 242</w:t>
      </w:r>
      <w:r w:rsidR="00222715">
        <w:t xml:space="preserve"> </w:t>
      </w:r>
      <w:r>
        <w:t xml:space="preserve">where Lord De Villiers held that ‘where a man has two courses of action open to him and he unequivocally takes one he cannot afterwards turn back and take the other.’ Similarly, in </w:t>
      </w:r>
      <w:proofErr w:type="spellStart"/>
      <w:r w:rsidRPr="00D86878">
        <w:rPr>
          <w:i/>
        </w:rPr>
        <w:t>Dabner</w:t>
      </w:r>
      <w:proofErr w:type="spellEnd"/>
      <w:r w:rsidRPr="00D86878">
        <w:rPr>
          <w:i/>
        </w:rPr>
        <w:t xml:space="preserve"> v South African Railways and </w:t>
      </w:r>
      <w:proofErr w:type="spellStart"/>
      <w:r w:rsidRPr="00D86878">
        <w:rPr>
          <w:i/>
        </w:rPr>
        <w:t>Harbours</w:t>
      </w:r>
      <w:proofErr w:type="spellEnd"/>
      <w:r w:rsidR="00D86878">
        <w:t xml:space="preserve"> </w:t>
      </w:r>
      <w:r w:rsidR="0006697E">
        <w:rPr>
          <w:szCs w:val="24"/>
        </w:rPr>
        <w:t xml:space="preserve">1920 AD 583 @ 594 </w:t>
      </w:r>
      <w:r>
        <w:t>Innes CJ stated:</w:t>
      </w:r>
    </w:p>
    <w:p w:rsidR="00BE0FB2" w:rsidRPr="000E1EC6" w:rsidRDefault="00BE0FB2" w:rsidP="00DD3556">
      <w:pPr>
        <w:spacing w:line="276" w:lineRule="auto"/>
        <w:ind w:left="720" w:firstLine="60"/>
        <w:jc w:val="both"/>
      </w:pPr>
      <w:r>
        <w:t xml:space="preserve">The rule with regard to peremption is well settled, and has been enunciated on several occasions by this Court. If the conduct of an unsuccessful litigant is such as to point indubitably and necessarily to the conclusion that he does not intend to attack the judgment, then he is held to have acquiesced in it. But the conduct relied upon must be unequivocal and must be inconsistent with </w:t>
      </w:r>
      <w:proofErr w:type="spellStart"/>
      <w:r>
        <w:t>Sentraale</w:t>
      </w:r>
      <w:proofErr w:type="spellEnd"/>
      <w:r>
        <w:t xml:space="preserve"> </w:t>
      </w:r>
      <w:proofErr w:type="spellStart"/>
      <w:r>
        <w:t>Ko-Operatiewe</w:t>
      </w:r>
      <w:proofErr w:type="spellEnd"/>
      <w:r>
        <w:t xml:space="preserve"> </w:t>
      </w:r>
      <w:proofErr w:type="spellStart"/>
      <w:r>
        <w:t>Graan</w:t>
      </w:r>
      <w:proofErr w:type="spellEnd"/>
      <w:r w:rsidRPr="00BE0FB2">
        <w:t xml:space="preserve"> </w:t>
      </w:r>
      <w:r>
        <w:t>any intention to appeal. And the onus of establishing that position is upon the party alleging it. In doubtful cases acquiescence, like wa</w:t>
      </w:r>
      <w:r w:rsidR="00CF21FC">
        <w:t>iver, must be held non-proven.</w:t>
      </w:r>
      <w:r>
        <w:t xml:space="preserve"> </w:t>
      </w:r>
    </w:p>
    <w:p w:rsidR="00962516" w:rsidRDefault="004E45C4" w:rsidP="0006697E">
      <w:pPr>
        <w:ind w:firstLine="720"/>
        <w:jc w:val="both"/>
        <w:rPr>
          <w:szCs w:val="24"/>
        </w:rPr>
      </w:pPr>
      <w:r>
        <w:rPr>
          <w:szCs w:val="24"/>
        </w:rPr>
        <w:t xml:space="preserve">In </w:t>
      </w:r>
      <w:r w:rsidRPr="00CF06BE">
        <w:rPr>
          <w:i/>
          <w:szCs w:val="24"/>
        </w:rPr>
        <w:t>Gentiruco A.G. v Firestone S.A. (Pvt) Ltd.</w:t>
      </w:r>
      <w:r>
        <w:rPr>
          <w:szCs w:val="24"/>
        </w:rPr>
        <w:t xml:space="preserve"> 1972 (1) AD </w:t>
      </w:r>
      <w:r w:rsidR="00846D50">
        <w:rPr>
          <w:szCs w:val="24"/>
        </w:rPr>
        <w:t xml:space="preserve">589 @ 600 A-B </w:t>
      </w:r>
      <w:r w:rsidR="00CF06BE">
        <w:rPr>
          <w:szCs w:val="24"/>
        </w:rPr>
        <w:t xml:space="preserve">the court said the right of an unsuccessful litigant to appeal against an adverse judgment or order is said </w:t>
      </w:r>
      <w:r w:rsidR="00677E4E">
        <w:rPr>
          <w:szCs w:val="24"/>
        </w:rPr>
        <w:t xml:space="preserve">to be perempted if he, by unequivocal conduct inconsistent </w:t>
      </w:r>
      <w:r w:rsidR="000B0993">
        <w:rPr>
          <w:szCs w:val="24"/>
        </w:rPr>
        <w:t xml:space="preserve">with an intention to appeal shows that he acquiesces in the judgment or order. </w:t>
      </w:r>
      <w:r w:rsidR="0006697E">
        <w:rPr>
          <w:szCs w:val="24"/>
        </w:rPr>
        <w:t>See:</w:t>
      </w:r>
      <w:r w:rsidR="00962516">
        <w:rPr>
          <w:szCs w:val="24"/>
        </w:rPr>
        <w:t xml:space="preserve"> </w:t>
      </w:r>
      <w:r w:rsidR="00962516" w:rsidRPr="00263941">
        <w:rPr>
          <w:i/>
          <w:szCs w:val="24"/>
        </w:rPr>
        <w:t>Cohen v Cohen</w:t>
      </w:r>
      <w:r w:rsidR="00962516">
        <w:rPr>
          <w:szCs w:val="24"/>
        </w:rPr>
        <w:t xml:space="preserve"> 1980 ZLR </w:t>
      </w:r>
      <w:r w:rsidR="00A95835">
        <w:rPr>
          <w:szCs w:val="24"/>
        </w:rPr>
        <w:t xml:space="preserve">286 and </w:t>
      </w:r>
      <w:r w:rsidR="00A95835" w:rsidRPr="00263941">
        <w:rPr>
          <w:i/>
          <w:szCs w:val="24"/>
        </w:rPr>
        <w:t xml:space="preserve">Collective Self Finance Scheme v </w:t>
      </w:r>
      <w:proofErr w:type="spellStart"/>
      <w:r w:rsidR="00A95835" w:rsidRPr="00263941">
        <w:rPr>
          <w:i/>
          <w:szCs w:val="24"/>
        </w:rPr>
        <w:t>Asharia</w:t>
      </w:r>
      <w:proofErr w:type="spellEnd"/>
      <w:r w:rsidR="00A95835">
        <w:rPr>
          <w:szCs w:val="24"/>
        </w:rPr>
        <w:t xml:space="preserve"> 2000 (1) ZLR 472 (SC). </w:t>
      </w:r>
    </w:p>
    <w:p w:rsidR="002A1325" w:rsidRDefault="00366981" w:rsidP="000F294D">
      <w:pPr>
        <w:ind w:firstLine="720"/>
        <w:jc w:val="both"/>
        <w:rPr>
          <w:szCs w:val="24"/>
        </w:rPr>
      </w:pPr>
      <w:r>
        <w:rPr>
          <w:szCs w:val="24"/>
        </w:rPr>
        <w:t xml:space="preserve">I take the view that the facts are clear. Applicant was requested </w:t>
      </w:r>
      <w:r w:rsidR="00391ED5">
        <w:rPr>
          <w:szCs w:val="24"/>
        </w:rPr>
        <w:t xml:space="preserve">and not compelled </w:t>
      </w:r>
      <w:r>
        <w:rPr>
          <w:szCs w:val="24"/>
        </w:rPr>
        <w:t xml:space="preserve">by Mr </w:t>
      </w:r>
      <w:proofErr w:type="spellStart"/>
      <w:r>
        <w:rPr>
          <w:szCs w:val="24"/>
        </w:rPr>
        <w:t>Lunga</w:t>
      </w:r>
      <w:proofErr w:type="spellEnd"/>
      <w:r>
        <w:rPr>
          <w:szCs w:val="24"/>
        </w:rPr>
        <w:t xml:space="preserve"> to comply with the order he seeks this court to rescind.</w:t>
      </w:r>
      <w:r w:rsidR="006824EB">
        <w:rPr>
          <w:szCs w:val="24"/>
        </w:rPr>
        <w:t xml:space="preserve"> When he agreed to attend the m</w:t>
      </w:r>
      <w:r w:rsidR="00ED0BC5">
        <w:rPr>
          <w:szCs w:val="24"/>
        </w:rPr>
        <w:t>eeting he knew its</w:t>
      </w:r>
      <w:r w:rsidR="002E7A2E">
        <w:rPr>
          <w:szCs w:val="24"/>
        </w:rPr>
        <w:t xml:space="preserve"> agenda. </w:t>
      </w:r>
      <w:r w:rsidR="006824EB">
        <w:rPr>
          <w:szCs w:val="24"/>
        </w:rPr>
        <w:t xml:space="preserve"> It is a falsehood that he did not know that </w:t>
      </w:r>
      <w:r w:rsidR="00BA4CFF">
        <w:rPr>
          <w:szCs w:val="24"/>
        </w:rPr>
        <w:t xml:space="preserve">he was going to hand over company assets and tell the employees to report and co-operate with Mr Clark and Mr West. I say so because </w:t>
      </w:r>
      <w:r w:rsidR="002E7A2E">
        <w:rPr>
          <w:szCs w:val="24"/>
        </w:rPr>
        <w:t xml:space="preserve">this was the very purpose of the meeting. </w:t>
      </w:r>
      <w:proofErr w:type="spellStart"/>
      <w:r w:rsidR="00BA4CFF">
        <w:rPr>
          <w:szCs w:val="24"/>
        </w:rPr>
        <w:t>Lunga</w:t>
      </w:r>
      <w:proofErr w:type="spellEnd"/>
      <w:r w:rsidR="00BA4CFF">
        <w:rPr>
          <w:szCs w:val="24"/>
        </w:rPr>
        <w:t xml:space="preserve"> </w:t>
      </w:r>
      <w:r w:rsidR="003A2FD6">
        <w:rPr>
          <w:szCs w:val="24"/>
        </w:rPr>
        <w:t xml:space="preserve">advised him to attend the meeting and hand over the company to its owners. </w:t>
      </w:r>
      <w:r w:rsidR="00BE2A17">
        <w:rPr>
          <w:szCs w:val="24"/>
        </w:rPr>
        <w:t xml:space="preserve">So when he left his home he knew that at the meeting he was going to hand over the company. </w:t>
      </w:r>
      <w:r w:rsidR="003A2FD6">
        <w:rPr>
          <w:szCs w:val="24"/>
        </w:rPr>
        <w:t xml:space="preserve">It </w:t>
      </w:r>
      <w:r w:rsidR="00384A38">
        <w:rPr>
          <w:szCs w:val="24"/>
        </w:rPr>
        <w:t xml:space="preserve">is falsehood that he was under duress. </w:t>
      </w:r>
      <w:r w:rsidR="000F294D">
        <w:rPr>
          <w:szCs w:val="24"/>
        </w:rPr>
        <w:t xml:space="preserve">The allegation of duress is just a </w:t>
      </w:r>
      <w:r w:rsidR="000F294D" w:rsidRPr="007458FC">
        <w:rPr>
          <w:i/>
          <w:szCs w:val="24"/>
        </w:rPr>
        <w:t>red herring.</w:t>
      </w:r>
      <w:r w:rsidR="000F294D">
        <w:rPr>
          <w:szCs w:val="24"/>
        </w:rPr>
        <w:t xml:space="preserve"> </w:t>
      </w:r>
      <w:r w:rsidR="0008311D">
        <w:rPr>
          <w:szCs w:val="24"/>
        </w:rPr>
        <w:t xml:space="preserve">I say so because there is no evidence that Mr </w:t>
      </w:r>
      <w:r w:rsidR="00356DAE">
        <w:rPr>
          <w:szCs w:val="24"/>
        </w:rPr>
        <w:t>Clark and Mr West forced applicant to h</w:t>
      </w:r>
      <w:r w:rsidR="00ED0BC5">
        <w:rPr>
          <w:szCs w:val="24"/>
        </w:rPr>
        <w:t>a</w:t>
      </w:r>
      <w:r w:rsidR="00356DAE">
        <w:rPr>
          <w:szCs w:val="24"/>
        </w:rPr>
        <w:t xml:space="preserve">ndover the company. </w:t>
      </w:r>
      <w:r w:rsidR="00513796">
        <w:rPr>
          <w:szCs w:val="24"/>
        </w:rPr>
        <w:t xml:space="preserve">It is Mr </w:t>
      </w:r>
      <w:proofErr w:type="spellStart"/>
      <w:r w:rsidR="00513796">
        <w:rPr>
          <w:szCs w:val="24"/>
        </w:rPr>
        <w:t>Lunga</w:t>
      </w:r>
      <w:proofErr w:type="spellEnd"/>
      <w:r w:rsidR="00513796">
        <w:rPr>
          <w:szCs w:val="24"/>
        </w:rPr>
        <w:t xml:space="preserve"> who advised him that the game was over he </w:t>
      </w:r>
      <w:r w:rsidR="00F36FAB">
        <w:rPr>
          <w:szCs w:val="24"/>
        </w:rPr>
        <w:t>must just hand over the company and he agreed.</w:t>
      </w:r>
      <w:r w:rsidR="00513796">
        <w:rPr>
          <w:szCs w:val="24"/>
        </w:rPr>
        <w:t xml:space="preserve"> </w:t>
      </w:r>
      <w:r w:rsidR="00384A38">
        <w:rPr>
          <w:szCs w:val="24"/>
        </w:rPr>
        <w:t>It is inconsequential that he did not s</w:t>
      </w:r>
      <w:r w:rsidR="00F36FAB">
        <w:rPr>
          <w:szCs w:val="24"/>
        </w:rPr>
        <w:t xml:space="preserve">ign the minutes of the meeting held with Mr </w:t>
      </w:r>
      <w:proofErr w:type="gramStart"/>
      <w:r w:rsidR="00F36FAB">
        <w:rPr>
          <w:szCs w:val="24"/>
        </w:rPr>
        <w:t xml:space="preserve">Clark </w:t>
      </w:r>
      <w:r w:rsidR="007458FC">
        <w:rPr>
          <w:szCs w:val="24"/>
        </w:rPr>
        <w:t xml:space="preserve"> </w:t>
      </w:r>
      <w:r w:rsidR="00F36FAB">
        <w:rPr>
          <w:szCs w:val="24"/>
        </w:rPr>
        <w:t>and</w:t>
      </w:r>
      <w:proofErr w:type="gramEnd"/>
      <w:r w:rsidR="00F36FAB">
        <w:rPr>
          <w:szCs w:val="24"/>
        </w:rPr>
        <w:t xml:space="preserve"> Mr West. </w:t>
      </w:r>
    </w:p>
    <w:p w:rsidR="00971F74" w:rsidRDefault="00AF0999" w:rsidP="00AF0999">
      <w:pPr>
        <w:ind w:firstLine="720"/>
        <w:jc w:val="both"/>
        <w:rPr>
          <w:szCs w:val="24"/>
        </w:rPr>
      </w:pPr>
      <w:r>
        <w:t>Applying the doctrine of peremption to the facts of this case, it is incontrovertible that the applicant by his conduct</w:t>
      </w:r>
      <w:r w:rsidR="008911FF">
        <w:t xml:space="preserve"> unequivocally</w:t>
      </w:r>
      <w:r>
        <w:t xml:space="preserve"> acquiesced to the default judgment obtained against him on the 18</w:t>
      </w:r>
      <w:r w:rsidRPr="00A15D9C">
        <w:rPr>
          <w:vertAlign w:val="superscript"/>
        </w:rPr>
        <w:t>th</w:t>
      </w:r>
      <w:r>
        <w:t xml:space="preserve"> July 2019</w:t>
      </w:r>
      <w:r w:rsidR="001C68D4">
        <w:t>.  He a</w:t>
      </w:r>
      <w:r w:rsidR="001C68D4">
        <w:rPr>
          <w:szCs w:val="24"/>
        </w:rPr>
        <w:t>ttended</w:t>
      </w:r>
      <w:r w:rsidR="00160530">
        <w:rPr>
          <w:szCs w:val="24"/>
        </w:rPr>
        <w:t xml:space="preserve"> a meeting with the directors of respondents</w:t>
      </w:r>
      <w:r>
        <w:rPr>
          <w:szCs w:val="24"/>
        </w:rPr>
        <w:t xml:space="preserve"> and made a handover and takeover of the 1</w:t>
      </w:r>
      <w:r w:rsidRPr="00D369C0">
        <w:rPr>
          <w:szCs w:val="24"/>
          <w:vertAlign w:val="superscript"/>
        </w:rPr>
        <w:t>st</w:t>
      </w:r>
      <w:r>
        <w:rPr>
          <w:szCs w:val="24"/>
        </w:rPr>
        <w:t xml:space="preserve"> respondent’s assets. He advised the employees of the new changes in 1</w:t>
      </w:r>
      <w:r w:rsidRPr="00D369C0">
        <w:rPr>
          <w:szCs w:val="24"/>
          <w:vertAlign w:val="superscript"/>
        </w:rPr>
        <w:t>st</w:t>
      </w:r>
      <w:r>
        <w:rPr>
          <w:szCs w:val="24"/>
        </w:rPr>
        <w:t xml:space="preserve"> respond</w:t>
      </w:r>
      <w:r w:rsidR="00971F74">
        <w:rPr>
          <w:szCs w:val="24"/>
        </w:rPr>
        <w:t>ent. A</w:t>
      </w:r>
      <w:r w:rsidR="001C68D4">
        <w:rPr>
          <w:szCs w:val="24"/>
        </w:rPr>
        <w:t xml:space="preserve">pplicant </w:t>
      </w:r>
      <w:r>
        <w:rPr>
          <w:szCs w:val="24"/>
        </w:rPr>
        <w:t>voluntarily yielded control of 1</w:t>
      </w:r>
      <w:r w:rsidRPr="00BC121C">
        <w:rPr>
          <w:szCs w:val="24"/>
          <w:vertAlign w:val="superscript"/>
        </w:rPr>
        <w:t>st</w:t>
      </w:r>
      <w:r>
        <w:rPr>
          <w:szCs w:val="24"/>
        </w:rPr>
        <w:t xml:space="preserve"> respondent and respondents have </w:t>
      </w:r>
      <w:r w:rsidR="00971F74">
        <w:rPr>
          <w:szCs w:val="24"/>
        </w:rPr>
        <w:t xml:space="preserve">taken control ever since. </w:t>
      </w:r>
      <w:r w:rsidR="0086317E">
        <w:rPr>
          <w:szCs w:val="24"/>
        </w:rPr>
        <w:t>A</w:t>
      </w:r>
      <w:r>
        <w:rPr>
          <w:szCs w:val="24"/>
        </w:rPr>
        <w:t xml:space="preserve">pplicant’s co-directors </w:t>
      </w:r>
      <w:proofErr w:type="spellStart"/>
      <w:r>
        <w:rPr>
          <w:szCs w:val="24"/>
        </w:rPr>
        <w:t>Lunga</w:t>
      </w:r>
      <w:proofErr w:type="spellEnd"/>
      <w:r>
        <w:rPr>
          <w:szCs w:val="24"/>
        </w:rPr>
        <w:t xml:space="preserve"> and Ncube have since resigned, and there is a new outlook which cannot be undone.</w:t>
      </w:r>
      <w:r w:rsidR="0093656E">
        <w:rPr>
          <w:szCs w:val="24"/>
        </w:rPr>
        <w:t xml:space="preserve"> On the facts of this case what is done cannot be undone. </w:t>
      </w:r>
      <w:r w:rsidR="002A132F">
        <w:rPr>
          <w:szCs w:val="24"/>
        </w:rPr>
        <w:t xml:space="preserve">I am satisfied that </w:t>
      </w:r>
      <w:r w:rsidR="00670604">
        <w:rPr>
          <w:szCs w:val="24"/>
        </w:rPr>
        <w:t xml:space="preserve">by </w:t>
      </w:r>
      <w:r w:rsidR="002A132F">
        <w:rPr>
          <w:szCs w:val="24"/>
        </w:rPr>
        <w:t xml:space="preserve">handing over the company to the respondents’ directors applicant </w:t>
      </w:r>
      <w:r w:rsidR="002A132F">
        <w:t>unequivocally acquiesced with the judgment in HC 2693/15.</w:t>
      </w:r>
    </w:p>
    <w:p w:rsidR="00CE63B2" w:rsidRDefault="001C6543" w:rsidP="00085E58">
      <w:pPr>
        <w:ind w:firstLine="720"/>
        <w:jc w:val="both"/>
      </w:pPr>
      <w:r>
        <w:rPr>
          <w:szCs w:val="24"/>
        </w:rPr>
        <w:t xml:space="preserve">There would be no useful purpose to even consider the merits of the application when applicant unequivocal </w:t>
      </w:r>
      <w:r>
        <w:t>acquiesced to the default judgmen</w:t>
      </w:r>
      <w:r w:rsidR="00806E6D">
        <w:t xml:space="preserve">t he seeks this court to rescind. </w:t>
      </w:r>
      <w:r w:rsidR="00AF0999">
        <w:t>Such acquiesce</w:t>
      </w:r>
      <w:r w:rsidR="00806E6D">
        <w:t xml:space="preserve">nce </w:t>
      </w:r>
      <w:r w:rsidR="00366888">
        <w:t>is fatal to this application.</w:t>
      </w:r>
    </w:p>
    <w:p w:rsidR="00085E58" w:rsidRPr="00020746" w:rsidRDefault="00085E58" w:rsidP="00085E58">
      <w:pPr>
        <w:ind w:firstLine="720"/>
        <w:jc w:val="both"/>
        <w:rPr>
          <w:rFonts w:cs="Times New Roman"/>
          <w:szCs w:val="24"/>
        </w:rPr>
      </w:pPr>
      <w:r w:rsidRPr="00020746">
        <w:rPr>
          <w:rFonts w:cs="Times New Roman"/>
          <w:szCs w:val="24"/>
        </w:rPr>
        <w:t xml:space="preserve">Having found that this point </w:t>
      </w:r>
      <w:r w:rsidRPr="00020746">
        <w:rPr>
          <w:rFonts w:cs="Times New Roman"/>
          <w:i/>
          <w:szCs w:val="24"/>
        </w:rPr>
        <w:t>in limine</w:t>
      </w:r>
      <w:r w:rsidRPr="00020746">
        <w:rPr>
          <w:rFonts w:cs="Times New Roman"/>
          <w:szCs w:val="24"/>
        </w:rPr>
        <w:t xml:space="preserve"> has merit, it is not necessary for me to consider the other preliminary points taken by the respon</w:t>
      </w:r>
      <w:r w:rsidR="00020746">
        <w:rPr>
          <w:rFonts w:cs="Times New Roman"/>
          <w:szCs w:val="24"/>
        </w:rPr>
        <w:t xml:space="preserve">dents. </w:t>
      </w:r>
    </w:p>
    <w:p w:rsidR="00815792" w:rsidRPr="00CE63B2" w:rsidRDefault="00815792" w:rsidP="00AF0999">
      <w:pPr>
        <w:ind w:firstLine="720"/>
        <w:jc w:val="both"/>
        <w:rPr>
          <w:rFonts w:cs="Times New Roman"/>
          <w:szCs w:val="24"/>
        </w:rPr>
      </w:pPr>
      <w:r w:rsidRPr="00CE63B2">
        <w:rPr>
          <w:rFonts w:cs="Times New Roman"/>
          <w:szCs w:val="24"/>
        </w:rPr>
        <w:t>The general rule in matters of costs is that the successful party should be given its costs, and this rule should not be departed from except where there are good grounds for doing so. I can think of no reason why I should deviate from this general rule. I therefore intend award</w:t>
      </w:r>
      <w:r w:rsidR="00CE63B2" w:rsidRPr="00CE63B2">
        <w:rPr>
          <w:rFonts w:cs="Times New Roman"/>
          <w:szCs w:val="24"/>
        </w:rPr>
        <w:t xml:space="preserve">ing costs against the applicant. </w:t>
      </w:r>
    </w:p>
    <w:p w:rsidR="00AF0999" w:rsidRDefault="005141AB" w:rsidP="005141AB">
      <w:pPr>
        <w:jc w:val="both"/>
        <w:rPr>
          <w:b/>
          <w:szCs w:val="24"/>
        </w:rPr>
      </w:pPr>
      <w:r w:rsidRPr="005141AB">
        <w:rPr>
          <w:b/>
          <w:szCs w:val="24"/>
        </w:rPr>
        <w:t xml:space="preserve">Disposition </w:t>
      </w:r>
    </w:p>
    <w:p w:rsidR="005141AB" w:rsidRPr="00310AE5" w:rsidRDefault="005141AB" w:rsidP="00310AE5">
      <w:pPr>
        <w:ind w:firstLine="720"/>
        <w:jc w:val="both"/>
        <w:rPr>
          <w:szCs w:val="24"/>
        </w:rPr>
      </w:pPr>
      <w:r>
        <w:t>I am satisfied that</w:t>
      </w:r>
      <w:r w:rsidR="00F749D0">
        <w:t xml:space="preserve"> the </w:t>
      </w:r>
      <w:r w:rsidR="005D3FB2">
        <w:t xml:space="preserve">respondents have discharged the </w:t>
      </w:r>
      <w:r w:rsidR="005D3FB2" w:rsidRPr="00310AE5">
        <w:rPr>
          <w:i/>
        </w:rPr>
        <w:t>onus</w:t>
      </w:r>
      <w:r w:rsidR="005D3FB2">
        <w:t xml:space="preserve"> of showing that applicant acquiescence </w:t>
      </w:r>
      <w:r w:rsidR="003D0362">
        <w:t xml:space="preserve">with the judgment he seeks this court to rescind. His conduct </w:t>
      </w:r>
      <w:r w:rsidR="00F749D0">
        <w:t>was unequivocal and</w:t>
      </w:r>
      <w:r>
        <w:t xml:space="preserve"> inconsistent wi</w:t>
      </w:r>
      <w:r w:rsidR="005D3FB2">
        <w:t xml:space="preserve">th </w:t>
      </w:r>
      <w:r>
        <w:t xml:space="preserve">any intention </w:t>
      </w:r>
      <w:r w:rsidR="00F749D0">
        <w:t>to challe</w:t>
      </w:r>
      <w:r w:rsidR="003D0362">
        <w:t xml:space="preserve">nge the judgment in HC 2693/15. There is no doubt at all in this case that applicant </w:t>
      </w:r>
      <w:r w:rsidR="00310AE5">
        <w:t>acquiescenced</w:t>
      </w:r>
      <w:r w:rsidR="003D0362">
        <w:t xml:space="preserve"> with the judgment. </w:t>
      </w:r>
      <w:r w:rsidR="00EA1D3F">
        <w:t xml:space="preserve">He cannot seek its rescission. </w:t>
      </w:r>
      <w:r w:rsidR="00310AE5">
        <w:t xml:space="preserve"> It is for these reasons that this point </w:t>
      </w:r>
      <w:r w:rsidR="00310AE5" w:rsidRPr="008E0644">
        <w:rPr>
          <w:i/>
        </w:rPr>
        <w:t>in limine</w:t>
      </w:r>
      <w:r w:rsidR="00310AE5">
        <w:t xml:space="preserve"> must succeed. </w:t>
      </w:r>
    </w:p>
    <w:p w:rsidR="00303A53" w:rsidRDefault="003B7A4D" w:rsidP="00303A53">
      <w:pPr>
        <w:jc w:val="both"/>
      </w:pPr>
      <w:r>
        <w:t>In the result</w:t>
      </w:r>
      <w:r w:rsidR="00FA23C9">
        <w:t>,</w:t>
      </w:r>
      <w:r w:rsidR="001679E2">
        <w:t xml:space="preserve"> I order as follows:</w:t>
      </w:r>
    </w:p>
    <w:p w:rsidR="00303A53" w:rsidRPr="00197F3C" w:rsidRDefault="00303A53" w:rsidP="00197F3C">
      <w:pPr>
        <w:pStyle w:val="ListParagraph"/>
        <w:numPr>
          <w:ilvl w:val="0"/>
          <w:numId w:val="4"/>
        </w:numPr>
        <w:jc w:val="both"/>
      </w:pPr>
      <w:r>
        <w:t xml:space="preserve">The point </w:t>
      </w:r>
      <w:r w:rsidRPr="00197F3C">
        <w:rPr>
          <w:i/>
        </w:rPr>
        <w:t>in limine</w:t>
      </w:r>
      <w:r>
        <w:t xml:space="preserve"> </w:t>
      </w:r>
      <w:r w:rsidR="00693C2D">
        <w:t xml:space="preserve">regarding </w:t>
      </w:r>
      <w:proofErr w:type="gramStart"/>
      <w:r w:rsidR="00693C2D">
        <w:t>peremption, that</w:t>
      </w:r>
      <w:proofErr w:type="gramEnd"/>
      <w:r w:rsidR="00693C2D">
        <w:t xml:space="preserve"> is to say applicant</w:t>
      </w:r>
      <w:r w:rsidR="00B66FEF">
        <w:t xml:space="preserve"> voluntarily </w:t>
      </w:r>
      <w:r w:rsidR="00111E4F">
        <w:rPr>
          <w:szCs w:val="24"/>
        </w:rPr>
        <w:t>acquiesced with the default judgment in HC 2693/15</w:t>
      </w:r>
      <w:r w:rsidR="00197F3C" w:rsidRPr="00197F3C">
        <w:rPr>
          <w:szCs w:val="24"/>
        </w:rPr>
        <w:t xml:space="preserve"> </w:t>
      </w:r>
      <w:r w:rsidR="001679E2">
        <w:rPr>
          <w:szCs w:val="24"/>
        </w:rPr>
        <w:t xml:space="preserve">and he cannot seek to have it rescinded </w:t>
      </w:r>
      <w:r w:rsidR="00197F3C" w:rsidRPr="00197F3C">
        <w:rPr>
          <w:szCs w:val="24"/>
        </w:rPr>
        <w:t xml:space="preserve">is upheld. </w:t>
      </w:r>
    </w:p>
    <w:p w:rsidR="006C4965" w:rsidRPr="00DC4CFD" w:rsidRDefault="00197F3C" w:rsidP="00BE7CA8">
      <w:pPr>
        <w:pStyle w:val="ListParagraph"/>
        <w:numPr>
          <w:ilvl w:val="0"/>
          <w:numId w:val="4"/>
        </w:numPr>
        <w:jc w:val="both"/>
      </w:pPr>
      <w:r>
        <w:rPr>
          <w:szCs w:val="24"/>
        </w:rPr>
        <w:t>The application for resci</w:t>
      </w:r>
      <w:r w:rsidR="006C4965">
        <w:rPr>
          <w:szCs w:val="24"/>
        </w:rPr>
        <w:t xml:space="preserve">ssion of judgment </w:t>
      </w:r>
      <w:r w:rsidR="00815792">
        <w:rPr>
          <w:szCs w:val="24"/>
        </w:rPr>
        <w:t xml:space="preserve">be and </w:t>
      </w:r>
      <w:r w:rsidR="006C4965">
        <w:rPr>
          <w:szCs w:val="24"/>
        </w:rPr>
        <w:t xml:space="preserve">is </w:t>
      </w:r>
      <w:r w:rsidR="00815792">
        <w:rPr>
          <w:szCs w:val="24"/>
        </w:rPr>
        <w:t xml:space="preserve">hereby </w:t>
      </w:r>
      <w:r w:rsidR="00BE7CA8">
        <w:rPr>
          <w:szCs w:val="24"/>
        </w:rPr>
        <w:t>dismissed with</w:t>
      </w:r>
      <w:r w:rsidR="006C4965" w:rsidRPr="00BE7CA8">
        <w:rPr>
          <w:szCs w:val="24"/>
        </w:rPr>
        <w:t xml:space="preserve"> costs of suit. </w:t>
      </w:r>
    </w:p>
    <w:p w:rsidR="00DC4CFD" w:rsidRDefault="00DC4CFD" w:rsidP="00DC4CFD">
      <w:pPr>
        <w:jc w:val="both"/>
      </w:pPr>
    </w:p>
    <w:p w:rsidR="00BF3407" w:rsidRDefault="00BF3407" w:rsidP="00B76CD4">
      <w:pPr>
        <w:spacing w:before="0" w:beforeAutospacing="0" w:after="0" w:afterAutospacing="0" w:line="240" w:lineRule="auto"/>
        <w:jc w:val="both"/>
        <w:rPr>
          <w:rFonts w:cs="Times New Roman"/>
          <w:i/>
          <w:szCs w:val="24"/>
        </w:rPr>
      </w:pPr>
    </w:p>
    <w:p w:rsidR="00DC4CFD" w:rsidRDefault="00FC7B75" w:rsidP="00B76CD4">
      <w:pPr>
        <w:spacing w:before="0" w:beforeAutospacing="0" w:after="0" w:afterAutospacing="0" w:line="240" w:lineRule="auto"/>
        <w:jc w:val="both"/>
        <w:rPr>
          <w:rFonts w:cs="Times New Roman"/>
          <w:szCs w:val="24"/>
        </w:rPr>
      </w:pPr>
      <w:r>
        <w:rPr>
          <w:rFonts w:cs="Times New Roman"/>
          <w:i/>
          <w:szCs w:val="24"/>
        </w:rPr>
        <w:t xml:space="preserve">Z. Ncube &amp; Partners </w:t>
      </w:r>
      <w:r w:rsidR="00DC4CFD">
        <w:rPr>
          <w:rFonts w:cs="Times New Roman"/>
          <w:szCs w:val="24"/>
        </w:rPr>
        <w:t xml:space="preserve">plaintiffs’ legal practitioners </w:t>
      </w:r>
    </w:p>
    <w:p w:rsidR="00DC4CFD" w:rsidRPr="006D316B" w:rsidRDefault="007C7360" w:rsidP="00B76CD4">
      <w:pPr>
        <w:spacing w:before="0" w:beforeAutospacing="0" w:after="0" w:afterAutospacing="0" w:line="240" w:lineRule="auto"/>
        <w:jc w:val="both"/>
        <w:rPr>
          <w:rFonts w:cs="Times New Roman"/>
          <w:szCs w:val="24"/>
        </w:rPr>
      </w:pPr>
      <w:r>
        <w:rPr>
          <w:rFonts w:cs="Times New Roman"/>
          <w:i/>
          <w:szCs w:val="24"/>
        </w:rPr>
        <w:t>Coghlan and Welsh</w:t>
      </w:r>
      <w:r w:rsidR="00DC4CFD" w:rsidRPr="00796BD5">
        <w:rPr>
          <w:rFonts w:cs="Times New Roman"/>
          <w:i/>
          <w:szCs w:val="24"/>
        </w:rPr>
        <w:t xml:space="preserve"> </w:t>
      </w:r>
      <w:r>
        <w:rPr>
          <w:rFonts w:cs="Times New Roman"/>
          <w:szCs w:val="24"/>
        </w:rPr>
        <w:t>respondent</w:t>
      </w:r>
      <w:r w:rsidR="00DC4CFD">
        <w:rPr>
          <w:rFonts w:cs="Times New Roman"/>
          <w:szCs w:val="24"/>
        </w:rPr>
        <w:t xml:space="preserve">’s legal practitioners </w:t>
      </w:r>
    </w:p>
    <w:p w:rsidR="00DC4CFD" w:rsidRDefault="00DC4CFD" w:rsidP="00DC4CFD">
      <w:pPr>
        <w:jc w:val="both"/>
      </w:pPr>
      <w:bookmarkStart w:id="0" w:name="_GoBack"/>
      <w:bookmarkEnd w:id="0"/>
    </w:p>
    <w:sectPr w:rsidR="00DC4CF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9E0" w:rsidRDefault="00F829E0" w:rsidP="00F829E0">
      <w:pPr>
        <w:spacing w:before="0" w:after="0" w:line="240" w:lineRule="auto"/>
      </w:pPr>
      <w:r>
        <w:separator/>
      </w:r>
    </w:p>
  </w:endnote>
  <w:endnote w:type="continuationSeparator" w:id="0">
    <w:p w:rsidR="00F829E0" w:rsidRDefault="00F829E0" w:rsidP="00F829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9E0" w:rsidRDefault="00F829E0" w:rsidP="00F829E0">
      <w:pPr>
        <w:spacing w:before="0" w:after="0" w:line="240" w:lineRule="auto"/>
      </w:pPr>
      <w:r>
        <w:separator/>
      </w:r>
    </w:p>
  </w:footnote>
  <w:footnote w:type="continuationSeparator" w:id="0">
    <w:p w:rsidR="00F829E0" w:rsidRDefault="00F829E0" w:rsidP="00F829E0">
      <w:pPr>
        <w:spacing w:before="0" w:after="0" w:line="240" w:lineRule="auto"/>
      </w:pPr>
      <w:r>
        <w:continuationSeparator/>
      </w:r>
    </w:p>
  </w:footnote>
  <w:footnote w:id="1">
    <w:p w:rsidR="002C709A" w:rsidRPr="002C709A" w:rsidRDefault="002C709A" w:rsidP="002C709A">
      <w:pPr>
        <w:pStyle w:val="FootnoteText"/>
        <w:spacing w:line="360" w:lineRule="auto"/>
        <w:jc w:val="both"/>
        <w:rPr>
          <w:lang w:val="en-ZW"/>
        </w:rPr>
      </w:pPr>
      <w:r>
        <w:rPr>
          <w:rStyle w:val="FootnoteReference"/>
        </w:rPr>
        <w:footnoteRef/>
      </w:r>
      <w:r>
        <w:t xml:space="preserve"> </w:t>
      </w:r>
      <w:r w:rsidRPr="002C709A">
        <w:t>This application was filed prior to the enactment of the High Court Rules, 2021.</w:t>
      </w:r>
    </w:p>
  </w:footnote>
  <w:footnote w:id="2">
    <w:p w:rsidR="00F829E0" w:rsidRPr="00F829E0" w:rsidRDefault="00F829E0" w:rsidP="00F829E0">
      <w:pPr>
        <w:pStyle w:val="FootnoteText"/>
        <w:jc w:val="both"/>
        <w:rPr>
          <w:lang w:val="en-ZW"/>
        </w:rPr>
      </w:pPr>
      <w:r>
        <w:rPr>
          <w:rStyle w:val="FootnoteReference"/>
        </w:rPr>
        <w:footnoteRef/>
      </w:r>
      <w:r>
        <w:t xml:space="preserve"> </w:t>
      </w:r>
      <w:r w:rsidR="00404FAE">
        <w:t xml:space="preserve">Internet dictionary defines </w:t>
      </w:r>
      <w:r w:rsidR="00E811A9">
        <w:t>Round Robin Resolution to mean a</w:t>
      </w:r>
      <w:r w:rsidRPr="00F829E0">
        <w:rPr>
          <w:bCs/>
        </w:rPr>
        <w:t xml:space="preserve"> resolution passed by either the Board or a committee of the Board other than in a meeting of the Board</w:t>
      </w:r>
      <w:r w:rsidRPr="00F829E0">
        <w:t xml:space="preserve"> or a meeting of the committee of the Board; or by the Members other than in a General Meeting. </w:t>
      </w:r>
    </w:p>
    <w:p w:rsidR="00F829E0" w:rsidRDefault="00F829E0">
      <w:pPr>
        <w:pStyle w:val="FootnoteText"/>
      </w:pPr>
    </w:p>
  </w:footnote>
  <w:footnote w:id="3">
    <w:p w:rsidR="00BB65A8" w:rsidRPr="00BB65A8" w:rsidRDefault="00BB65A8" w:rsidP="00F0345E">
      <w:pPr>
        <w:pStyle w:val="FootnoteText"/>
      </w:pPr>
      <w:r>
        <w:rPr>
          <w:rStyle w:val="FootnoteReference"/>
        </w:rPr>
        <w:footnoteRef/>
      </w:r>
      <w:r>
        <w:t xml:space="preserve"> </w:t>
      </w:r>
      <w:r w:rsidRPr="00BB65A8">
        <w:rPr>
          <w:i/>
        </w:rPr>
        <w:t>Paragraph</w:t>
      </w:r>
      <w:r w:rsidRPr="00BB65A8">
        <w:t xml:space="preserve"> 26.2 of the Answering Affidavit:</w:t>
      </w:r>
      <w:r w:rsidR="00F0345E">
        <w:t xml:space="preserve"> </w:t>
      </w:r>
      <w:r w:rsidRPr="00BB65A8">
        <w:t xml:space="preserve">It is not correct to say that I am the one who contacted Mr Clark and Mr West to organize a meeting at Coghlan and </w:t>
      </w:r>
      <w:proofErr w:type="spellStart"/>
      <w:r w:rsidRPr="00BB65A8">
        <w:t>Wesh</w:t>
      </w:r>
      <w:proofErr w:type="spellEnd"/>
      <w:r w:rsidRPr="00BB65A8">
        <w:t xml:space="preserve"> on the 18</w:t>
      </w:r>
      <w:r w:rsidRPr="00BB65A8">
        <w:rPr>
          <w:vertAlign w:val="superscript"/>
        </w:rPr>
        <w:t>th</w:t>
      </w:r>
      <w:r w:rsidRPr="00BB65A8">
        <w:t xml:space="preserve"> July 2019. I was sick on that day. Mr </w:t>
      </w:r>
      <w:proofErr w:type="spellStart"/>
      <w:r w:rsidRPr="00BB65A8">
        <w:t>Zwelibanzi</w:t>
      </w:r>
      <w:proofErr w:type="spellEnd"/>
      <w:r w:rsidRPr="00BB65A8">
        <w:t xml:space="preserve"> </w:t>
      </w:r>
      <w:proofErr w:type="spellStart"/>
      <w:r w:rsidRPr="00BB65A8">
        <w:t>Lunga</w:t>
      </w:r>
      <w:proofErr w:type="spellEnd"/>
      <w:r w:rsidRPr="00BB65A8">
        <w:t xml:space="preserve"> is the one who came into my house and persisted to me that I should attend such a meeting. He told me that he had discussed with advocate Mpofu and that respondents wanted to resolve the case amicably. I had refused to go at first but he persisted to me and told me that the other parties were going to go out of the country that same day. With such hopes of an amicable resolution of the matter, I proceeded to attend the meeting even though I was sick without knowing that I was going to hand over all company assets and tell the employees to co-operate with Mr Clark and Mr West under duress. The two gentlemen told me that I was going to comply with their demands willingly or by force if I did not consent. That was the reason why I did not even sign the minutes of such a meeting. Those minutes were just brought in at a later stage by Mr </w:t>
      </w:r>
      <w:proofErr w:type="spellStart"/>
      <w:r w:rsidRPr="00BB65A8">
        <w:t>Huni</w:t>
      </w:r>
      <w:proofErr w:type="spellEnd"/>
      <w:r w:rsidRPr="00BB65A8">
        <w:t xml:space="preserve"> and after he had left I was asked to sign them but I did not sign them. I also complied with their demands because I did not want them to end up breaking into the premises by force as they had done previously. </w:t>
      </w:r>
    </w:p>
    <w:p w:rsidR="00BB65A8" w:rsidRPr="00BB65A8" w:rsidRDefault="00BB65A8">
      <w:pPr>
        <w:pStyle w:val="FootnoteText"/>
        <w:rPr>
          <w:lang w:val="en-ZW"/>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407" w:rsidRDefault="00BF3407" w:rsidP="00BF3407">
    <w:pPr>
      <w:pStyle w:val="NoSpacing"/>
      <w:ind w:left="1440" w:firstLine="720"/>
      <w:rPr>
        <w:rFonts w:asciiTheme="minorHAnsi" w:hAnsiTheme="minorHAnsi"/>
        <w:sz w:val="22"/>
        <w:lang w:val="en-ZW"/>
      </w:rPr>
    </w:pPr>
  </w:p>
  <w:sdt>
    <w:sdtPr>
      <w:id w:val="1675529964"/>
      <w:docPartObj>
        <w:docPartGallery w:val="Page Numbers (Top of Page)"/>
        <w:docPartUnique/>
      </w:docPartObj>
    </w:sdtPr>
    <w:sdtEndPr>
      <w:rPr>
        <w:noProof/>
      </w:rPr>
    </w:sdtEndPr>
    <w:sdtContent>
      <w:p w:rsidR="00BF3407" w:rsidRDefault="00BF3407" w:rsidP="00BF3407">
        <w:pPr>
          <w:pStyle w:val="NoSpacing"/>
          <w:ind w:left="7920" w:firstLine="720"/>
          <w:rPr>
            <w:noProof/>
          </w:rPr>
        </w:pPr>
        <w:r>
          <w:fldChar w:fldCharType="begin"/>
        </w:r>
        <w:r>
          <w:instrText xml:space="preserve"> PAGE   \* MERGEFORMAT </w:instrText>
        </w:r>
        <w:r>
          <w:fldChar w:fldCharType="separate"/>
        </w:r>
        <w:r w:rsidR="00823107">
          <w:rPr>
            <w:noProof/>
          </w:rPr>
          <w:t>12</w:t>
        </w:r>
        <w:r>
          <w:rPr>
            <w:noProof/>
          </w:rPr>
          <w:fldChar w:fldCharType="end"/>
        </w:r>
      </w:p>
      <w:p w:rsidR="00BF3407" w:rsidRDefault="00BF3407" w:rsidP="00BF3407">
        <w:pPr>
          <w:pStyle w:val="NoSpacing"/>
          <w:ind w:left="7200" w:firstLine="720"/>
          <w:rPr>
            <w:noProof/>
          </w:rPr>
        </w:pPr>
        <w:r>
          <w:rPr>
            <w:noProof/>
          </w:rPr>
          <w:t>HB 12/22</w:t>
        </w:r>
      </w:p>
      <w:p w:rsidR="00BF3407" w:rsidRDefault="00BF3407" w:rsidP="00BF3407">
        <w:pPr>
          <w:pStyle w:val="NoSpacing"/>
          <w:ind w:left="7200"/>
        </w:pPr>
        <w:r>
          <w:rPr>
            <w:noProof/>
          </w:rPr>
          <w:t xml:space="preserve">        HC 1716/19</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A7A26"/>
    <w:multiLevelType w:val="hybridMultilevel"/>
    <w:tmpl w:val="C30AD0BA"/>
    <w:lvl w:ilvl="0" w:tplc="0CD23EA0">
      <w:start w:val="1"/>
      <w:numFmt w:val="decimal"/>
      <w:pStyle w:val="JUDGMENTNUMBERED"/>
      <w:lvlText w:val="[%1]"/>
      <w:lvlJc w:val="left"/>
      <w:pPr>
        <w:ind w:left="104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13A6F03"/>
    <w:multiLevelType w:val="hybridMultilevel"/>
    <w:tmpl w:val="0B8C549E"/>
    <w:lvl w:ilvl="0" w:tplc="0E681B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D3F0787"/>
    <w:multiLevelType w:val="hybridMultilevel"/>
    <w:tmpl w:val="5712B078"/>
    <w:lvl w:ilvl="0" w:tplc="ADE49D0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F882C88"/>
    <w:multiLevelType w:val="hybridMultilevel"/>
    <w:tmpl w:val="92843EBC"/>
    <w:lvl w:ilvl="0" w:tplc="89924D8E">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3C670C98"/>
    <w:multiLevelType w:val="hybridMultilevel"/>
    <w:tmpl w:val="FCBC81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1911E0E"/>
    <w:multiLevelType w:val="hybridMultilevel"/>
    <w:tmpl w:val="03AE8B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00054A8"/>
    <w:multiLevelType w:val="hybridMultilevel"/>
    <w:tmpl w:val="2B0CF6A6"/>
    <w:lvl w:ilvl="0" w:tplc="557A9F7E">
      <w:start w:val="1"/>
      <w:numFmt w:val="decimal"/>
      <w:lvlText w:val="[%1]"/>
      <w:lvlJc w:val="left"/>
      <w:rPr>
        <w:rFonts w:ascii="Arial" w:hAnsi="Arial" w:cs="Times New Roman" w:hint="default"/>
        <w:b w:val="0"/>
        <w:i w:val="0"/>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65F82CBD"/>
    <w:multiLevelType w:val="hybridMultilevel"/>
    <w:tmpl w:val="7DFEE0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B0B4168"/>
    <w:multiLevelType w:val="hybridMultilevel"/>
    <w:tmpl w:val="AA9484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F577DC3"/>
    <w:multiLevelType w:val="hybridMultilevel"/>
    <w:tmpl w:val="F880CF88"/>
    <w:lvl w:ilvl="0" w:tplc="7CF8B1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6"/>
  </w:num>
  <w:num w:numId="3">
    <w:abstractNumId w:val="7"/>
  </w:num>
  <w:num w:numId="4">
    <w:abstractNumId w:val="8"/>
  </w:num>
  <w:num w:numId="5">
    <w:abstractNumId w:val="9"/>
  </w:num>
  <w:num w:numId="6">
    <w:abstractNumId w:val="2"/>
  </w:num>
  <w:num w:numId="7">
    <w:abstractNumId w:val="3"/>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C35"/>
    <w:rsid w:val="00000B69"/>
    <w:rsid w:val="00016642"/>
    <w:rsid w:val="00017ADF"/>
    <w:rsid w:val="00020340"/>
    <w:rsid w:val="00020746"/>
    <w:rsid w:val="00020E0B"/>
    <w:rsid w:val="000220FA"/>
    <w:rsid w:val="000231AB"/>
    <w:rsid w:val="00024B11"/>
    <w:rsid w:val="00024C80"/>
    <w:rsid w:val="00025B3F"/>
    <w:rsid w:val="0002622A"/>
    <w:rsid w:val="00026DC7"/>
    <w:rsid w:val="00027C5A"/>
    <w:rsid w:val="00032468"/>
    <w:rsid w:val="000347AE"/>
    <w:rsid w:val="00034BA3"/>
    <w:rsid w:val="00036678"/>
    <w:rsid w:val="0003768C"/>
    <w:rsid w:val="00040B8A"/>
    <w:rsid w:val="000465C8"/>
    <w:rsid w:val="00052351"/>
    <w:rsid w:val="000574DD"/>
    <w:rsid w:val="00060795"/>
    <w:rsid w:val="00061190"/>
    <w:rsid w:val="00061222"/>
    <w:rsid w:val="0006697E"/>
    <w:rsid w:val="00073A1E"/>
    <w:rsid w:val="000744F7"/>
    <w:rsid w:val="000752F3"/>
    <w:rsid w:val="000766DB"/>
    <w:rsid w:val="00082FA3"/>
    <w:rsid w:val="0008311D"/>
    <w:rsid w:val="00083AAE"/>
    <w:rsid w:val="00085E58"/>
    <w:rsid w:val="00086F7E"/>
    <w:rsid w:val="0009181B"/>
    <w:rsid w:val="000941B5"/>
    <w:rsid w:val="0009490E"/>
    <w:rsid w:val="000955F4"/>
    <w:rsid w:val="000A3138"/>
    <w:rsid w:val="000A4732"/>
    <w:rsid w:val="000A72D5"/>
    <w:rsid w:val="000B0993"/>
    <w:rsid w:val="000B1C88"/>
    <w:rsid w:val="000B3397"/>
    <w:rsid w:val="000B3B5C"/>
    <w:rsid w:val="000B6509"/>
    <w:rsid w:val="000D208A"/>
    <w:rsid w:val="000D26DA"/>
    <w:rsid w:val="000D3DCE"/>
    <w:rsid w:val="000D6B29"/>
    <w:rsid w:val="000E0FEA"/>
    <w:rsid w:val="000E1EC6"/>
    <w:rsid w:val="000E464C"/>
    <w:rsid w:val="000E4CCA"/>
    <w:rsid w:val="000E581E"/>
    <w:rsid w:val="000E7DCF"/>
    <w:rsid w:val="000F294D"/>
    <w:rsid w:val="000F4D81"/>
    <w:rsid w:val="000F5504"/>
    <w:rsid w:val="000F5798"/>
    <w:rsid w:val="000F5F84"/>
    <w:rsid w:val="000F75F4"/>
    <w:rsid w:val="00110BC6"/>
    <w:rsid w:val="00111E4F"/>
    <w:rsid w:val="00114098"/>
    <w:rsid w:val="00115A03"/>
    <w:rsid w:val="001206E3"/>
    <w:rsid w:val="00122295"/>
    <w:rsid w:val="0012321F"/>
    <w:rsid w:val="00131F3C"/>
    <w:rsid w:val="0013564E"/>
    <w:rsid w:val="00146C35"/>
    <w:rsid w:val="00150548"/>
    <w:rsid w:val="00153202"/>
    <w:rsid w:val="00153CB6"/>
    <w:rsid w:val="00155FBE"/>
    <w:rsid w:val="00157F84"/>
    <w:rsid w:val="00160530"/>
    <w:rsid w:val="001610AC"/>
    <w:rsid w:val="00161C69"/>
    <w:rsid w:val="00165F52"/>
    <w:rsid w:val="001679E2"/>
    <w:rsid w:val="001720FB"/>
    <w:rsid w:val="00173F33"/>
    <w:rsid w:val="00175397"/>
    <w:rsid w:val="00181A1F"/>
    <w:rsid w:val="001830B4"/>
    <w:rsid w:val="001831E4"/>
    <w:rsid w:val="00185BE6"/>
    <w:rsid w:val="001868F2"/>
    <w:rsid w:val="0019194D"/>
    <w:rsid w:val="00196922"/>
    <w:rsid w:val="00197F3C"/>
    <w:rsid w:val="001A0EBA"/>
    <w:rsid w:val="001A1A90"/>
    <w:rsid w:val="001A79FB"/>
    <w:rsid w:val="001A7AD3"/>
    <w:rsid w:val="001B1EAD"/>
    <w:rsid w:val="001B680F"/>
    <w:rsid w:val="001C107E"/>
    <w:rsid w:val="001C6543"/>
    <w:rsid w:val="001C68D4"/>
    <w:rsid w:val="001D7323"/>
    <w:rsid w:val="001D75AD"/>
    <w:rsid w:val="001D75B6"/>
    <w:rsid w:val="001E311D"/>
    <w:rsid w:val="001F0B7E"/>
    <w:rsid w:val="001F1690"/>
    <w:rsid w:val="001F2449"/>
    <w:rsid w:val="001F2997"/>
    <w:rsid w:val="001F70A2"/>
    <w:rsid w:val="00201902"/>
    <w:rsid w:val="00201C96"/>
    <w:rsid w:val="00204562"/>
    <w:rsid w:val="002103C5"/>
    <w:rsid w:val="00211A28"/>
    <w:rsid w:val="00214AB2"/>
    <w:rsid w:val="00222715"/>
    <w:rsid w:val="00222BA0"/>
    <w:rsid w:val="00230862"/>
    <w:rsid w:val="00231CFA"/>
    <w:rsid w:val="00231E3F"/>
    <w:rsid w:val="002341E6"/>
    <w:rsid w:val="00235B80"/>
    <w:rsid w:val="00236C3E"/>
    <w:rsid w:val="00241EDA"/>
    <w:rsid w:val="00245991"/>
    <w:rsid w:val="002510D8"/>
    <w:rsid w:val="00260A4B"/>
    <w:rsid w:val="00262171"/>
    <w:rsid w:val="002631BC"/>
    <w:rsid w:val="00263941"/>
    <w:rsid w:val="00271521"/>
    <w:rsid w:val="00273371"/>
    <w:rsid w:val="002742C0"/>
    <w:rsid w:val="00276BD6"/>
    <w:rsid w:val="002776F1"/>
    <w:rsid w:val="00293168"/>
    <w:rsid w:val="00293C08"/>
    <w:rsid w:val="002A1325"/>
    <w:rsid w:val="002A132F"/>
    <w:rsid w:val="002A3E78"/>
    <w:rsid w:val="002A4918"/>
    <w:rsid w:val="002A513D"/>
    <w:rsid w:val="002A53BA"/>
    <w:rsid w:val="002A6B10"/>
    <w:rsid w:val="002C10F7"/>
    <w:rsid w:val="002C2EC6"/>
    <w:rsid w:val="002C348B"/>
    <w:rsid w:val="002C709A"/>
    <w:rsid w:val="002C70BA"/>
    <w:rsid w:val="002D5AFA"/>
    <w:rsid w:val="002E7A2E"/>
    <w:rsid w:val="002F2859"/>
    <w:rsid w:val="002F3130"/>
    <w:rsid w:val="00303A53"/>
    <w:rsid w:val="00303B5B"/>
    <w:rsid w:val="00310AE5"/>
    <w:rsid w:val="0031691D"/>
    <w:rsid w:val="00316ABD"/>
    <w:rsid w:val="003171F7"/>
    <w:rsid w:val="00320680"/>
    <w:rsid w:val="00326947"/>
    <w:rsid w:val="0032702A"/>
    <w:rsid w:val="003276BA"/>
    <w:rsid w:val="00335555"/>
    <w:rsid w:val="003448AC"/>
    <w:rsid w:val="003454F2"/>
    <w:rsid w:val="00347BCB"/>
    <w:rsid w:val="00354EA2"/>
    <w:rsid w:val="00355635"/>
    <w:rsid w:val="00356DAE"/>
    <w:rsid w:val="00366888"/>
    <w:rsid w:val="00366981"/>
    <w:rsid w:val="00366E31"/>
    <w:rsid w:val="003706E2"/>
    <w:rsid w:val="0037130D"/>
    <w:rsid w:val="00375350"/>
    <w:rsid w:val="0037566D"/>
    <w:rsid w:val="00384A38"/>
    <w:rsid w:val="003877DF"/>
    <w:rsid w:val="00390A35"/>
    <w:rsid w:val="00391ED5"/>
    <w:rsid w:val="00395F35"/>
    <w:rsid w:val="003963CB"/>
    <w:rsid w:val="003A2FD6"/>
    <w:rsid w:val="003A3BD8"/>
    <w:rsid w:val="003A445A"/>
    <w:rsid w:val="003A57B8"/>
    <w:rsid w:val="003B27FF"/>
    <w:rsid w:val="003B3BB8"/>
    <w:rsid w:val="003B7A4D"/>
    <w:rsid w:val="003C0220"/>
    <w:rsid w:val="003C24F5"/>
    <w:rsid w:val="003C2EC0"/>
    <w:rsid w:val="003D0362"/>
    <w:rsid w:val="003D166E"/>
    <w:rsid w:val="003D28F4"/>
    <w:rsid w:val="003D7F7B"/>
    <w:rsid w:val="003E0428"/>
    <w:rsid w:val="003E3760"/>
    <w:rsid w:val="003F5698"/>
    <w:rsid w:val="003F5747"/>
    <w:rsid w:val="003F6DE7"/>
    <w:rsid w:val="0040064A"/>
    <w:rsid w:val="00404FAE"/>
    <w:rsid w:val="004055C5"/>
    <w:rsid w:val="00407F52"/>
    <w:rsid w:val="004109E6"/>
    <w:rsid w:val="00411170"/>
    <w:rsid w:val="004130EF"/>
    <w:rsid w:val="00416DEF"/>
    <w:rsid w:val="0041728E"/>
    <w:rsid w:val="00420A06"/>
    <w:rsid w:val="004320FE"/>
    <w:rsid w:val="00433C71"/>
    <w:rsid w:val="00435D70"/>
    <w:rsid w:val="00443C80"/>
    <w:rsid w:val="00450D01"/>
    <w:rsid w:val="004535BB"/>
    <w:rsid w:val="00455136"/>
    <w:rsid w:val="00455C70"/>
    <w:rsid w:val="00456B8D"/>
    <w:rsid w:val="00456ECC"/>
    <w:rsid w:val="00464DDA"/>
    <w:rsid w:val="004738EE"/>
    <w:rsid w:val="00474F4B"/>
    <w:rsid w:val="00477DFE"/>
    <w:rsid w:val="00480926"/>
    <w:rsid w:val="00487278"/>
    <w:rsid w:val="004877CE"/>
    <w:rsid w:val="00490403"/>
    <w:rsid w:val="00492B5A"/>
    <w:rsid w:val="00494999"/>
    <w:rsid w:val="004A4524"/>
    <w:rsid w:val="004A4981"/>
    <w:rsid w:val="004B07FF"/>
    <w:rsid w:val="004B2B32"/>
    <w:rsid w:val="004B3BA4"/>
    <w:rsid w:val="004B5A82"/>
    <w:rsid w:val="004C39BC"/>
    <w:rsid w:val="004C6558"/>
    <w:rsid w:val="004D1425"/>
    <w:rsid w:val="004D6E1A"/>
    <w:rsid w:val="004D7502"/>
    <w:rsid w:val="004D7FDF"/>
    <w:rsid w:val="004E0749"/>
    <w:rsid w:val="004E437D"/>
    <w:rsid w:val="004E45C4"/>
    <w:rsid w:val="004F0A92"/>
    <w:rsid w:val="004F63FA"/>
    <w:rsid w:val="004F7FA4"/>
    <w:rsid w:val="00505316"/>
    <w:rsid w:val="00505A7C"/>
    <w:rsid w:val="0050772C"/>
    <w:rsid w:val="00510178"/>
    <w:rsid w:val="00510B20"/>
    <w:rsid w:val="00513796"/>
    <w:rsid w:val="005141AB"/>
    <w:rsid w:val="005142EB"/>
    <w:rsid w:val="00524096"/>
    <w:rsid w:val="0052725F"/>
    <w:rsid w:val="00527D46"/>
    <w:rsid w:val="00536E50"/>
    <w:rsid w:val="00537DCF"/>
    <w:rsid w:val="005427D2"/>
    <w:rsid w:val="00543A66"/>
    <w:rsid w:val="0054460B"/>
    <w:rsid w:val="005460CC"/>
    <w:rsid w:val="005463BD"/>
    <w:rsid w:val="00551AFA"/>
    <w:rsid w:val="00552D9D"/>
    <w:rsid w:val="00555690"/>
    <w:rsid w:val="00563176"/>
    <w:rsid w:val="0057189E"/>
    <w:rsid w:val="005719AA"/>
    <w:rsid w:val="00573588"/>
    <w:rsid w:val="00573E77"/>
    <w:rsid w:val="00574206"/>
    <w:rsid w:val="0058119E"/>
    <w:rsid w:val="00582902"/>
    <w:rsid w:val="00582C28"/>
    <w:rsid w:val="00590754"/>
    <w:rsid w:val="00595860"/>
    <w:rsid w:val="005961B1"/>
    <w:rsid w:val="005A58A9"/>
    <w:rsid w:val="005B19B0"/>
    <w:rsid w:val="005B31C9"/>
    <w:rsid w:val="005B4405"/>
    <w:rsid w:val="005B445E"/>
    <w:rsid w:val="005B50D4"/>
    <w:rsid w:val="005B6534"/>
    <w:rsid w:val="005B6AE8"/>
    <w:rsid w:val="005C2DBF"/>
    <w:rsid w:val="005C7A2C"/>
    <w:rsid w:val="005D3FB2"/>
    <w:rsid w:val="005D4053"/>
    <w:rsid w:val="005D5AA0"/>
    <w:rsid w:val="005D61FF"/>
    <w:rsid w:val="005D6A21"/>
    <w:rsid w:val="005E0869"/>
    <w:rsid w:val="005E2EC9"/>
    <w:rsid w:val="005E3875"/>
    <w:rsid w:val="005E5657"/>
    <w:rsid w:val="005F5AA3"/>
    <w:rsid w:val="005F6C9B"/>
    <w:rsid w:val="005F7589"/>
    <w:rsid w:val="00600B4F"/>
    <w:rsid w:val="00606F30"/>
    <w:rsid w:val="00607557"/>
    <w:rsid w:val="006123E1"/>
    <w:rsid w:val="00614202"/>
    <w:rsid w:val="00615303"/>
    <w:rsid w:val="00616A7F"/>
    <w:rsid w:val="0062314A"/>
    <w:rsid w:val="006304DD"/>
    <w:rsid w:val="00642126"/>
    <w:rsid w:val="00642AAE"/>
    <w:rsid w:val="00647003"/>
    <w:rsid w:val="0065170F"/>
    <w:rsid w:val="00656898"/>
    <w:rsid w:val="00662CA1"/>
    <w:rsid w:val="006643ED"/>
    <w:rsid w:val="006702A4"/>
    <w:rsid w:val="00670604"/>
    <w:rsid w:val="00672FEC"/>
    <w:rsid w:val="006732BC"/>
    <w:rsid w:val="00677B63"/>
    <w:rsid w:val="00677E4E"/>
    <w:rsid w:val="00677FD7"/>
    <w:rsid w:val="006824EB"/>
    <w:rsid w:val="006835D9"/>
    <w:rsid w:val="006869C8"/>
    <w:rsid w:val="0068763D"/>
    <w:rsid w:val="006907A2"/>
    <w:rsid w:val="00693C2D"/>
    <w:rsid w:val="00693E92"/>
    <w:rsid w:val="00695F84"/>
    <w:rsid w:val="0069780D"/>
    <w:rsid w:val="006A24BB"/>
    <w:rsid w:val="006A3427"/>
    <w:rsid w:val="006A4183"/>
    <w:rsid w:val="006A5341"/>
    <w:rsid w:val="006A6CBB"/>
    <w:rsid w:val="006C21AD"/>
    <w:rsid w:val="006C4965"/>
    <w:rsid w:val="006C6DD4"/>
    <w:rsid w:val="006D0377"/>
    <w:rsid w:val="006E144C"/>
    <w:rsid w:val="006E1A82"/>
    <w:rsid w:val="006E1EEB"/>
    <w:rsid w:val="006E5F94"/>
    <w:rsid w:val="006E7E35"/>
    <w:rsid w:val="006F616B"/>
    <w:rsid w:val="006F70F4"/>
    <w:rsid w:val="0070294C"/>
    <w:rsid w:val="00703603"/>
    <w:rsid w:val="00704EB7"/>
    <w:rsid w:val="00710CDA"/>
    <w:rsid w:val="00712C4D"/>
    <w:rsid w:val="00717B9D"/>
    <w:rsid w:val="00720295"/>
    <w:rsid w:val="00721EDD"/>
    <w:rsid w:val="0072312A"/>
    <w:rsid w:val="00731E09"/>
    <w:rsid w:val="00733C33"/>
    <w:rsid w:val="00734B73"/>
    <w:rsid w:val="00736D75"/>
    <w:rsid w:val="00741D03"/>
    <w:rsid w:val="007458FC"/>
    <w:rsid w:val="00746029"/>
    <w:rsid w:val="00747FBA"/>
    <w:rsid w:val="00751976"/>
    <w:rsid w:val="0076594E"/>
    <w:rsid w:val="0076669F"/>
    <w:rsid w:val="00772BE7"/>
    <w:rsid w:val="00776671"/>
    <w:rsid w:val="007768AF"/>
    <w:rsid w:val="00780CAE"/>
    <w:rsid w:val="00785EC4"/>
    <w:rsid w:val="007907D1"/>
    <w:rsid w:val="0079163C"/>
    <w:rsid w:val="00793DB4"/>
    <w:rsid w:val="00797751"/>
    <w:rsid w:val="007A0B96"/>
    <w:rsid w:val="007A3DF1"/>
    <w:rsid w:val="007B1FF7"/>
    <w:rsid w:val="007B285E"/>
    <w:rsid w:val="007B527E"/>
    <w:rsid w:val="007B75BF"/>
    <w:rsid w:val="007C47A8"/>
    <w:rsid w:val="007C7360"/>
    <w:rsid w:val="007D07FE"/>
    <w:rsid w:val="007E0E5C"/>
    <w:rsid w:val="007E1CD0"/>
    <w:rsid w:val="007E38EB"/>
    <w:rsid w:val="007F07EC"/>
    <w:rsid w:val="007F1B8C"/>
    <w:rsid w:val="007F3A04"/>
    <w:rsid w:val="007F4370"/>
    <w:rsid w:val="007F641C"/>
    <w:rsid w:val="007F6570"/>
    <w:rsid w:val="00804737"/>
    <w:rsid w:val="0080605E"/>
    <w:rsid w:val="00806E52"/>
    <w:rsid w:val="00806E6D"/>
    <w:rsid w:val="00807443"/>
    <w:rsid w:val="008110DA"/>
    <w:rsid w:val="008148DF"/>
    <w:rsid w:val="00814F21"/>
    <w:rsid w:val="00815792"/>
    <w:rsid w:val="00816FFB"/>
    <w:rsid w:val="008206B4"/>
    <w:rsid w:val="00821672"/>
    <w:rsid w:val="00823107"/>
    <w:rsid w:val="0083016B"/>
    <w:rsid w:val="008305C0"/>
    <w:rsid w:val="008310C3"/>
    <w:rsid w:val="00831F9C"/>
    <w:rsid w:val="008320C1"/>
    <w:rsid w:val="0083489C"/>
    <w:rsid w:val="00837EB8"/>
    <w:rsid w:val="008405D8"/>
    <w:rsid w:val="008442B4"/>
    <w:rsid w:val="00846D50"/>
    <w:rsid w:val="008477B5"/>
    <w:rsid w:val="008504C0"/>
    <w:rsid w:val="00850808"/>
    <w:rsid w:val="008513DC"/>
    <w:rsid w:val="00853C50"/>
    <w:rsid w:val="008549E9"/>
    <w:rsid w:val="00855B11"/>
    <w:rsid w:val="008573E8"/>
    <w:rsid w:val="008578D4"/>
    <w:rsid w:val="00861A59"/>
    <w:rsid w:val="0086317E"/>
    <w:rsid w:val="00864D36"/>
    <w:rsid w:val="00866CEC"/>
    <w:rsid w:val="008673A9"/>
    <w:rsid w:val="00872552"/>
    <w:rsid w:val="00881332"/>
    <w:rsid w:val="0088335C"/>
    <w:rsid w:val="00883B82"/>
    <w:rsid w:val="00883E26"/>
    <w:rsid w:val="00884360"/>
    <w:rsid w:val="00884970"/>
    <w:rsid w:val="008911FF"/>
    <w:rsid w:val="008912D9"/>
    <w:rsid w:val="0089190E"/>
    <w:rsid w:val="00891B4D"/>
    <w:rsid w:val="00893B84"/>
    <w:rsid w:val="00895D44"/>
    <w:rsid w:val="008A08B6"/>
    <w:rsid w:val="008A5329"/>
    <w:rsid w:val="008A6E34"/>
    <w:rsid w:val="008B1139"/>
    <w:rsid w:val="008B576A"/>
    <w:rsid w:val="008B5FD7"/>
    <w:rsid w:val="008C17FF"/>
    <w:rsid w:val="008C7B5D"/>
    <w:rsid w:val="008D020C"/>
    <w:rsid w:val="008D3F91"/>
    <w:rsid w:val="008D645A"/>
    <w:rsid w:val="008E0644"/>
    <w:rsid w:val="008E193D"/>
    <w:rsid w:val="008F72D4"/>
    <w:rsid w:val="008F747B"/>
    <w:rsid w:val="008F7DC7"/>
    <w:rsid w:val="0090371A"/>
    <w:rsid w:val="00906F8A"/>
    <w:rsid w:val="009105A0"/>
    <w:rsid w:val="00914D8F"/>
    <w:rsid w:val="00923116"/>
    <w:rsid w:val="009236A8"/>
    <w:rsid w:val="0093004A"/>
    <w:rsid w:val="00930505"/>
    <w:rsid w:val="0093264D"/>
    <w:rsid w:val="00936494"/>
    <w:rsid w:val="0093656E"/>
    <w:rsid w:val="00936937"/>
    <w:rsid w:val="00940278"/>
    <w:rsid w:val="009455BF"/>
    <w:rsid w:val="00947CBD"/>
    <w:rsid w:val="0095044C"/>
    <w:rsid w:val="009506F9"/>
    <w:rsid w:val="00954F82"/>
    <w:rsid w:val="009554BC"/>
    <w:rsid w:val="00962516"/>
    <w:rsid w:val="009627D5"/>
    <w:rsid w:val="009630A1"/>
    <w:rsid w:val="0096512D"/>
    <w:rsid w:val="009677B1"/>
    <w:rsid w:val="00971F74"/>
    <w:rsid w:val="00975144"/>
    <w:rsid w:val="00975847"/>
    <w:rsid w:val="00975B0E"/>
    <w:rsid w:val="0098193E"/>
    <w:rsid w:val="00981D5D"/>
    <w:rsid w:val="00994300"/>
    <w:rsid w:val="00995C73"/>
    <w:rsid w:val="00996C48"/>
    <w:rsid w:val="009A12B8"/>
    <w:rsid w:val="009A66F4"/>
    <w:rsid w:val="009A7D4F"/>
    <w:rsid w:val="009B0E2F"/>
    <w:rsid w:val="009B34DC"/>
    <w:rsid w:val="009C25D6"/>
    <w:rsid w:val="009C2691"/>
    <w:rsid w:val="009C5C04"/>
    <w:rsid w:val="009C61F0"/>
    <w:rsid w:val="009C68BA"/>
    <w:rsid w:val="009C72F7"/>
    <w:rsid w:val="009C7E7C"/>
    <w:rsid w:val="009D451B"/>
    <w:rsid w:val="009D7579"/>
    <w:rsid w:val="009E25BE"/>
    <w:rsid w:val="009E2A62"/>
    <w:rsid w:val="009E470B"/>
    <w:rsid w:val="009E47DA"/>
    <w:rsid w:val="009E6180"/>
    <w:rsid w:val="009F0B63"/>
    <w:rsid w:val="009F21FE"/>
    <w:rsid w:val="009F5CE4"/>
    <w:rsid w:val="00A11667"/>
    <w:rsid w:val="00A11EB9"/>
    <w:rsid w:val="00A15D9C"/>
    <w:rsid w:val="00A165C2"/>
    <w:rsid w:val="00A223BB"/>
    <w:rsid w:val="00A23087"/>
    <w:rsid w:val="00A26379"/>
    <w:rsid w:val="00A27A1D"/>
    <w:rsid w:val="00A37F7D"/>
    <w:rsid w:val="00A45C18"/>
    <w:rsid w:val="00A5009A"/>
    <w:rsid w:val="00A6051F"/>
    <w:rsid w:val="00A60F33"/>
    <w:rsid w:val="00A70FD8"/>
    <w:rsid w:val="00A74793"/>
    <w:rsid w:val="00A766DB"/>
    <w:rsid w:val="00A836CC"/>
    <w:rsid w:val="00A86A46"/>
    <w:rsid w:val="00A94BCE"/>
    <w:rsid w:val="00A95835"/>
    <w:rsid w:val="00AA01DD"/>
    <w:rsid w:val="00AA14AE"/>
    <w:rsid w:val="00AA7839"/>
    <w:rsid w:val="00AC156C"/>
    <w:rsid w:val="00AC2630"/>
    <w:rsid w:val="00AC2F71"/>
    <w:rsid w:val="00AC6DF2"/>
    <w:rsid w:val="00AD0D58"/>
    <w:rsid w:val="00AD36D0"/>
    <w:rsid w:val="00AD52C4"/>
    <w:rsid w:val="00AE2672"/>
    <w:rsid w:val="00AE69CC"/>
    <w:rsid w:val="00AF0999"/>
    <w:rsid w:val="00AF12D4"/>
    <w:rsid w:val="00AF59F3"/>
    <w:rsid w:val="00B005A0"/>
    <w:rsid w:val="00B01904"/>
    <w:rsid w:val="00B06C3D"/>
    <w:rsid w:val="00B11C9F"/>
    <w:rsid w:val="00B12747"/>
    <w:rsid w:val="00B131F0"/>
    <w:rsid w:val="00B23FCD"/>
    <w:rsid w:val="00B24E9B"/>
    <w:rsid w:val="00B26A8D"/>
    <w:rsid w:val="00B30372"/>
    <w:rsid w:val="00B31D1B"/>
    <w:rsid w:val="00B35C6A"/>
    <w:rsid w:val="00B36193"/>
    <w:rsid w:val="00B52B66"/>
    <w:rsid w:val="00B54AA9"/>
    <w:rsid w:val="00B628F4"/>
    <w:rsid w:val="00B65DD3"/>
    <w:rsid w:val="00B66FEF"/>
    <w:rsid w:val="00B7035E"/>
    <w:rsid w:val="00B71CE9"/>
    <w:rsid w:val="00B76CD4"/>
    <w:rsid w:val="00B934DE"/>
    <w:rsid w:val="00BA25BE"/>
    <w:rsid w:val="00BA4CFF"/>
    <w:rsid w:val="00BA69A4"/>
    <w:rsid w:val="00BB62EB"/>
    <w:rsid w:val="00BB65A8"/>
    <w:rsid w:val="00BC121C"/>
    <w:rsid w:val="00BC2F54"/>
    <w:rsid w:val="00BC5A8A"/>
    <w:rsid w:val="00BD3271"/>
    <w:rsid w:val="00BD3679"/>
    <w:rsid w:val="00BE0FB2"/>
    <w:rsid w:val="00BE2A17"/>
    <w:rsid w:val="00BE59E5"/>
    <w:rsid w:val="00BE7CA8"/>
    <w:rsid w:val="00BF1C3E"/>
    <w:rsid w:val="00BF3407"/>
    <w:rsid w:val="00C00A77"/>
    <w:rsid w:val="00C03DA3"/>
    <w:rsid w:val="00C104DF"/>
    <w:rsid w:val="00C10D60"/>
    <w:rsid w:val="00C12916"/>
    <w:rsid w:val="00C143FF"/>
    <w:rsid w:val="00C15CA6"/>
    <w:rsid w:val="00C1696E"/>
    <w:rsid w:val="00C26AC5"/>
    <w:rsid w:val="00C31CC5"/>
    <w:rsid w:val="00C36121"/>
    <w:rsid w:val="00C36396"/>
    <w:rsid w:val="00C427E7"/>
    <w:rsid w:val="00C434E6"/>
    <w:rsid w:val="00C45DF0"/>
    <w:rsid w:val="00C46719"/>
    <w:rsid w:val="00C51000"/>
    <w:rsid w:val="00C527FD"/>
    <w:rsid w:val="00C529B1"/>
    <w:rsid w:val="00C56AC2"/>
    <w:rsid w:val="00C61C43"/>
    <w:rsid w:val="00C630D1"/>
    <w:rsid w:val="00C639C1"/>
    <w:rsid w:val="00C65700"/>
    <w:rsid w:val="00C66425"/>
    <w:rsid w:val="00C675E9"/>
    <w:rsid w:val="00C701BC"/>
    <w:rsid w:val="00C7555A"/>
    <w:rsid w:val="00C8050F"/>
    <w:rsid w:val="00C83243"/>
    <w:rsid w:val="00C87DBA"/>
    <w:rsid w:val="00C90D2B"/>
    <w:rsid w:val="00C91005"/>
    <w:rsid w:val="00C92C46"/>
    <w:rsid w:val="00C93993"/>
    <w:rsid w:val="00CB6695"/>
    <w:rsid w:val="00CC0898"/>
    <w:rsid w:val="00CC55AC"/>
    <w:rsid w:val="00CC5F54"/>
    <w:rsid w:val="00CD32D7"/>
    <w:rsid w:val="00CD7BE4"/>
    <w:rsid w:val="00CE1E8B"/>
    <w:rsid w:val="00CE57F3"/>
    <w:rsid w:val="00CE63B2"/>
    <w:rsid w:val="00CE7601"/>
    <w:rsid w:val="00CE7799"/>
    <w:rsid w:val="00CF06BE"/>
    <w:rsid w:val="00CF21FC"/>
    <w:rsid w:val="00CF3F87"/>
    <w:rsid w:val="00CF69EF"/>
    <w:rsid w:val="00CF7463"/>
    <w:rsid w:val="00D03091"/>
    <w:rsid w:val="00D036C1"/>
    <w:rsid w:val="00D06BCA"/>
    <w:rsid w:val="00D10EF0"/>
    <w:rsid w:val="00D126DA"/>
    <w:rsid w:val="00D206A8"/>
    <w:rsid w:val="00D21AD3"/>
    <w:rsid w:val="00D26028"/>
    <w:rsid w:val="00D307E3"/>
    <w:rsid w:val="00D3347B"/>
    <w:rsid w:val="00D33698"/>
    <w:rsid w:val="00D3535A"/>
    <w:rsid w:val="00D369C0"/>
    <w:rsid w:val="00D40275"/>
    <w:rsid w:val="00D42C90"/>
    <w:rsid w:val="00D44DE7"/>
    <w:rsid w:val="00D50733"/>
    <w:rsid w:val="00D507D8"/>
    <w:rsid w:val="00D542DD"/>
    <w:rsid w:val="00D579F4"/>
    <w:rsid w:val="00D6163E"/>
    <w:rsid w:val="00D61CF9"/>
    <w:rsid w:val="00D63940"/>
    <w:rsid w:val="00D665E9"/>
    <w:rsid w:val="00D676A3"/>
    <w:rsid w:val="00D67A14"/>
    <w:rsid w:val="00D734B2"/>
    <w:rsid w:val="00D766B9"/>
    <w:rsid w:val="00D81CB7"/>
    <w:rsid w:val="00D85985"/>
    <w:rsid w:val="00D86878"/>
    <w:rsid w:val="00D915AC"/>
    <w:rsid w:val="00D9456E"/>
    <w:rsid w:val="00D949B7"/>
    <w:rsid w:val="00D94BA1"/>
    <w:rsid w:val="00D95B3E"/>
    <w:rsid w:val="00D978DC"/>
    <w:rsid w:val="00DA4921"/>
    <w:rsid w:val="00DA4B70"/>
    <w:rsid w:val="00DB02E6"/>
    <w:rsid w:val="00DB1DA7"/>
    <w:rsid w:val="00DB27D6"/>
    <w:rsid w:val="00DB322D"/>
    <w:rsid w:val="00DB5C48"/>
    <w:rsid w:val="00DB5E52"/>
    <w:rsid w:val="00DB6103"/>
    <w:rsid w:val="00DB74DC"/>
    <w:rsid w:val="00DB78D3"/>
    <w:rsid w:val="00DC0C85"/>
    <w:rsid w:val="00DC39C8"/>
    <w:rsid w:val="00DC4CFD"/>
    <w:rsid w:val="00DC52FF"/>
    <w:rsid w:val="00DC5BBF"/>
    <w:rsid w:val="00DC695C"/>
    <w:rsid w:val="00DD246A"/>
    <w:rsid w:val="00DD3448"/>
    <w:rsid w:val="00DD3556"/>
    <w:rsid w:val="00DD3973"/>
    <w:rsid w:val="00DD5045"/>
    <w:rsid w:val="00DD54B9"/>
    <w:rsid w:val="00DE2B12"/>
    <w:rsid w:val="00DE4DE1"/>
    <w:rsid w:val="00DE628B"/>
    <w:rsid w:val="00DF0243"/>
    <w:rsid w:val="00DF0D04"/>
    <w:rsid w:val="00DF5F4C"/>
    <w:rsid w:val="00DF7D52"/>
    <w:rsid w:val="00E03988"/>
    <w:rsid w:val="00E04A63"/>
    <w:rsid w:val="00E06291"/>
    <w:rsid w:val="00E12B1A"/>
    <w:rsid w:val="00E15208"/>
    <w:rsid w:val="00E17AA5"/>
    <w:rsid w:val="00E2403F"/>
    <w:rsid w:val="00E268F2"/>
    <w:rsid w:val="00E31A69"/>
    <w:rsid w:val="00E32DF3"/>
    <w:rsid w:val="00E34255"/>
    <w:rsid w:val="00E35C5E"/>
    <w:rsid w:val="00E37354"/>
    <w:rsid w:val="00E37EC4"/>
    <w:rsid w:val="00E40696"/>
    <w:rsid w:val="00E408B0"/>
    <w:rsid w:val="00E41337"/>
    <w:rsid w:val="00E413D5"/>
    <w:rsid w:val="00E41E82"/>
    <w:rsid w:val="00E45A73"/>
    <w:rsid w:val="00E6185A"/>
    <w:rsid w:val="00E61CE4"/>
    <w:rsid w:val="00E645AB"/>
    <w:rsid w:val="00E72E84"/>
    <w:rsid w:val="00E73980"/>
    <w:rsid w:val="00E73CFB"/>
    <w:rsid w:val="00E75FD8"/>
    <w:rsid w:val="00E811A9"/>
    <w:rsid w:val="00E81C9C"/>
    <w:rsid w:val="00E8372E"/>
    <w:rsid w:val="00E84FE3"/>
    <w:rsid w:val="00E860BA"/>
    <w:rsid w:val="00E87B8F"/>
    <w:rsid w:val="00E92767"/>
    <w:rsid w:val="00E95005"/>
    <w:rsid w:val="00E956FE"/>
    <w:rsid w:val="00E95E1D"/>
    <w:rsid w:val="00E95E80"/>
    <w:rsid w:val="00E966C5"/>
    <w:rsid w:val="00E9671B"/>
    <w:rsid w:val="00E9718F"/>
    <w:rsid w:val="00EA1B96"/>
    <w:rsid w:val="00EA1D3F"/>
    <w:rsid w:val="00EB05CD"/>
    <w:rsid w:val="00EB258C"/>
    <w:rsid w:val="00EC2E64"/>
    <w:rsid w:val="00EC3CFC"/>
    <w:rsid w:val="00EC66D9"/>
    <w:rsid w:val="00EC7785"/>
    <w:rsid w:val="00ED0BC5"/>
    <w:rsid w:val="00ED61BD"/>
    <w:rsid w:val="00ED6C6F"/>
    <w:rsid w:val="00EE1A34"/>
    <w:rsid w:val="00EE31FC"/>
    <w:rsid w:val="00EE47ED"/>
    <w:rsid w:val="00EF188F"/>
    <w:rsid w:val="00EF75FC"/>
    <w:rsid w:val="00EF7D6E"/>
    <w:rsid w:val="00F0345E"/>
    <w:rsid w:val="00F16A8B"/>
    <w:rsid w:val="00F17369"/>
    <w:rsid w:val="00F20093"/>
    <w:rsid w:val="00F20F2E"/>
    <w:rsid w:val="00F22DDE"/>
    <w:rsid w:val="00F239A3"/>
    <w:rsid w:val="00F32606"/>
    <w:rsid w:val="00F36FAB"/>
    <w:rsid w:val="00F37353"/>
    <w:rsid w:val="00F4240E"/>
    <w:rsid w:val="00F42C44"/>
    <w:rsid w:val="00F47C1C"/>
    <w:rsid w:val="00F51D87"/>
    <w:rsid w:val="00F568A5"/>
    <w:rsid w:val="00F56B5C"/>
    <w:rsid w:val="00F601FA"/>
    <w:rsid w:val="00F678BB"/>
    <w:rsid w:val="00F70388"/>
    <w:rsid w:val="00F749D0"/>
    <w:rsid w:val="00F773F1"/>
    <w:rsid w:val="00F829E0"/>
    <w:rsid w:val="00F84D20"/>
    <w:rsid w:val="00F90D79"/>
    <w:rsid w:val="00F91FAF"/>
    <w:rsid w:val="00F96CDC"/>
    <w:rsid w:val="00FA23C9"/>
    <w:rsid w:val="00FA593C"/>
    <w:rsid w:val="00FB10D1"/>
    <w:rsid w:val="00FB20D0"/>
    <w:rsid w:val="00FB5FDC"/>
    <w:rsid w:val="00FC4BBD"/>
    <w:rsid w:val="00FC7811"/>
    <w:rsid w:val="00FC7B75"/>
    <w:rsid w:val="00FD2E1F"/>
    <w:rsid w:val="00FD703E"/>
    <w:rsid w:val="00FF42E7"/>
    <w:rsid w:val="00FF4715"/>
    <w:rsid w:val="00FF6D29"/>
    <w:rsid w:val="00FF7E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82EC9F9-0322-46F5-9680-6C8FEB28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C35"/>
    <w:pPr>
      <w:spacing w:before="100" w:beforeAutospacing="1" w:after="100" w:afterAutospacing="1" w:line="360" w:lineRule="auto"/>
    </w:pPr>
    <w:rPr>
      <w:rFonts w:ascii="Times New Roman" w:hAnsi="Times New Roman"/>
      <w:sz w:val="24"/>
      <w:lang w:val="en-US"/>
    </w:rPr>
  </w:style>
  <w:style w:type="paragraph" w:styleId="Heading3">
    <w:name w:val="heading 3"/>
    <w:basedOn w:val="Normal"/>
    <w:link w:val="Heading3Char"/>
    <w:uiPriority w:val="9"/>
    <w:qFormat/>
    <w:rsid w:val="00F37353"/>
    <w:pPr>
      <w:spacing w:line="240" w:lineRule="auto"/>
      <w:outlineLvl w:val="2"/>
    </w:pPr>
    <w:rPr>
      <w:rFonts w:eastAsia="Times New Roman" w:cs="Times New Roman"/>
      <w:b/>
      <w:bCs/>
      <w:sz w:val="27"/>
      <w:szCs w:val="27"/>
      <w:lang w:val="en-ZW"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6C35"/>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582C2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70388"/>
    <w:pPr>
      <w:ind w:left="720"/>
      <w:contextualSpacing/>
    </w:pPr>
  </w:style>
  <w:style w:type="paragraph" w:styleId="FootnoteText">
    <w:name w:val="footnote text"/>
    <w:basedOn w:val="Normal"/>
    <w:link w:val="FootnoteTextChar"/>
    <w:uiPriority w:val="99"/>
    <w:semiHidden/>
    <w:unhideWhenUsed/>
    <w:rsid w:val="00F829E0"/>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F829E0"/>
    <w:rPr>
      <w:rFonts w:ascii="Times New Roman" w:hAnsi="Times New Roman"/>
      <w:sz w:val="20"/>
      <w:szCs w:val="20"/>
      <w:lang w:val="en-US"/>
    </w:rPr>
  </w:style>
  <w:style w:type="character" w:styleId="FootnoteReference">
    <w:name w:val="footnote reference"/>
    <w:basedOn w:val="DefaultParagraphFont"/>
    <w:uiPriority w:val="99"/>
    <w:semiHidden/>
    <w:unhideWhenUsed/>
    <w:rsid w:val="00F829E0"/>
    <w:rPr>
      <w:vertAlign w:val="superscript"/>
    </w:rPr>
  </w:style>
  <w:style w:type="character" w:styleId="Emphasis">
    <w:name w:val="Emphasis"/>
    <w:basedOn w:val="DefaultParagraphFont"/>
    <w:uiPriority w:val="20"/>
    <w:qFormat/>
    <w:rsid w:val="00F16A8B"/>
    <w:rPr>
      <w:i/>
      <w:iCs/>
    </w:rPr>
  </w:style>
  <w:style w:type="character" w:customStyle="1" w:styleId="Heading3Char">
    <w:name w:val="Heading 3 Char"/>
    <w:basedOn w:val="DefaultParagraphFont"/>
    <w:link w:val="Heading3"/>
    <w:uiPriority w:val="9"/>
    <w:rsid w:val="00F37353"/>
    <w:rPr>
      <w:rFonts w:ascii="Times New Roman" w:eastAsia="Times New Roman" w:hAnsi="Times New Roman" w:cs="Times New Roman"/>
      <w:b/>
      <w:bCs/>
      <w:sz w:val="27"/>
      <w:szCs w:val="27"/>
      <w:lang w:eastAsia="en-ZW"/>
    </w:rPr>
  </w:style>
  <w:style w:type="paragraph" w:customStyle="1" w:styleId="JUDGMENTNUMBERED">
    <w:name w:val="JUDGMENT NUMBERED"/>
    <w:basedOn w:val="Normal"/>
    <w:next w:val="JUDGMENTCONTINUED"/>
    <w:link w:val="JUDGMENTNUMBEREDChar"/>
    <w:qFormat/>
    <w:rsid w:val="005B6534"/>
    <w:pPr>
      <w:numPr>
        <w:numId w:val="10"/>
      </w:numPr>
      <w:spacing w:before="0" w:beforeAutospacing="0" w:after="0" w:afterAutospacing="0"/>
      <w:jc w:val="both"/>
    </w:pPr>
    <w:rPr>
      <w:rFonts w:eastAsia="Times New Roman" w:cs="Times New Roman"/>
      <w:sz w:val="26"/>
      <w:lang w:val="en-ZA"/>
    </w:rPr>
  </w:style>
  <w:style w:type="paragraph" w:customStyle="1" w:styleId="JUDGMENTCONTINUED">
    <w:name w:val="JUDGMENT CONTINUED"/>
    <w:basedOn w:val="JUDGMENTNUMBERED"/>
    <w:next w:val="JUDGMENTNUMBERED"/>
    <w:qFormat/>
    <w:rsid w:val="005B6534"/>
    <w:pPr>
      <w:numPr>
        <w:numId w:val="0"/>
      </w:numPr>
    </w:pPr>
  </w:style>
  <w:style w:type="character" w:customStyle="1" w:styleId="JUDGMENTNUMBEREDChar">
    <w:name w:val="JUDGMENT NUMBERED Char"/>
    <w:basedOn w:val="DefaultParagraphFont"/>
    <w:link w:val="JUDGMENTNUMBERED"/>
    <w:locked/>
    <w:rsid w:val="005B6534"/>
    <w:rPr>
      <w:rFonts w:ascii="Times New Roman" w:eastAsia="Times New Roman" w:hAnsi="Times New Roman" w:cs="Times New Roman"/>
      <w:sz w:val="26"/>
      <w:lang w:val="en-ZA"/>
    </w:rPr>
  </w:style>
  <w:style w:type="character" w:styleId="Strong">
    <w:name w:val="Strong"/>
    <w:basedOn w:val="DefaultParagraphFont"/>
    <w:uiPriority w:val="22"/>
    <w:qFormat/>
    <w:rsid w:val="00E95E1D"/>
    <w:rPr>
      <w:b/>
      <w:bCs/>
    </w:rPr>
  </w:style>
  <w:style w:type="character" w:styleId="Hyperlink">
    <w:name w:val="Hyperlink"/>
    <w:basedOn w:val="DefaultParagraphFont"/>
    <w:uiPriority w:val="99"/>
    <w:semiHidden/>
    <w:unhideWhenUsed/>
    <w:rsid w:val="00E95E1D"/>
    <w:rPr>
      <w:color w:val="0000FF"/>
      <w:u w:val="single"/>
    </w:rPr>
  </w:style>
  <w:style w:type="paragraph" w:styleId="Header">
    <w:name w:val="header"/>
    <w:basedOn w:val="Normal"/>
    <w:link w:val="HeaderChar"/>
    <w:uiPriority w:val="99"/>
    <w:unhideWhenUsed/>
    <w:rsid w:val="00BF340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3407"/>
    <w:rPr>
      <w:rFonts w:ascii="Times New Roman" w:hAnsi="Times New Roman"/>
      <w:sz w:val="24"/>
      <w:lang w:val="en-US"/>
    </w:rPr>
  </w:style>
  <w:style w:type="paragraph" w:styleId="Footer">
    <w:name w:val="footer"/>
    <w:basedOn w:val="Normal"/>
    <w:link w:val="FooterChar"/>
    <w:uiPriority w:val="99"/>
    <w:unhideWhenUsed/>
    <w:rsid w:val="00BF340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3407"/>
    <w:rPr>
      <w:rFonts w:ascii="Times New Roman" w:hAnsi="Times New Roman"/>
      <w:sz w:val="24"/>
      <w:lang w:val="en-US"/>
    </w:rPr>
  </w:style>
  <w:style w:type="paragraph" w:styleId="BalloonText">
    <w:name w:val="Balloon Text"/>
    <w:basedOn w:val="Normal"/>
    <w:link w:val="BalloonTextChar"/>
    <w:uiPriority w:val="99"/>
    <w:semiHidden/>
    <w:unhideWhenUsed/>
    <w:rsid w:val="00BF340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40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10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insider.com/dictionary/round-robin-resolu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6421C-C13A-4A4B-B887-DE162E32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12</Pages>
  <Words>3683</Words>
  <Characters>20994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35</cp:revision>
  <cp:lastPrinted>2022-01-11T08:22:00Z</cp:lastPrinted>
  <dcterms:created xsi:type="dcterms:W3CDTF">2021-12-29T21:47:00Z</dcterms:created>
  <dcterms:modified xsi:type="dcterms:W3CDTF">2022-01-12T10:17:00Z</dcterms:modified>
</cp:coreProperties>
</file>