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FE" w:rsidRDefault="008D5AFE" w:rsidP="003A0861">
      <w:pPr>
        <w:spacing w:line="360" w:lineRule="auto"/>
        <w:rPr>
          <w:b/>
          <w:sz w:val="28"/>
          <w:szCs w:val="28"/>
        </w:rPr>
      </w:pPr>
    </w:p>
    <w:p w:rsidR="008451CD" w:rsidRDefault="003A0861" w:rsidP="003A0861">
      <w:pPr>
        <w:spacing w:line="360" w:lineRule="auto"/>
        <w:rPr>
          <w:rFonts w:cs="Courier New"/>
          <w:b/>
          <w:sz w:val="28"/>
          <w:szCs w:val="28"/>
        </w:rPr>
      </w:pPr>
      <w:r w:rsidRPr="005A4D8F">
        <w:rPr>
          <w:rFonts w:cs="Courier New"/>
          <w:b/>
          <w:sz w:val="28"/>
          <w:szCs w:val="28"/>
        </w:rPr>
        <w:t>IN THE LABOUR COURT OF ZIM</w:t>
      </w:r>
      <w:r w:rsidR="00D30EF6" w:rsidRPr="005A4D8F">
        <w:rPr>
          <w:rFonts w:cs="Courier New"/>
          <w:b/>
          <w:sz w:val="28"/>
          <w:szCs w:val="28"/>
        </w:rPr>
        <w:t>BABWE</w:t>
      </w:r>
      <w:r w:rsidR="00C9388A">
        <w:rPr>
          <w:rFonts w:cs="Courier New"/>
          <w:b/>
          <w:sz w:val="28"/>
          <w:szCs w:val="28"/>
        </w:rPr>
        <w:t xml:space="preserve">            </w:t>
      </w:r>
      <w:r w:rsidR="00D30EF6" w:rsidRPr="005A4D8F">
        <w:rPr>
          <w:rFonts w:cs="Courier New"/>
          <w:b/>
          <w:sz w:val="28"/>
          <w:szCs w:val="28"/>
        </w:rPr>
        <w:t xml:space="preserve"> JUDGMENT</w:t>
      </w:r>
      <w:r w:rsidR="005A4D8F">
        <w:rPr>
          <w:rFonts w:cs="Courier New"/>
          <w:b/>
          <w:sz w:val="28"/>
          <w:szCs w:val="28"/>
        </w:rPr>
        <w:t xml:space="preserve"> </w:t>
      </w:r>
      <w:r w:rsidR="00D30EF6" w:rsidRPr="005A4D8F">
        <w:rPr>
          <w:rFonts w:cs="Courier New"/>
          <w:b/>
          <w:sz w:val="28"/>
          <w:szCs w:val="28"/>
        </w:rPr>
        <w:t xml:space="preserve"> NO</w:t>
      </w:r>
      <w:r w:rsidR="005A4D8F">
        <w:rPr>
          <w:rFonts w:cs="Courier New"/>
          <w:b/>
          <w:sz w:val="28"/>
          <w:szCs w:val="28"/>
        </w:rPr>
        <w:t xml:space="preserve">  </w:t>
      </w:r>
      <w:r w:rsidR="008451CD">
        <w:rPr>
          <w:rFonts w:cs="Courier New"/>
          <w:b/>
          <w:sz w:val="28"/>
          <w:szCs w:val="28"/>
        </w:rPr>
        <w:t xml:space="preserve"> LC/H/471/13</w:t>
      </w:r>
    </w:p>
    <w:p w:rsidR="000231C0" w:rsidRDefault="003A0861" w:rsidP="000231C0">
      <w:pPr>
        <w:spacing w:line="360" w:lineRule="auto"/>
        <w:rPr>
          <w:rFonts w:cs="Courier New"/>
          <w:b/>
          <w:sz w:val="28"/>
          <w:szCs w:val="28"/>
        </w:rPr>
      </w:pPr>
      <w:r w:rsidRPr="005A4D8F">
        <w:rPr>
          <w:rFonts w:cs="Courier New"/>
          <w:b/>
          <w:sz w:val="28"/>
          <w:szCs w:val="28"/>
        </w:rPr>
        <w:t xml:space="preserve">HELD AT HARARE </w:t>
      </w:r>
      <w:r w:rsidR="00C9388A">
        <w:rPr>
          <w:rFonts w:cs="Courier New"/>
          <w:b/>
          <w:sz w:val="28"/>
          <w:szCs w:val="28"/>
        </w:rPr>
        <w:t xml:space="preserve"> ON</w:t>
      </w:r>
      <w:r w:rsidR="000231C0">
        <w:rPr>
          <w:rFonts w:cs="Courier New"/>
          <w:b/>
          <w:sz w:val="28"/>
          <w:szCs w:val="28"/>
        </w:rPr>
        <w:t xml:space="preserve"> 16</w:t>
      </w:r>
      <w:r w:rsidR="000231C0" w:rsidRPr="000231C0">
        <w:rPr>
          <w:rFonts w:cs="Courier New"/>
          <w:b/>
          <w:sz w:val="28"/>
          <w:szCs w:val="28"/>
          <w:vertAlign w:val="superscript"/>
        </w:rPr>
        <w:t>TH</w:t>
      </w:r>
      <w:r w:rsidR="000231C0">
        <w:rPr>
          <w:rFonts w:cs="Courier New"/>
          <w:b/>
          <w:sz w:val="28"/>
          <w:szCs w:val="28"/>
        </w:rPr>
        <w:t xml:space="preserve">  &amp;</w:t>
      </w:r>
      <w:r w:rsidR="00C9388A">
        <w:rPr>
          <w:rFonts w:cs="Courier New"/>
          <w:b/>
          <w:sz w:val="28"/>
          <w:szCs w:val="28"/>
        </w:rPr>
        <w:t xml:space="preserve"> </w:t>
      </w:r>
    </w:p>
    <w:p w:rsidR="003A0861" w:rsidRPr="005A4D8F" w:rsidRDefault="00C9388A" w:rsidP="000231C0">
      <w:pPr>
        <w:spacing w:line="360" w:lineRule="auto"/>
        <w:rPr>
          <w:rFonts w:cs="Courier New"/>
          <w:b/>
          <w:sz w:val="28"/>
          <w:szCs w:val="28"/>
        </w:rPr>
      </w:pPr>
      <w:r>
        <w:rPr>
          <w:rFonts w:cs="Courier New"/>
          <w:b/>
          <w:sz w:val="28"/>
          <w:szCs w:val="28"/>
        </w:rPr>
        <w:t>27</w:t>
      </w:r>
      <w:r w:rsidRPr="00C9388A">
        <w:rPr>
          <w:rFonts w:cs="Courier New"/>
          <w:b/>
          <w:sz w:val="28"/>
          <w:szCs w:val="28"/>
          <w:vertAlign w:val="superscript"/>
        </w:rPr>
        <w:t>TH</w:t>
      </w:r>
      <w:r w:rsidR="000231C0">
        <w:rPr>
          <w:rFonts w:cs="Courier New"/>
          <w:b/>
          <w:sz w:val="28"/>
          <w:szCs w:val="28"/>
        </w:rPr>
        <w:t xml:space="preserve"> SEPTEMBER, </w:t>
      </w:r>
      <w:r w:rsidR="00A41787" w:rsidRPr="005A4D8F">
        <w:rPr>
          <w:rFonts w:cs="Courier New"/>
          <w:b/>
          <w:sz w:val="28"/>
          <w:szCs w:val="28"/>
        </w:rPr>
        <w:t>2013</w:t>
      </w:r>
      <w:r w:rsidR="000231C0">
        <w:rPr>
          <w:rFonts w:cs="Courier New"/>
          <w:b/>
          <w:sz w:val="28"/>
          <w:szCs w:val="28"/>
        </w:rPr>
        <w:t xml:space="preserve">                                          </w:t>
      </w:r>
      <w:r w:rsidR="003A0861" w:rsidRPr="005A4D8F">
        <w:rPr>
          <w:rFonts w:cs="Courier New"/>
          <w:b/>
          <w:sz w:val="28"/>
          <w:szCs w:val="28"/>
        </w:rPr>
        <w:t>CASE NO LC</w:t>
      </w:r>
      <w:r w:rsidR="008451CD">
        <w:rPr>
          <w:rFonts w:cs="Courier New"/>
          <w:b/>
          <w:sz w:val="28"/>
          <w:szCs w:val="28"/>
        </w:rPr>
        <w:t>/REV/H/74/11</w:t>
      </w:r>
    </w:p>
    <w:p w:rsidR="003A0861" w:rsidRPr="005A4D8F" w:rsidRDefault="003A0861" w:rsidP="003A0861">
      <w:pPr>
        <w:spacing w:line="360" w:lineRule="auto"/>
        <w:rPr>
          <w:rFonts w:cs="Courier New"/>
          <w:sz w:val="28"/>
          <w:szCs w:val="28"/>
        </w:rPr>
      </w:pPr>
      <w:r w:rsidRPr="005A4D8F">
        <w:rPr>
          <w:rFonts w:cs="Courier New"/>
          <w:sz w:val="28"/>
          <w:szCs w:val="28"/>
        </w:rPr>
        <w:t>In the matter between:-</w:t>
      </w:r>
    </w:p>
    <w:p w:rsidR="003A0861" w:rsidRPr="005A4D8F" w:rsidRDefault="008451CD" w:rsidP="003A0861">
      <w:pPr>
        <w:spacing w:line="360" w:lineRule="auto"/>
        <w:rPr>
          <w:rFonts w:cs="Courier New"/>
          <w:b/>
          <w:sz w:val="28"/>
          <w:szCs w:val="28"/>
        </w:rPr>
      </w:pPr>
      <w:r>
        <w:rPr>
          <w:rFonts w:cs="Courier New"/>
          <w:b/>
          <w:sz w:val="28"/>
          <w:szCs w:val="28"/>
        </w:rPr>
        <w:t>STEPHEN WATYOKA</w:t>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sidR="003A0861" w:rsidRPr="005A4D8F">
        <w:rPr>
          <w:rFonts w:cs="Courier New"/>
          <w:b/>
          <w:sz w:val="28"/>
          <w:szCs w:val="28"/>
        </w:rPr>
        <w:tab/>
      </w:r>
      <w:r w:rsidR="003A0861" w:rsidRPr="005A4D8F">
        <w:rPr>
          <w:rFonts w:cs="Courier New"/>
          <w:b/>
          <w:sz w:val="28"/>
          <w:szCs w:val="28"/>
        </w:rPr>
        <w:tab/>
        <w:t>Appellant</w:t>
      </w:r>
    </w:p>
    <w:p w:rsidR="003A0861" w:rsidRPr="005A4D8F" w:rsidRDefault="003A0861" w:rsidP="003A0861">
      <w:pPr>
        <w:spacing w:line="360" w:lineRule="auto"/>
        <w:rPr>
          <w:rFonts w:cs="Courier New"/>
          <w:b/>
          <w:sz w:val="28"/>
          <w:szCs w:val="28"/>
        </w:rPr>
      </w:pPr>
      <w:r w:rsidRPr="005A4D8F">
        <w:rPr>
          <w:rFonts w:cs="Courier New"/>
          <w:b/>
          <w:sz w:val="28"/>
          <w:szCs w:val="28"/>
        </w:rPr>
        <w:t>And</w:t>
      </w:r>
    </w:p>
    <w:p w:rsidR="003A0861" w:rsidRDefault="008451CD" w:rsidP="003A0861">
      <w:pPr>
        <w:spacing w:line="360" w:lineRule="auto"/>
        <w:rPr>
          <w:rFonts w:cs="Courier New"/>
          <w:b/>
          <w:sz w:val="28"/>
          <w:szCs w:val="28"/>
        </w:rPr>
      </w:pPr>
      <w:r>
        <w:rPr>
          <w:rFonts w:cs="Courier New"/>
          <w:b/>
          <w:sz w:val="28"/>
          <w:szCs w:val="28"/>
        </w:rPr>
        <w:t>MINISTRY OF PUBLIC WORKS</w:t>
      </w:r>
      <w:r>
        <w:rPr>
          <w:rFonts w:cs="Courier New"/>
          <w:b/>
          <w:sz w:val="28"/>
          <w:szCs w:val="28"/>
        </w:rPr>
        <w:tab/>
      </w:r>
      <w:r>
        <w:rPr>
          <w:rFonts w:cs="Courier New"/>
          <w:b/>
          <w:sz w:val="28"/>
          <w:szCs w:val="28"/>
        </w:rPr>
        <w:tab/>
      </w:r>
      <w:r w:rsidR="00D30EF6" w:rsidRPr="005A4D8F">
        <w:rPr>
          <w:rFonts w:cs="Courier New"/>
          <w:b/>
          <w:sz w:val="28"/>
          <w:szCs w:val="28"/>
        </w:rPr>
        <w:tab/>
      </w:r>
      <w:r w:rsidR="00D30EF6" w:rsidRPr="005A4D8F">
        <w:rPr>
          <w:rFonts w:cs="Courier New"/>
          <w:b/>
          <w:sz w:val="28"/>
          <w:szCs w:val="28"/>
        </w:rPr>
        <w:tab/>
      </w:r>
      <w:r w:rsidR="00D30EF6" w:rsidRPr="005A4D8F">
        <w:rPr>
          <w:rFonts w:cs="Courier New"/>
          <w:b/>
          <w:sz w:val="28"/>
          <w:szCs w:val="28"/>
        </w:rPr>
        <w:tab/>
      </w:r>
      <w:r w:rsidR="003A0861" w:rsidRPr="005A4D8F">
        <w:rPr>
          <w:rFonts w:cs="Courier New"/>
          <w:b/>
          <w:sz w:val="28"/>
          <w:szCs w:val="28"/>
        </w:rPr>
        <w:t>Respondent</w:t>
      </w:r>
    </w:p>
    <w:p w:rsidR="005A4D8F" w:rsidRPr="005A4D8F" w:rsidRDefault="005A4D8F" w:rsidP="003A0861">
      <w:pPr>
        <w:spacing w:line="360" w:lineRule="auto"/>
        <w:rPr>
          <w:rFonts w:cs="Courier New"/>
          <w:b/>
          <w:sz w:val="28"/>
          <w:szCs w:val="28"/>
        </w:rPr>
      </w:pPr>
    </w:p>
    <w:p w:rsidR="003A0861" w:rsidRDefault="00D30EF6" w:rsidP="003A0861">
      <w:pPr>
        <w:spacing w:line="360" w:lineRule="auto"/>
        <w:rPr>
          <w:rFonts w:ascii="Courier New" w:hAnsi="Courier New" w:cs="Courier New"/>
          <w:b/>
          <w:sz w:val="28"/>
          <w:szCs w:val="28"/>
        </w:rPr>
      </w:pPr>
      <w:r w:rsidRPr="005A4D8F">
        <w:rPr>
          <w:rFonts w:ascii="Courier New" w:hAnsi="Courier New" w:cs="Courier New"/>
          <w:b/>
          <w:sz w:val="28"/>
          <w:szCs w:val="28"/>
        </w:rPr>
        <w:t>Before The Honourable E. MUCHAWA, Judge</w:t>
      </w:r>
    </w:p>
    <w:p w:rsidR="008451CD" w:rsidRPr="005A4D8F" w:rsidRDefault="008451CD" w:rsidP="003A0861">
      <w:pPr>
        <w:spacing w:line="360" w:lineRule="auto"/>
        <w:rPr>
          <w:rFonts w:ascii="Courier New" w:hAnsi="Courier New" w:cs="Courier New"/>
          <w:b/>
          <w:sz w:val="28"/>
          <w:szCs w:val="28"/>
        </w:rPr>
      </w:pPr>
      <w:r>
        <w:rPr>
          <w:rFonts w:ascii="Courier New" w:hAnsi="Courier New" w:cs="Courier New"/>
          <w:b/>
          <w:sz w:val="28"/>
          <w:szCs w:val="28"/>
        </w:rPr>
        <w:t>For Respondent: Miss T. Mashiri ( Legal Practitioner)</w:t>
      </w:r>
    </w:p>
    <w:p w:rsidR="00EE665D" w:rsidRDefault="00EE665D" w:rsidP="003A0861">
      <w:pPr>
        <w:spacing w:line="360" w:lineRule="auto"/>
        <w:rPr>
          <w:rFonts w:ascii="Courier New" w:hAnsi="Courier New" w:cs="Courier New"/>
          <w:b/>
          <w:sz w:val="28"/>
          <w:szCs w:val="28"/>
        </w:rPr>
      </w:pPr>
    </w:p>
    <w:p w:rsidR="003A0861" w:rsidRDefault="00EE665D" w:rsidP="003A0861">
      <w:pPr>
        <w:spacing w:line="360" w:lineRule="auto"/>
        <w:rPr>
          <w:rFonts w:ascii="Courier New" w:hAnsi="Courier New" w:cs="Courier New"/>
          <w:b/>
          <w:sz w:val="28"/>
          <w:szCs w:val="28"/>
        </w:rPr>
      </w:pPr>
      <w:r>
        <w:rPr>
          <w:rFonts w:ascii="Courier New" w:hAnsi="Courier New" w:cs="Courier New"/>
          <w:b/>
          <w:sz w:val="28"/>
          <w:szCs w:val="28"/>
        </w:rPr>
        <w:t>M</w:t>
      </w:r>
      <w:r w:rsidR="003A0861" w:rsidRPr="00D30EF6">
        <w:rPr>
          <w:rFonts w:ascii="Courier New" w:hAnsi="Courier New" w:cs="Courier New"/>
          <w:b/>
          <w:sz w:val="28"/>
          <w:szCs w:val="28"/>
        </w:rPr>
        <w:t>UCHAWA, E:</w:t>
      </w:r>
    </w:p>
    <w:p w:rsidR="00EE665D" w:rsidRDefault="00EE665D" w:rsidP="003A0861">
      <w:pPr>
        <w:spacing w:line="360" w:lineRule="auto"/>
        <w:rPr>
          <w:rFonts w:ascii="Courier New" w:hAnsi="Courier New" w:cs="Courier New"/>
          <w:b/>
          <w:sz w:val="28"/>
          <w:szCs w:val="28"/>
        </w:rPr>
      </w:pPr>
    </w:p>
    <w:p w:rsidR="00EE665D" w:rsidRDefault="00EE665D" w:rsidP="00EE665D">
      <w:pPr>
        <w:spacing w:line="360" w:lineRule="auto"/>
        <w:jc w:val="both"/>
        <w:rPr>
          <w:rFonts w:ascii="Courier New" w:hAnsi="Courier New" w:cs="Courier New"/>
          <w:sz w:val="28"/>
          <w:szCs w:val="28"/>
        </w:rPr>
      </w:pPr>
      <w:r>
        <w:rPr>
          <w:rFonts w:ascii="Courier New" w:hAnsi="Courier New" w:cs="Courier New"/>
          <w:b/>
          <w:sz w:val="28"/>
          <w:szCs w:val="28"/>
        </w:rPr>
        <w:tab/>
      </w:r>
      <w:r w:rsidRPr="00EE665D">
        <w:rPr>
          <w:rFonts w:ascii="Courier New" w:hAnsi="Courier New" w:cs="Courier New"/>
          <w:sz w:val="28"/>
          <w:szCs w:val="28"/>
        </w:rPr>
        <w:t>This is an application for review</w:t>
      </w:r>
      <w:r>
        <w:rPr>
          <w:rFonts w:ascii="Courier New" w:hAnsi="Courier New" w:cs="Courier New"/>
          <w:sz w:val="28"/>
          <w:szCs w:val="28"/>
        </w:rPr>
        <w:t>. The applicant is employed by the respondent as an administration officer</w:t>
      </w:r>
      <w:r w:rsidR="00F25BF7">
        <w:rPr>
          <w:rFonts w:ascii="Courier New" w:hAnsi="Courier New" w:cs="Courier New"/>
          <w:sz w:val="28"/>
          <w:szCs w:val="28"/>
        </w:rPr>
        <w:t>. He</w:t>
      </w:r>
      <w:r>
        <w:rPr>
          <w:rFonts w:ascii="Courier New" w:hAnsi="Courier New" w:cs="Courier New"/>
          <w:sz w:val="28"/>
          <w:szCs w:val="28"/>
        </w:rPr>
        <w:t xml:space="preserve"> was charged with misconduct in terms of section 44 [2][a]</w:t>
      </w:r>
      <w:r w:rsidR="00326AD6">
        <w:rPr>
          <w:rFonts w:ascii="Courier New" w:hAnsi="Courier New" w:cs="Courier New"/>
          <w:sz w:val="28"/>
          <w:szCs w:val="28"/>
        </w:rPr>
        <w:t xml:space="preserve"> of the Public Service Regulations 2000 as amended, following an investigation in</w:t>
      </w:r>
      <w:r w:rsidR="00F25BF7">
        <w:rPr>
          <w:rFonts w:ascii="Courier New" w:hAnsi="Courier New" w:cs="Courier New"/>
          <w:sz w:val="28"/>
          <w:szCs w:val="28"/>
        </w:rPr>
        <w:t>to</w:t>
      </w:r>
      <w:r w:rsidR="00326AD6">
        <w:rPr>
          <w:rFonts w:ascii="Courier New" w:hAnsi="Courier New" w:cs="Courier New"/>
          <w:sz w:val="28"/>
          <w:szCs w:val="28"/>
        </w:rPr>
        <w:t xml:space="preserve"> the missing sanitary wares for Donax Enterprises (Pvt) Ltd at Harare Metropolitan Province. He was alleged to have violated paragraphs 2, 3 and 24 of the First Schedule (section 2) of the abovementioned </w:t>
      </w:r>
      <w:r w:rsidR="00326AD6">
        <w:rPr>
          <w:rFonts w:ascii="Courier New" w:hAnsi="Courier New" w:cs="Courier New"/>
          <w:sz w:val="28"/>
          <w:szCs w:val="28"/>
        </w:rPr>
        <w:lastRenderedPageBreak/>
        <w:t>regulations. Consequently he was found guilty and fined the sum equal to two months, salary which would be deducted over a twelve month period.</w:t>
      </w:r>
    </w:p>
    <w:p w:rsidR="007C230F" w:rsidRDefault="007C230F" w:rsidP="00EE665D">
      <w:pPr>
        <w:spacing w:line="360" w:lineRule="auto"/>
        <w:jc w:val="both"/>
        <w:rPr>
          <w:rFonts w:ascii="Courier New" w:hAnsi="Courier New" w:cs="Courier New"/>
          <w:sz w:val="28"/>
          <w:szCs w:val="28"/>
        </w:rPr>
      </w:pPr>
      <w:r>
        <w:rPr>
          <w:rFonts w:ascii="Courier New" w:hAnsi="Courier New" w:cs="Courier New"/>
          <w:sz w:val="28"/>
          <w:szCs w:val="28"/>
        </w:rPr>
        <w:tab/>
        <w:t>The applicant alleges gross procedural irregularities as follows:</w:t>
      </w:r>
    </w:p>
    <w:p w:rsidR="007C230F" w:rsidRDefault="007C230F"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 xml:space="preserve"> The charge sheet does provide the material dates and time on which the goods were allegedly stolen.</w:t>
      </w:r>
    </w:p>
    <w:p w:rsidR="007C230F" w:rsidRDefault="007C230F"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He was advised of the theft about three months later from the date the theft was discovered.</w:t>
      </w:r>
    </w:p>
    <w:p w:rsidR="007C230F" w:rsidRDefault="007C230F"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It was not his responsibility to report the theft to the police as he was not made aware of the theft at the material time of the discovery of the theft.</w:t>
      </w:r>
    </w:p>
    <w:p w:rsidR="007C230F" w:rsidRDefault="007C230F"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Disciplinary proceedings were only initiated more than four years after the alleged offence</w:t>
      </w:r>
      <w:r w:rsidR="006C2026">
        <w:rPr>
          <w:rFonts w:ascii="Courier New" w:hAnsi="Courier New" w:cs="Courier New"/>
          <w:sz w:val="28"/>
          <w:szCs w:val="28"/>
        </w:rPr>
        <w:t xml:space="preserve"> therefore prescribed</w:t>
      </w:r>
    </w:p>
    <w:p w:rsidR="005541D2" w:rsidRDefault="005541D2"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It was not his legal duty nor was it communicated to him that he had a duty to guard the property in question as a security company was employed to do this.</w:t>
      </w:r>
    </w:p>
    <w:p w:rsidR="005541D2" w:rsidRDefault="005541D2"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value of the stolen items was never quantified</w:t>
      </w:r>
    </w:p>
    <w:p w:rsidR="005541D2" w:rsidRDefault="005541D2"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chairperson asked for mitigation before conviction hence the disciplinary committee was already prejudiced in favour of a conviction.</w:t>
      </w:r>
    </w:p>
    <w:p w:rsidR="005541D2" w:rsidRDefault="005541D2" w:rsidP="007C230F">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lastRenderedPageBreak/>
        <w:t>The respondent did not defend the civ</w:t>
      </w:r>
      <w:r w:rsidR="00F25BF7">
        <w:rPr>
          <w:rFonts w:ascii="Courier New" w:hAnsi="Courier New" w:cs="Courier New"/>
          <w:sz w:val="28"/>
          <w:szCs w:val="28"/>
        </w:rPr>
        <w:t>il claim in respect of the missing items</w:t>
      </w:r>
      <w:r>
        <w:rPr>
          <w:rFonts w:ascii="Courier New" w:hAnsi="Courier New" w:cs="Courier New"/>
          <w:sz w:val="28"/>
          <w:szCs w:val="28"/>
        </w:rPr>
        <w:t xml:space="preserve"> resulting in payment of damages.</w:t>
      </w:r>
    </w:p>
    <w:p w:rsidR="00847F3B" w:rsidRDefault="00847F3B" w:rsidP="00847F3B">
      <w:pPr>
        <w:spacing w:line="360" w:lineRule="auto"/>
        <w:ind w:firstLine="360"/>
        <w:jc w:val="both"/>
        <w:rPr>
          <w:rFonts w:ascii="Courier New" w:hAnsi="Courier New" w:cs="Courier New"/>
          <w:sz w:val="28"/>
          <w:szCs w:val="28"/>
        </w:rPr>
      </w:pPr>
      <w:r>
        <w:rPr>
          <w:rFonts w:ascii="Courier New" w:hAnsi="Courier New" w:cs="Courier New"/>
          <w:sz w:val="28"/>
          <w:szCs w:val="28"/>
        </w:rPr>
        <w:t>In response, the respondent claims and avers that it was the applicant’s improper, negligent, inefficient or incompetent performance of duties</w:t>
      </w:r>
      <w:r w:rsidR="009A43E8">
        <w:rPr>
          <w:rFonts w:ascii="Courier New" w:hAnsi="Courier New" w:cs="Courier New"/>
          <w:sz w:val="28"/>
          <w:szCs w:val="28"/>
        </w:rPr>
        <w:t xml:space="preserve"> when he failed to properly </w:t>
      </w:r>
      <w:r w:rsidR="00F25BF7">
        <w:rPr>
          <w:rFonts w:ascii="Courier New" w:hAnsi="Courier New" w:cs="Courier New"/>
          <w:sz w:val="28"/>
          <w:szCs w:val="28"/>
        </w:rPr>
        <w:t>account</w:t>
      </w:r>
      <w:r w:rsidR="00EA5CD9">
        <w:rPr>
          <w:rFonts w:ascii="Courier New" w:hAnsi="Courier New" w:cs="Courier New"/>
          <w:sz w:val="28"/>
          <w:szCs w:val="28"/>
        </w:rPr>
        <w:t xml:space="preserve"> </w:t>
      </w:r>
      <w:r w:rsidR="009A43E8">
        <w:rPr>
          <w:rFonts w:ascii="Courier New" w:hAnsi="Courier New" w:cs="Courier New"/>
          <w:sz w:val="28"/>
          <w:szCs w:val="28"/>
        </w:rPr>
        <w:t xml:space="preserve">for or omitted to follow the laid </w:t>
      </w:r>
      <w:r w:rsidR="00256E89">
        <w:rPr>
          <w:rFonts w:ascii="Courier New" w:hAnsi="Courier New" w:cs="Courier New"/>
          <w:sz w:val="28"/>
          <w:szCs w:val="28"/>
        </w:rPr>
        <w:t xml:space="preserve">down </w:t>
      </w:r>
      <w:r w:rsidR="009A43E8">
        <w:rPr>
          <w:rFonts w:ascii="Courier New" w:hAnsi="Courier New" w:cs="Courier New"/>
          <w:sz w:val="28"/>
          <w:szCs w:val="28"/>
        </w:rPr>
        <w:t>procedures for stores management when he was the administration officer which led to the goods being stolen at a date unknown to the respondent. Further he did not cause a report to be made to the police and failed to properly advise the then Provincial Public Works Officer of the event. The respondent further avers that in terms of the Public Service Regulations, acts of misconduct cannot be subjected to prescription laws. It is argued too that the applicant failed in his duties and obligations to ensure that he takes charge in the management of the Provincial stores leading to prejudice</w:t>
      </w:r>
      <w:r w:rsidR="00703B2B">
        <w:rPr>
          <w:rFonts w:ascii="Courier New" w:hAnsi="Courier New" w:cs="Courier New"/>
          <w:sz w:val="28"/>
          <w:szCs w:val="28"/>
        </w:rPr>
        <w:t xml:space="preserve"> to the tune of 92 560 British Pounds.</w:t>
      </w:r>
    </w:p>
    <w:p w:rsidR="008C5F00" w:rsidRDefault="008C5F00" w:rsidP="00847F3B">
      <w:pPr>
        <w:spacing w:line="360" w:lineRule="auto"/>
        <w:ind w:firstLine="360"/>
        <w:jc w:val="both"/>
        <w:rPr>
          <w:rFonts w:ascii="Courier New" w:hAnsi="Courier New" w:cs="Courier New"/>
          <w:sz w:val="28"/>
          <w:szCs w:val="28"/>
        </w:rPr>
      </w:pPr>
      <w:r>
        <w:rPr>
          <w:rFonts w:ascii="Courier New" w:hAnsi="Courier New" w:cs="Courier New"/>
          <w:sz w:val="28"/>
          <w:szCs w:val="28"/>
        </w:rPr>
        <w:t>In submissions, the respondent raised the question that there is no respondent in this matter as the Ministry of Public Works is not</w:t>
      </w:r>
      <w:r w:rsidR="00EB5EC7">
        <w:rPr>
          <w:rFonts w:ascii="Courier New" w:hAnsi="Courier New" w:cs="Courier New"/>
          <w:sz w:val="28"/>
          <w:szCs w:val="28"/>
        </w:rPr>
        <w:t xml:space="preserve"> a legal persona. The applicant </w:t>
      </w:r>
      <w:r>
        <w:rPr>
          <w:rFonts w:ascii="Courier New" w:hAnsi="Courier New" w:cs="Courier New"/>
          <w:sz w:val="28"/>
          <w:szCs w:val="28"/>
        </w:rPr>
        <w:t>proceeded to make an application to substitute that with th</w:t>
      </w:r>
      <w:r w:rsidR="00EB5EC7">
        <w:rPr>
          <w:rFonts w:ascii="Courier New" w:hAnsi="Courier New" w:cs="Courier New"/>
          <w:sz w:val="28"/>
          <w:szCs w:val="28"/>
        </w:rPr>
        <w:t xml:space="preserve">e Minister of Public Works  who </w:t>
      </w:r>
      <w:r>
        <w:rPr>
          <w:rFonts w:ascii="Courier New" w:hAnsi="Courier New" w:cs="Courier New"/>
          <w:sz w:val="28"/>
          <w:szCs w:val="28"/>
        </w:rPr>
        <w:t>in terms of the State Liabilities Act is the nominal defendant in all matters that involve the Ministry. This was granted.</w:t>
      </w:r>
    </w:p>
    <w:p w:rsidR="00496519" w:rsidRDefault="00496519" w:rsidP="00847F3B">
      <w:pPr>
        <w:spacing w:line="360" w:lineRule="auto"/>
        <w:ind w:firstLine="360"/>
        <w:jc w:val="both"/>
        <w:rPr>
          <w:rFonts w:ascii="Courier New" w:hAnsi="Courier New" w:cs="Courier New"/>
          <w:sz w:val="28"/>
          <w:szCs w:val="28"/>
        </w:rPr>
      </w:pPr>
      <w:r>
        <w:rPr>
          <w:rFonts w:ascii="Courier New" w:hAnsi="Courier New" w:cs="Courier New"/>
          <w:sz w:val="28"/>
          <w:szCs w:val="28"/>
        </w:rPr>
        <w:lastRenderedPageBreak/>
        <w:t>The respondent also argued that the applicant has not disclosed a cause of action as his averments do not demonstrate that there are procedural irregularities. The authors Herbstein and Van Winsen, in Civil Practice of the High Court of South Africa, 5</w:t>
      </w:r>
      <w:r w:rsidRPr="00496519">
        <w:rPr>
          <w:rFonts w:ascii="Courier New" w:hAnsi="Courier New" w:cs="Courier New"/>
          <w:sz w:val="28"/>
          <w:szCs w:val="28"/>
          <w:vertAlign w:val="superscript"/>
        </w:rPr>
        <w:t>th</w:t>
      </w:r>
      <w:r>
        <w:rPr>
          <w:rFonts w:ascii="Courier New" w:hAnsi="Courier New" w:cs="Courier New"/>
          <w:sz w:val="28"/>
          <w:szCs w:val="28"/>
        </w:rPr>
        <w:t xml:space="preserve"> edition at page 1271 clearly set out the distinction between what appeal and review proceedings are about. They say:</w:t>
      </w:r>
    </w:p>
    <w:p w:rsidR="00BE65D7" w:rsidRPr="00022598" w:rsidRDefault="00BE65D7" w:rsidP="00BE65D7">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022598">
        <w:rPr>
          <w:rFonts w:ascii="Times New Roman" w:hAnsi="Times New Roman" w:cs="Times New Roman"/>
          <w:sz w:val="28"/>
          <w:szCs w:val="28"/>
        </w:rPr>
        <w:t>The</w:t>
      </w:r>
      <w:r w:rsidR="00022598" w:rsidRPr="00022598">
        <w:rPr>
          <w:rFonts w:ascii="Times New Roman" w:hAnsi="Times New Roman" w:cs="Times New Roman"/>
          <w:sz w:val="28"/>
          <w:szCs w:val="28"/>
        </w:rPr>
        <w:t xml:space="preserve"> </w:t>
      </w:r>
      <w:r w:rsidRPr="00022598">
        <w:rPr>
          <w:rFonts w:ascii="Times New Roman" w:hAnsi="Times New Roman" w:cs="Times New Roman"/>
          <w:sz w:val="28"/>
          <w:szCs w:val="28"/>
        </w:rPr>
        <w:t xml:space="preserve">reasons for bringing proceedings under review or appeal is usually the same </w:t>
      </w:r>
      <w:r w:rsidRPr="00022598">
        <w:rPr>
          <w:rFonts w:ascii="Times New Roman" w:hAnsi="Times New Roman" w:cs="Times New Roman"/>
          <w:i/>
          <w:sz w:val="28"/>
          <w:szCs w:val="28"/>
        </w:rPr>
        <w:t>viz</w:t>
      </w:r>
      <w:r w:rsidRPr="00022598">
        <w:rPr>
          <w:rFonts w:ascii="Times New Roman" w:hAnsi="Times New Roman" w:cs="Times New Roman"/>
          <w:sz w:val="28"/>
          <w:szCs w:val="28"/>
        </w:rPr>
        <w:t xml:space="preserve"> to have the judgment set aside. Where the reason for wanting this is that the Court came to the wrong conclusion on the facts or law, the appropriate procedure is by way of appeal. Where, however the real grievance</w:t>
      </w:r>
      <w:r w:rsidR="00022598" w:rsidRPr="00022598">
        <w:rPr>
          <w:rFonts w:ascii="Times New Roman" w:hAnsi="Times New Roman" w:cs="Times New Roman"/>
          <w:sz w:val="28"/>
          <w:szCs w:val="28"/>
        </w:rPr>
        <w:t xml:space="preserve"> is on the method of the trial, it is proper to bring the case on review.”</w:t>
      </w:r>
    </w:p>
    <w:p w:rsidR="00022598" w:rsidRDefault="00022598" w:rsidP="00022598">
      <w:pPr>
        <w:spacing w:line="360" w:lineRule="auto"/>
        <w:ind w:firstLine="720"/>
        <w:jc w:val="both"/>
        <w:rPr>
          <w:rFonts w:ascii="Courier New" w:hAnsi="Courier New" w:cs="Courier New"/>
          <w:sz w:val="28"/>
          <w:szCs w:val="28"/>
        </w:rPr>
      </w:pPr>
      <w:r>
        <w:rPr>
          <w:rFonts w:ascii="Courier New" w:hAnsi="Courier New" w:cs="Courier New"/>
          <w:sz w:val="28"/>
          <w:szCs w:val="28"/>
        </w:rPr>
        <w:t>It is clear that of the groun</w:t>
      </w:r>
      <w:r w:rsidR="009C6A08">
        <w:rPr>
          <w:rFonts w:ascii="Courier New" w:hAnsi="Courier New" w:cs="Courier New"/>
          <w:sz w:val="28"/>
          <w:szCs w:val="28"/>
        </w:rPr>
        <w:t>ds listed above as demonstrating</w:t>
      </w:r>
      <w:r>
        <w:rPr>
          <w:rFonts w:ascii="Courier New" w:hAnsi="Courier New" w:cs="Courier New"/>
          <w:sz w:val="28"/>
          <w:szCs w:val="28"/>
        </w:rPr>
        <w:t xml:space="preserve"> procedural irregularities and setting a case for review, the applicant is in fact alleging that the Court came to the wrong conclusion on the facts and the law. The following grounds are therefore incompetent as grounds for review and are accordingly struck off. These are grounds 1, 2 3, 5, 6 and</w:t>
      </w:r>
      <w:r w:rsidR="001A3BF7">
        <w:rPr>
          <w:rFonts w:ascii="Courier New" w:hAnsi="Courier New" w:cs="Courier New"/>
          <w:sz w:val="28"/>
          <w:szCs w:val="28"/>
        </w:rPr>
        <w:t xml:space="preserve"> 8.</w:t>
      </w:r>
    </w:p>
    <w:p w:rsidR="001A3BF7" w:rsidRDefault="001A3BF7" w:rsidP="00022598">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following grounds are the ones that question the method of trial </w:t>
      </w:r>
      <w:r w:rsidRPr="001A3BF7">
        <w:rPr>
          <w:rFonts w:ascii="Courier New" w:hAnsi="Courier New" w:cs="Courier New"/>
          <w:i/>
          <w:sz w:val="28"/>
          <w:szCs w:val="28"/>
        </w:rPr>
        <w:t>viz</w:t>
      </w:r>
      <w:r>
        <w:rPr>
          <w:rFonts w:ascii="Courier New" w:hAnsi="Courier New" w:cs="Courier New"/>
          <w:sz w:val="28"/>
          <w:szCs w:val="28"/>
        </w:rPr>
        <w:t xml:space="preserve"> grounds 4 and 7. G. Feltoe in A Guide to Zimbabwean Administrative Law,</w:t>
      </w:r>
      <w:r w:rsidR="000B5852">
        <w:rPr>
          <w:rFonts w:ascii="Courier New" w:hAnsi="Courier New" w:cs="Courier New"/>
          <w:sz w:val="28"/>
          <w:szCs w:val="28"/>
        </w:rPr>
        <w:t xml:space="preserve"> Third Edition (1987) at page 23 states that in a review application the Court addresses issues of procedure </w:t>
      </w:r>
      <w:r w:rsidR="000B5852">
        <w:rPr>
          <w:rFonts w:ascii="Courier New" w:hAnsi="Courier New" w:cs="Courier New"/>
          <w:sz w:val="28"/>
          <w:szCs w:val="28"/>
        </w:rPr>
        <w:lastRenderedPageBreak/>
        <w:t>as measured against principles of natural justice. Such principles embody fundamental notions of procedural fairness and justice and seek to ensure that decisions are only taken after fair and equitable procedures have been adhered to. In essence natural justice tries to guarantee that the parties who will be affected by decisions receive a fair and unbiased hearing before the administrative tribunals reach their decisions.</w:t>
      </w:r>
    </w:p>
    <w:p w:rsidR="000B5852" w:rsidRDefault="000B5852" w:rsidP="00022598">
      <w:pPr>
        <w:spacing w:line="360" w:lineRule="auto"/>
        <w:ind w:firstLine="720"/>
        <w:jc w:val="both"/>
        <w:rPr>
          <w:rFonts w:ascii="Courier New" w:hAnsi="Courier New" w:cs="Courier New"/>
          <w:sz w:val="28"/>
          <w:szCs w:val="28"/>
        </w:rPr>
      </w:pPr>
      <w:r>
        <w:rPr>
          <w:rFonts w:ascii="Courier New" w:hAnsi="Courier New" w:cs="Courier New"/>
          <w:sz w:val="28"/>
          <w:szCs w:val="28"/>
        </w:rPr>
        <w:t>I will now proceed to consider the two grounds that qualify as grounds for review.</w:t>
      </w:r>
    </w:p>
    <w:p w:rsidR="001C2626" w:rsidRDefault="001C2626" w:rsidP="001C2626">
      <w:pPr>
        <w:spacing w:line="360" w:lineRule="auto"/>
        <w:jc w:val="both"/>
        <w:rPr>
          <w:rFonts w:ascii="Courier New" w:hAnsi="Courier New" w:cs="Courier New"/>
          <w:sz w:val="28"/>
          <w:szCs w:val="28"/>
        </w:rPr>
      </w:pPr>
      <w:r w:rsidRPr="001C2626">
        <w:rPr>
          <w:rFonts w:ascii="Courier New" w:hAnsi="Courier New" w:cs="Courier New"/>
          <w:sz w:val="28"/>
          <w:szCs w:val="28"/>
          <w:u w:val="single"/>
        </w:rPr>
        <w:t>Proceedings were initiated more than four years later and should have been barred in terms of the Prescription Act</w:t>
      </w:r>
      <w:r>
        <w:rPr>
          <w:rFonts w:ascii="Courier New" w:hAnsi="Courier New" w:cs="Courier New"/>
          <w:sz w:val="28"/>
          <w:szCs w:val="28"/>
        </w:rPr>
        <w:t>.</w:t>
      </w:r>
    </w:p>
    <w:p w:rsidR="001C2626" w:rsidRDefault="001C2626" w:rsidP="001C2626">
      <w:pPr>
        <w:spacing w:line="360" w:lineRule="auto"/>
        <w:jc w:val="both"/>
        <w:rPr>
          <w:rFonts w:ascii="Courier New" w:hAnsi="Courier New" w:cs="Courier New"/>
          <w:sz w:val="28"/>
          <w:szCs w:val="28"/>
        </w:rPr>
      </w:pPr>
      <w:r>
        <w:rPr>
          <w:rFonts w:ascii="Courier New" w:hAnsi="Courier New" w:cs="Courier New"/>
          <w:sz w:val="28"/>
          <w:szCs w:val="28"/>
        </w:rPr>
        <w:t>I was referred</w:t>
      </w:r>
      <w:r w:rsidR="00CB53CF">
        <w:rPr>
          <w:rFonts w:ascii="Courier New" w:hAnsi="Courier New" w:cs="Courier New"/>
          <w:sz w:val="28"/>
          <w:szCs w:val="28"/>
        </w:rPr>
        <w:t xml:space="preserve"> to the Public Service Regulations, 2000, Statutory Instrument 1 of 2000 regarding the procedure before and immediately following an allegation of misconduct. Section 44 thereof provides that where a member is suspected of misconduct the disciplinary authority shall conduct or cause to be conducted an investigation</w:t>
      </w:r>
      <w:r w:rsidR="00473482">
        <w:rPr>
          <w:rFonts w:ascii="Courier New" w:hAnsi="Courier New" w:cs="Courier New"/>
          <w:sz w:val="28"/>
          <w:szCs w:val="28"/>
        </w:rPr>
        <w:t>. Section 44 (2) provides as follows:</w:t>
      </w:r>
    </w:p>
    <w:p w:rsidR="00473482" w:rsidRPr="00594511" w:rsidRDefault="00473482" w:rsidP="001C2626">
      <w:pPr>
        <w:spacing w:line="360" w:lineRule="auto"/>
        <w:jc w:val="both"/>
        <w:rPr>
          <w:rFonts w:ascii="Times New Roman" w:hAnsi="Times New Roman" w:cs="Times New Roman"/>
          <w:sz w:val="28"/>
          <w:szCs w:val="28"/>
        </w:rPr>
      </w:pPr>
      <w:r>
        <w:rPr>
          <w:rFonts w:ascii="Courier New" w:hAnsi="Courier New" w:cs="Courier New"/>
          <w:sz w:val="28"/>
          <w:szCs w:val="28"/>
        </w:rPr>
        <w:tab/>
        <w:t>“</w:t>
      </w:r>
      <w:r w:rsidRPr="00594511">
        <w:rPr>
          <w:rFonts w:ascii="Times New Roman" w:hAnsi="Times New Roman" w:cs="Times New Roman"/>
          <w:sz w:val="28"/>
          <w:szCs w:val="28"/>
        </w:rPr>
        <w:t xml:space="preserve">If, on completion of the investigations referred </w:t>
      </w:r>
    </w:p>
    <w:p w:rsidR="00473482" w:rsidRPr="00594511" w:rsidRDefault="00473482" w:rsidP="00473482">
      <w:pPr>
        <w:spacing w:line="360" w:lineRule="auto"/>
        <w:ind w:left="720" w:firstLine="105"/>
        <w:jc w:val="both"/>
        <w:rPr>
          <w:rFonts w:ascii="Times New Roman" w:hAnsi="Times New Roman" w:cs="Times New Roman"/>
          <w:sz w:val="28"/>
          <w:szCs w:val="28"/>
        </w:rPr>
      </w:pPr>
      <w:r w:rsidRPr="00594511">
        <w:rPr>
          <w:rFonts w:ascii="Times New Roman" w:hAnsi="Times New Roman" w:cs="Times New Roman"/>
          <w:sz w:val="28"/>
          <w:szCs w:val="28"/>
        </w:rPr>
        <w:t xml:space="preserve">to in subsection (1), It is found that an allegation of misconduct should be preferred against the member, the disciplinary authority </w:t>
      </w:r>
      <w:r w:rsidRPr="00594511">
        <w:rPr>
          <w:rFonts w:ascii="Times New Roman" w:hAnsi="Times New Roman" w:cs="Times New Roman"/>
          <w:sz w:val="28"/>
          <w:szCs w:val="28"/>
          <w:u w:val="single"/>
        </w:rPr>
        <w:t>shall, within a reasonable time after the completion of the investigation.</w:t>
      </w:r>
      <w:r w:rsidR="009C6A08">
        <w:rPr>
          <w:rFonts w:ascii="Times New Roman" w:hAnsi="Times New Roman" w:cs="Times New Roman"/>
          <w:sz w:val="28"/>
          <w:szCs w:val="28"/>
          <w:u w:val="single"/>
        </w:rPr>
        <w:t xml:space="preserve"> (my emphasis)</w:t>
      </w:r>
    </w:p>
    <w:p w:rsidR="00473482" w:rsidRPr="00594511" w:rsidRDefault="00275FB6" w:rsidP="00275FB6">
      <w:pPr>
        <w:pStyle w:val="ListParagraph"/>
        <w:numPr>
          <w:ilvl w:val="0"/>
          <w:numId w:val="2"/>
        </w:numPr>
        <w:spacing w:line="360" w:lineRule="auto"/>
        <w:jc w:val="both"/>
        <w:rPr>
          <w:rFonts w:ascii="Times New Roman" w:hAnsi="Times New Roman" w:cs="Times New Roman"/>
          <w:sz w:val="28"/>
          <w:szCs w:val="28"/>
        </w:rPr>
      </w:pPr>
      <w:r w:rsidRPr="00594511">
        <w:rPr>
          <w:rFonts w:ascii="Times New Roman" w:hAnsi="Times New Roman" w:cs="Times New Roman"/>
          <w:sz w:val="28"/>
          <w:szCs w:val="28"/>
        </w:rPr>
        <w:lastRenderedPageBreak/>
        <w:t>Inform the member, in writing of the nature of the allegation against him, and call upon</w:t>
      </w:r>
      <w:r>
        <w:rPr>
          <w:rFonts w:ascii="Courier New" w:hAnsi="Courier New" w:cs="Courier New"/>
          <w:sz w:val="28"/>
          <w:szCs w:val="28"/>
        </w:rPr>
        <w:t xml:space="preserve"> </w:t>
      </w:r>
      <w:r w:rsidRPr="00594511">
        <w:rPr>
          <w:rFonts w:ascii="Times New Roman" w:hAnsi="Times New Roman" w:cs="Times New Roman"/>
          <w:sz w:val="28"/>
          <w:szCs w:val="28"/>
        </w:rPr>
        <w:t>him to submit a written reply</w:t>
      </w:r>
      <w:r w:rsidR="009C6A08">
        <w:rPr>
          <w:rFonts w:ascii="Times New Roman" w:hAnsi="Times New Roman" w:cs="Times New Roman"/>
          <w:sz w:val="28"/>
          <w:szCs w:val="28"/>
        </w:rPr>
        <w:t xml:space="preserve"> to the allegation within</w:t>
      </w:r>
      <w:r w:rsidRPr="00594511">
        <w:rPr>
          <w:rFonts w:ascii="Times New Roman" w:hAnsi="Times New Roman" w:cs="Times New Roman"/>
          <w:sz w:val="28"/>
          <w:szCs w:val="28"/>
        </w:rPr>
        <w:t xml:space="preserve"> fourteen days.....................</w:t>
      </w:r>
    </w:p>
    <w:p w:rsidR="00275FB6" w:rsidRPr="00594511" w:rsidRDefault="00275FB6" w:rsidP="00275FB6">
      <w:pPr>
        <w:spacing w:line="360" w:lineRule="auto"/>
        <w:ind w:left="825"/>
        <w:jc w:val="both"/>
        <w:rPr>
          <w:rFonts w:ascii="Times New Roman" w:hAnsi="Times New Roman" w:cs="Times New Roman"/>
          <w:sz w:val="28"/>
          <w:szCs w:val="28"/>
        </w:rPr>
      </w:pPr>
      <w:r w:rsidRPr="00594511">
        <w:rPr>
          <w:rFonts w:ascii="Times New Roman" w:hAnsi="Times New Roman" w:cs="Times New Roman"/>
          <w:sz w:val="28"/>
          <w:szCs w:val="28"/>
        </w:rPr>
        <w:t>c)  subject to subsection (5), refer the matter to a disciplinary committee for hearing in accordance with section 45</w:t>
      </w:r>
      <w:r w:rsidR="001F76CA" w:rsidRPr="00594511">
        <w:rPr>
          <w:rFonts w:ascii="Times New Roman" w:hAnsi="Times New Roman" w:cs="Times New Roman"/>
          <w:sz w:val="28"/>
          <w:szCs w:val="28"/>
        </w:rPr>
        <w:t>”</w:t>
      </w:r>
      <w:r w:rsidR="00EB5EC7" w:rsidRPr="00594511">
        <w:rPr>
          <w:rFonts w:ascii="Times New Roman" w:hAnsi="Times New Roman" w:cs="Times New Roman"/>
          <w:sz w:val="28"/>
          <w:szCs w:val="28"/>
        </w:rPr>
        <w:t>.</w:t>
      </w:r>
    </w:p>
    <w:p w:rsidR="00EB5EC7" w:rsidRDefault="00EB5EC7" w:rsidP="00EB5EC7">
      <w:pPr>
        <w:spacing w:line="360" w:lineRule="auto"/>
        <w:ind w:firstLine="720"/>
        <w:jc w:val="both"/>
        <w:rPr>
          <w:rFonts w:ascii="Courier New" w:hAnsi="Courier New" w:cs="Courier New"/>
          <w:sz w:val="28"/>
          <w:szCs w:val="28"/>
        </w:rPr>
      </w:pPr>
      <w:r>
        <w:rPr>
          <w:rFonts w:ascii="Courier New" w:hAnsi="Courier New" w:cs="Courier New"/>
          <w:sz w:val="28"/>
          <w:szCs w:val="28"/>
        </w:rPr>
        <w:t>Section 45 requires the disciplinary committee to act within seven days in giving the member concerned seven day notice of hearing.</w:t>
      </w:r>
    </w:p>
    <w:p w:rsidR="00EB5EC7" w:rsidRDefault="00EB5EC7" w:rsidP="00EB5EC7">
      <w:pPr>
        <w:spacing w:line="360" w:lineRule="auto"/>
        <w:jc w:val="both"/>
        <w:rPr>
          <w:rFonts w:ascii="Courier New" w:hAnsi="Courier New" w:cs="Courier New"/>
          <w:sz w:val="28"/>
          <w:szCs w:val="28"/>
        </w:rPr>
      </w:pPr>
      <w:r>
        <w:rPr>
          <w:rFonts w:ascii="Courier New" w:hAnsi="Courier New" w:cs="Courier New"/>
          <w:sz w:val="28"/>
          <w:szCs w:val="28"/>
        </w:rPr>
        <w:t>Though the Regulations do not prescribe at time frame within which a hearing must be concluded, the spirit exhibited in the provisions above and in keeping with principles of natural justice is that hearings must be concluded expeditiously and within a reasonable time.</w:t>
      </w:r>
    </w:p>
    <w:p w:rsidR="001F76CA" w:rsidRDefault="001F76CA" w:rsidP="00EB5EC7">
      <w:pPr>
        <w:spacing w:line="360" w:lineRule="auto"/>
        <w:jc w:val="both"/>
        <w:rPr>
          <w:rFonts w:ascii="Courier New" w:hAnsi="Courier New" w:cs="Courier New"/>
          <w:sz w:val="28"/>
          <w:szCs w:val="28"/>
        </w:rPr>
      </w:pPr>
      <w:r>
        <w:rPr>
          <w:rFonts w:ascii="Courier New" w:hAnsi="Courier New" w:cs="Courier New"/>
          <w:sz w:val="28"/>
          <w:szCs w:val="28"/>
        </w:rPr>
        <w:tab/>
        <w:t>In this case the alleged offence happened around May 2007 and the hearing was conducted in June 2011, more than four years late</w:t>
      </w:r>
      <w:r w:rsidR="00FC5C89">
        <w:rPr>
          <w:rFonts w:ascii="Courier New" w:hAnsi="Courier New" w:cs="Courier New"/>
          <w:sz w:val="28"/>
          <w:szCs w:val="28"/>
        </w:rPr>
        <w:t>r. This is clearly unacceptable and I find that the hearing was a nullity.</w:t>
      </w:r>
    </w:p>
    <w:p w:rsidR="001F76CA" w:rsidRDefault="001F76CA" w:rsidP="00EB5EC7">
      <w:pPr>
        <w:spacing w:line="360" w:lineRule="auto"/>
        <w:jc w:val="both"/>
        <w:rPr>
          <w:rFonts w:ascii="Courier New" w:hAnsi="Courier New" w:cs="Courier New"/>
          <w:sz w:val="28"/>
          <w:szCs w:val="28"/>
        </w:rPr>
      </w:pPr>
      <w:r>
        <w:rPr>
          <w:rFonts w:ascii="Courier New" w:hAnsi="Courier New" w:cs="Courier New"/>
          <w:sz w:val="28"/>
          <w:szCs w:val="28"/>
        </w:rPr>
        <w:tab/>
        <w:t xml:space="preserve">MAVANGIRA J in </w:t>
      </w:r>
      <w:r w:rsidRPr="003D4658">
        <w:rPr>
          <w:rFonts w:ascii="Courier New" w:hAnsi="Courier New" w:cs="Courier New"/>
          <w:b/>
          <w:i/>
          <w:sz w:val="28"/>
          <w:szCs w:val="28"/>
        </w:rPr>
        <w:t>Rwodzi</w:t>
      </w:r>
      <w:r w:rsidR="003D4658" w:rsidRPr="003D4658">
        <w:rPr>
          <w:rFonts w:ascii="Courier New" w:hAnsi="Courier New" w:cs="Courier New"/>
          <w:b/>
          <w:i/>
          <w:sz w:val="28"/>
          <w:szCs w:val="28"/>
        </w:rPr>
        <w:t xml:space="preserve"> v Municipality of Chegutu</w:t>
      </w:r>
      <w:r w:rsidR="003D4658">
        <w:rPr>
          <w:rFonts w:ascii="Courier New" w:hAnsi="Courier New" w:cs="Courier New"/>
          <w:sz w:val="28"/>
          <w:szCs w:val="28"/>
        </w:rPr>
        <w:t xml:space="preserve"> HH-86-03 laid out the basic principles of the </w:t>
      </w:r>
      <w:r w:rsidR="003D4658" w:rsidRPr="003D4658">
        <w:rPr>
          <w:rFonts w:ascii="Courier New" w:hAnsi="Courier New" w:cs="Courier New"/>
          <w:i/>
          <w:sz w:val="28"/>
          <w:szCs w:val="28"/>
        </w:rPr>
        <w:t>audi</w:t>
      </w:r>
      <w:r w:rsidR="003D4658">
        <w:rPr>
          <w:rFonts w:ascii="Courier New" w:hAnsi="Courier New" w:cs="Courier New"/>
          <w:sz w:val="28"/>
          <w:szCs w:val="28"/>
        </w:rPr>
        <w:t xml:space="preserve"> </w:t>
      </w:r>
      <w:r w:rsidR="003D4658" w:rsidRPr="003D4658">
        <w:rPr>
          <w:rFonts w:ascii="Courier New" w:hAnsi="Courier New" w:cs="Courier New"/>
          <w:i/>
          <w:sz w:val="28"/>
          <w:szCs w:val="28"/>
        </w:rPr>
        <w:t>partem</w:t>
      </w:r>
      <w:r w:rsidR="003D4658">
        <w:rPr>
          <w:rFonts w:ascii="Courier New" w:hAnsi="Courier New" w:cs="Courier New"/>
          <w:sz w:val="28"/>
          <w:szCs w:val="28"/>
        </w:rPr>
        <w:t xml:space="preserve"> rule and one of the requirements is that a hearing must be</w:t>
      </w:r>
      <w:r w:rsidR="00153BB3">
        <w:rPr>
          <w:rFonts w:ascii="Courier New" w:hAnsi="Courier New" w:cs="Courier New"/>
          <w:sz w:val="28"/>
          <w:szCs w:val="28"/>
        </w:rPr>
        <w:t xml:space="preserve"> timeous. She explains that this </w:t>
      </w:r>
      <w:r w:rsidR="00C57253">
        <w:rPr>
          <w:rFonts w:ascii="Courier New" w:hAnsi="Courier New" w:cs="Courier New"/>
          <w:sz w:val="28"/>
          <w:szCs w:val="28"/>
        </w:rPr>
        <w:t xml:space="preserve">is </w:t>
      </w:r>
      <w:r w:rsidR="00153BB3">
        <w:rPr>
          <w:rFonts w:ascii="Courier New" w:hAnsi="Courier New" w:cs="Courier New"/>
          <w:sz w:val="28"/>
          <w:szCs w:val="28"/>
        </w:rPr>
        <w:t xml:space="preserve">meant to ensure that the facts are still fresh in the minds of the parties and witnesses when the hearing </w:t>
      </w:r>
      <w:r w:rsidR="00153BB3">
        <w:rPr>
          <w:rFonts w:ascii="Courier New" w:hAnsi="Courier New" w:cs="Courier New"/>
          <w:sz w:val="28"/>
          <w:szCs w:val="28"/>
        </w:rPr>
        <w:lastRenderedPageBreak/>
        <w:t>is held. Four years is too long a period for</w:t>
      </w:r>
      <w:r w:rsidR="00C57253">
        <w:rPr>
          <w:rFonts w:ascii="Courier New" w:hAnsi="Courier New" w:cs="Courier New"/>
          <w:sz w:val="28"/>
          <w:szCs w:val="28"/>
        </w:rPr>
        <w:t xml:space="preserve"> a</w:t>
      </w:r>
      <w:r w:rsidR="00153BB3">
        <w:rPr>
          <w:rFonts w:ascii="Courier New" w:hAnsi="Courier New" w:cs="Courier New"/>
          <w:sz w:val="28"/>
          <w:szCs w:val="28"/>
        </w:rPr>
        <w:t xml:space="preserve"> witness to properly recall the facts.</w:t>
      </w:r>
    </w:p>
    <w:p w:rsidR="00153BB3" w:rsidRDefault="00153BB3" w:rsidP="00EB5EC7">
      <w:pPr>
        <w:spacing w:line="360" w:lineRule="auto"/>
        <w:jc w:val="both"/>
        <w:rPr>
          <w:rFonts w:ascii="Courier New" w:hAnsi="Courier New" w:cs="Courier New"/>
          <w:sz w:val="28"/>
          <w:szCs w:val="28"/>
        </w:rPr>
      </w:pPr>
      <w:r>
        <w:rPr>
          <w:rFonts w:ascii="Courier New" w:hAnsi="Courier New" w:cs="Courier New"/>
          <w:sz w:val="28"/>
          <w:szCs w:val="28"/>
        </w:rPr>
        <w:tab/>
        <w:t>I therefore find that the applicant succeeds on this ground of review. There</w:t>
      </w:r>
      <w:r w:rsidR="00E37185">
        <w:rPr>
          <w:rFonts w:ascii="Courier New" w:hAnsi="Courier New" w:cs="Courier New"/>
          <w:sz w:val="28"/>
          <w:szCs w:val="28"/>
        </w:rPr>
        <w:t xml:space="preserve"> is no need to consider</w:t>
      </w:r>
      <w:r w:rsidR="00C57253">
        <w:rPr>
          <w:rFonts w:ascii="Courier New" w:hAnsi="Courier New" w:cs="Courier New"/>
          <w:sz w:val="28"/>
          <w:szCs w:val="28"/>
        </w:rPr>
        <w:t xml:space="preserve"> whether the matter had prescribed and</w:t>
      </w:r>
      <w:r w:rsidR="00E37185">
        <w:rPr>
          <w:rFonts w:ascii="Courier New" w:hAnsi="Courier New" w:cs="Courier New"/>
          <w:sz w:val="28"/>
          <w:szCs w:val="28"/>
        </w:rPr>
        <w:t xml:space="preserve"> the second ground of review. In the circumstances I order as follows:</w:t>
      </w:r>
    </w:p>
    <w:p w:rsidR="00E37185" w:rsidRDefault="00E37185" w:rsidP="00E37185">
      <w:pPr>
        <w:pStyle w:val="ListParagraph"/>
        <w:numPr>
          <w:ilvl w:val="0"/>
          <w:numId w:val="3"/>
        </w:numPr>
        <w:spacing w:line="360" w:lineRule="auto"/>
        <w:jc w:val="both"/>
        <w:rPr>
          <w:rFonts w:ascii="Courier New" w:hAnsi="Courier New" w:cs="Courier New"/>
          <w:sz w:val="28"/>
          <w:szCs w:val="28"/>
        </w:rPr>
      </w:pPr>
      <w:r w:rsidRPr="00140103">
        <w:rPr>
          <w:rFonts w:ascii="Courier New" w:hAnsi="Courier New" w:cs="Courier New"/>
          <w:sz w:val="28"/>
          <w:szCs w:val="28"/>
        </w:rPr>
        <w:t>The decision of the Disciplinary Authority dated the 7</w:t>
      </w:r>
      <w:r w:rsidRPr="00140103">
        <w:rPr>
          <w:rFonts w:ascii="Courier New" w:hAnsi="Courier New" w:cs="Courier New"/>
          <w:sz w:val="28"/>
          <w:szCs w:val="28"/>
          <w:vertAlign w:val="superscript"/>
        </w:rPr>
        <w:t>th</w:t>
      </w:r>
      <w:r w:rsidRPr="00140103">
        <w:rPr>
          <w:rFonts w:ascii="Courier New" w:hAnsi="Courier New" w:cs="Courier New"/>
          <w:sz w:val="28"/>
          <w:szCs w:val="28"/>
        </w:rPr>
        <w:t xml:space="preserve"> July 2011 be and is hereby set aside.</w:t>
      </w:r>
    </w:p>
    <w:p w:rsidR="00FC5C89" w:rsidRPr="00140103" w:rsidRDefault="00FC5C89" w:rsidP="00E37185">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The penalty imposed on applicant be and is hereby quashed.</w:t>
      </w:r>
    </w:p>
    <w:p w:rsidR="00E37185" w:rsidRDefault="00E37185" w:rsidP="00E37185">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Respondent be and is hereby ordered to reimburse the applicant any money that has been deducted in pursuance of the determination of the Disciplinary Authority dated the 7</w:t>
      </w:r>
      <w:r w:rsidRPr="00E37185">
        <w:rPr>
          <w:rFonts w:ascii="Courier New" w:hAnsi="Courier New" w:cs="Courier New"/>
          <w:sz w:val="28"/>
          <w:szCs w:val="28"/>
          <w:vertAlign w:val="superscript"/>
        </w:rPr>
        <w:t>th</w:t>
      </w:r>
      <w:r w:rsidR="00FC5C89">
        <w:rPr>
          <w:rFonts w:ascii="Courier New" w:hAnsi="Courier New" w:cs="Courier New"/>
          <w:sz w:val="28"/>
          <w:szCs w:val="28"/>
        </w:rPr>
        <w:t xml:space="preserve"> July 2011 within 60 days of this order.</w:t>
      </w:r>
    </w:p>
    <w:p w:rsidR="00E37185" w:rsidRPr="00E37185" w:rsidRDefault="00E37185" w:rsidP="00E37185">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Respondent shall pay the costs of this application.</w:t>
      </w:r>
    </w:p>
    <w:p w:rsidR="008D5AFE" w:rsidRPr="005A4D8F" w:rsidRDefault="008D5AFE" w:rsidP="005A4D8F">
      <w:pPr>
        <w:spacing w:line="360" w:lineRule="auto"/>
        <w:jc w:val="both"/>
        <w:rPr>
          <w:rFonts w:ascii="Courier New" w:hAnsi="Courier New" w:cs="Courier New"/>
          <w:sz w:val="28"/>
          <w:szCs w:val="28"/>
        </w:rPr>
      </w:pPr>
    </w:p>
    <w:p w:rsidR="00800358" w:rsidRDefault="00800358" w:rsidP="003A0861">
      <w:pPr>
        <w:spacing w:line="360" w:lineRule="auto"/>
        <w:rPr>
          <w:sz w:val="28"/>
          <w:szCs w:val="28"/>
        </w:rPr>
      </w:pPr>
    </w:p>
    <w:p w:rsidR="00800358" w:rsidRPr="00F312E4" w:rsidRDefault="00800358" w:rsidP="003A0861">
      <w:pPr>
        <w:spacing w:line="360" w:lineRule="auto"/>
        <w:rPr>
          <w:sz w:val="28"/>
          <w:szCs w:val="28"/>
        </w:rPr>
      </w:pPr>
    </w:p>
    <w:p w:rsidR="003A0861" w:rsidRPr="003A0861" w:rsidRDefault="003A0861" w:rsidP="003A0861">
      <w:pPr>
        <w:spacing w:line="360" w:lineRule="auto"/>
        <w:rPr>
          <w:b/>
          <w:sz w:val="28"/>
          <w:szCs w:val="28"/>
        </w:rPr>
      </w:pPr>
    </w:p>
    <w:sectPr w:rsidR="003A0861" w:rsidRPr="003A0861" w:rsidSect="008E156F">
      <w:headerReference w:type="default" r:id="rId7"/>
      <w:foot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6F1" w:rsidRDefault="00B226F1" w:rsidP="00A41787">
      <w:pPr>
        <w:spacing w:after="0" w:line="240" w:lineRule="auto"/>
      </w:pPr>
      <w:r>
        <w:separator/>
      </w:r>
    </w:p>
  </w:endnote>
  <w:endnote w:type="continuationSeparator" w:id="1">
    <w:p w:rsidR="00B226F1" w:rsidRDefault="00B226F1" w:rsidP="00A41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181"/>
      <w:docPartObj>
        <w:docPartGallery w:val="Page Numbers (Bottom of Page)"/>
        <w:docPartUnique/>
      </w:docPartObj>
    </w:sdtPr>
    <w:sdtContent>
      <w:p w:rsidR="00153BB3" w:rsidRDefault="005B4D36">
        <w:pPr>
          <w:pStyle w:val="Footer"/>
          <w:jc w:val="center"/>
        </w:pPr>
        <w:fldSimple w:instr=" PAGE   \* MERGEFORMAT ">
          <w:r w:rsidR="00FC5C89">
            <w:rPr>
              <w:noProof/>
            </w:rPr>
            <w:t>7</w:t>
          </w:r>
        </w:fldSimple>
      </w:p>
    </w:sdtContent>
  </w:sdt>
  <w:p w:rsidR="00153BB3" w:rsidRDefault="00153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6F1" w:rsidRDefault="00B226F1" w:rsidP="00A41787">
      <w:pPr>
        <w:spacing w:after="0" w:line="240" w:lineRule="auto"/>
      </w:pPr>
      <w:r>
        <w:separator/>
      </w:r>
    </w:p>
  </w:footnote>
  <w:footnote w:type="continuationSeparator" w:id="1">
    <w:p w:rsidR="00B226F1" w:rsidRDefault="00B226F1" w:rsidP="00A41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B3" w:rsidRDefault="00153BB3" w:rsidP="008E156F">
    <w:pPr>
      <w:spacing w:line="360" w:lineRule="auto"/>
      <w:ind w:left="4320" w:firstLine="720"/>
      <w:rPr>
        <w:b/>
        <w:sz w:val="28"/>
        <w:szCs w:val="28"/>
      </w:rPr>
    </w:pPr>
    <w:r>
      <w:rPr>
        <w:b/>
        <w:sz w:val="28"/>
        <w:szCs w:val="28"/>
      </w:rPr>
      <w:t>JUDGMENT NO LC/H/471/13</w:t>
    </w:r>
  </w:p>
  <w:p w:rsidR="00153BB3" w:rsidRDefault="00153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B3" w:rsidRDefault="00153BB3" w:rsidP="002E33D7">
    <w:pPr>
      <w:pStyle w:val="Header"/>
      <w:ind w:firstLine="4513"/>
    </w:pPr>
  </w:p>
  <w:p w:rsidR="00153BB3" w:rsidRDefault="00153B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1295"/>
    <w:multiLevelType w:val="hybridMultilevel"/>
    <w:tmpl w:val="2A545BC2"/>
    <w:lvl w:ilvl="0" w:tplc="813450D4">
      <w:start w:val="1"/>
      <w:numFmt w:val="lowerLetter"/>
      <w:lvlText w:val="(%1)"/>
      <w:lvlJc w:val="left"/>
      <w:pPr>
        <w:ind w:left="1545" w:hanging="720"/>
      </w:pPr>
      <w:rPr>
        <w:rFonts w:hint="default"/>
      </w:rPr>
    </w:lvl>
    <w:lvl w:ilvl="1" w:tplc="30090019" w:tentative="1">
      <w:start w:val="1"/>
      <w:numFmt w:val="lowerLetter"/>
      <w:lvlText w:val="%2."/>
      <w:lvlJc w:val="left"/>
      <w:pPr>
        <w:ind w:left="1905" w:hanging="360"/>
      </w:pPr>
    </w:lvl>
    <w:lvl w:ilvl="2" w:tplc="3009001B" w:tentative="1">
      <w:start w:val="1"/>
      <w:numFmt w:val="lowerRoman"/>
      <w:lvlText w:val="%3."/>
      <w:lvlJc w:val="right"/>
      <w:pPr>
        <w:ind w:left="2625" w:hanging="180"/>
      </w:pPr>
    </w:lvl>
    <w:lvl w:ilvl="3" w:tplc="3009000F" w:tentative="1">
      <w:start w:val="1"/>
      <w:numFmt w:val="decimal"/>
      <w:lvlText w:val="%4."/>
      <w:lvlJc w:val="left"/>
      <w:pPr>
        <w:ind w:left="3345" w:hanging="360"/>
      </w:pPr>
    </w:lvl>
    <w:lvl w:ilvl="4" w:tplc="30090019" w:tentative="1">
      <w:start w:val="1"/>
      <w:numFmt w:val="lowerLetter"/>
      <w:lvlText w:val="%5."/>
      <w:lvlJc w:val="left"/>
      <w:pPr>
        <w:ind w:left="4065" w:hanging="360"/>
      </w:pPr>
    </w:lvl>
    <w:lvl w:ilvl="5" w:tplc="3009001B" w:tentative="1">
      <w:start w:val="1"/>
      <w:numFmt w:val="lowerRoman"/>
      <w:lvlText w:val="%6."/>
      <w:lvlJc w:val="right"/>
      <w:pPr>
        <w:ind w:left="4785" w:hanging="180"/>
      </w:pPr>
    </w:lvl>
    <w:lvl w:ilvl="6" w:tplc="3009000F" w:tentative="1">
      <w:start w:val="1"/>
      <w:numFmt w:val="decimal"/>
      <w:lvlText w:val="%7."/>
      <w:lvlJc w:val="left"/>
      <w:pPr>
        <w:ind w:left="5505" w:hanging="360"/>
      </w:pPr>
    </w:lvl>
    <w:lvl w:ilvl="7" w:tplc="30090019" w:tentative="1">
      <w:start w:val="1"/>
      <w:numFmt w:val="lowerLetter"/>
      <w:lvlText w:val="%8."/>
      <w:lvlJc w:val="left"/>
      <w:pPr>
        <w:ind w:left="6225" w:hanging="360"/>
      </w:pPr>
    </w:lvl>
    <w:lvl w:ilvl="8" w:tplc="3009001B" w:tentative="1">
      <w:start w:val="1"/>
      <w:numFmt w:val="lowerRoman"/>
      <w:lvlText w:val="%9."/>
      <w:lvlJc w:val="right"/>
      <w:pPr>
        <w:ind w:left="6945" w:hanging="180"/>
      </w:pPr>
    </w:lvl>
  </w:abstractNum>
  <w:abstractNum w:abstractNumId="1">
    <w:nsid w:val="273A1BF3"/>
    <w:multiLevelType w:val="hybridMultilevel"/>
    <w:tmpl w:val="9BACA196"/>
    <w:lvl w:ilvl="0" w:tplc="03E0E84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362C02"/>
    <w:multiLevelType w:val="hybridMultilevel"/>
    <w:tmpl w:val="5B2ACE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861"/>
    <w:rsid w:val="00022598"/>
    <w:rsid w:val="000231C0"/>
    <w:rsid w:val="000B5852"/>
    <w:rsid w:val="000E08AE"/>
    <w:rsid w:val="0011444E"/>
    <w:rsid w:val="00140103"/>
    <w:rsid w:val="00153BB3"/>
    <w:rsid w:val="00172F22"/>
    <w:rsid w:val="001A3BF7"/>
    <w:rsid w:val="001A6B2D"/>
    <w:rsid w:val="001C2626"/>
    <w:rsid w:val="001F57B9"/>
    <w:rsid w:val="001F76CA"/>
    <w:rsid w:val="002031C0"/>
    <w:rsid w:val="00206141"/>
    <w:rsid w:val="00212E05"/>
    <w:rsid w:val="00256E89"/>
    <w:rsid w:val="002739F2"/>
    <w:rsid w:val="00275FB6"/>
    <w:rsid w:val="002938F8"/>
    <w:rsid w:val="002B76D4"/>
    <w:rsid w:val="002E33D7"/>
    <w:rsid w:val="00326AD6"/>
    <w:rsid w:val="003A0861"/>
    <w:rsid w:val="003D4658"/>
    <w:rsid w:val="00471D2D"/>
    <w:rsid w:val="00473482"/>
    <w:rsid w:val="00490170"/>
    <w:rsid w:val="00496519"/>
    <w:rsid w:val="00511E8D"/>
    <w:rsid w:val="005340DF"/>
    <w:rsid w:val="005541D2"/>
    <w:rsid w:val="00594511"/>
    <w:rsid w:val="005A4D8F"/>
    <w:rsid w:val="005B4D36"/>
    <w:rsid w:val="006860A0"/>
    <w:rsid w:val="006C2026"/>
    <w:rsid w:val="00703B2B"/>
    <w:rsid w:val="007713D1"/>
    <w:rsid w:val="00792D74"/>
    <w:rsid w:val="007B61E9"/>
    <w:rsid w:val="007C230F"/>
    <w:rsid w:val="00800358"/>
    <w:rsid w:val="008451CD"/>
    <w:rsid w:val="00847F3B"/>
    <w:rsid w:val="00884EB9"/>
    <w:rsid w:val="008C5F00"/>
    <w:rsid w:val="008D5AFE"/>
    <w:rsid w:val="008E156F"/>
    <w:rsid w:val="009A43E8"/>
    <w:rsid w:val="009C58B7"/>
    <w:rsid w:val="009C6A08"/>
    <w:rsid w:val="00A27595"/>
    <w:rsid w:val="00A41787"/>
    <w:rsid w:val="00A94661"/>
    <w:rsid w:val="00AF05E6"/>
    <w:rsid w:val="00B226F1"/>
    <w:rsid w:val="00B8702F"/>
    <w:rsid w:val="00BA3E99"/>
    <w:rsid w:val="00BE65D7"/>
    <w:rsid w:val="00C57253"/>
    <w:rsid w:val="00C655E0"/>
    <w:rsid w:val="00C9388A"/>
    <w:rsid w:val="00CB53CF"/>
    <w:rsid w:val="00D30EF6"/>
    <w:rsid w:val="00D56233"/>
    <w:rsid w:val="00D605A5"/>
    <w:rsid w:val="00D832CB"/>
    <w:rsid w:val="00D95394"/>
    <w:rsid w:val="00D95BD6"/>
    <w:rsid w:val="00DA1202"/>
    <w:rsid w:val="00DC46D3"/>
    <w:rsid w:val="00E37185"/>
    <w:rsid w:val="00EA5CD9"/>
    <w:rsid w:val="00EB5EC7"/>
    <w:rsid w:val="00EE665D"/>
    <w:rsid w:val="00F22B49"/>
    <w:rsid w:val="00F25BF7"/>
    <w:rsid w:val="00F312E4"/>
    <w:rsid w:val="00FA4373"/>
    <w:rsid w:val="00FC3CE2"/>
    <w:rsid w:val="00FC5C89"/>
    <w:rsid w:val="00FF522A"/>
    <w:rsid w:val="00FF621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 w:type="paragraph" w:styleId="ListParagraph">
    <w:name w:val="List Paragraph"/>
    <w:basedOn w:val="Normal"/>
    <w:uiPriority w:val="34"/>
    <w:qFormat/>
    <w:rsid w:val="007C2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33</cp:revision>
  <dcterms:created xsi:type="dcterms:W3CDTF">2013-09-23T08:49:00Z</dcterms:created>
  <dcterms:modified xsi:type="dcterms:W3CDTF">2013-09-25T13:24:00Z</dcterms:modified>
</cp:coreProperties>
</file>