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A82A55" w:rsidP="00A82A5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STEPHEN HOVE</w:t>
      </w:r>
    </w:p>
    <w:p w:rsidR="00A82A55" w:rsidRDefault="00A82A55" w:rsidP="00A82A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82A55" w:rsidRDefault="00A82A55" w:rsidP="00A82A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TRUST BANKING CORPORATION LIMITED</w:t>
      </w:r>
    </w:p>
    <w:p w:rsidR="00A82A55" w:rsidRDefault="00A82A55" w:rsidP="00A82A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 LIQUIDATION</w:t>
      </w:r>
    </w:p>
    <w:p w:rsidR="00A82A55" w:rsidRDefault="00A82A55" w:rsidP="00A82A55">
      <w:pPr>
        <w:spacing w:after="0" w:line="360" w:lineRule="auto"/>
        <w:jc w:val="both"/>
        <w:rPr>
          <w:rFonts w:ascii="Times New Roman" w:hAnsi="Times New Roman" w:cs="Times New Roman"/>
          <w:sz w:val="24"/>
          <w:szCs w:val="24"/>
        </w:rPr>
      </w:pPr>
    </w:p>
    <w:p w:rsidR="00A82A55" w:rsidRDefault="00A82A55" w:rsidP="00A82A55">
      <w:pPr>
        <w:spacing w:after="0" w:line="360" w:lineRule="auto"/>
        <w:jc w:val="both"/>
        <w:rPr>
          <w:rFonts w:ascii="Times New Roman" w:hAnsi="Times New Roman" w:cs="Times New Roman"/>
          <w:sz w:val="24"/>
          <w:szCs w:val="24"/>
        </w:rPr>
      </w:pPr>
    </w:p>
    <w:p w:rsidR="00A82A55" w:rsidRDefault="00A82A55" w:rsidP="00A82A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82A55" w:rsidRDefault="00A82A55" w:rsidP="00A82A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A82A55" w:rsidRDefault="00A82A55" w:rsidP="00A82A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6 March, 2018</w:t>
      </w:r>
      <w:r w:rsidR="006A0B3C">
        <w:rPr>
          <w:rFonts w:ascii="Times New Roman" w:hAnsi="Times New Roman" w:cs="Times New Roman"/>
          <w:sz w:val="24"/>
          <w:szCs w:val="24"/>
        </w:rPr>
        <w:t xml:space="preserve"> and 8 May, 2018</w:t>
      </w:r>
    </w:p>
    <w:p w:rsidR="00A82A55" w:rsidRDefault="00A82A55" w:rsidP="00A82A55">
      <w:pPr>
        <w:spacing w:after="0" w:line="360" w:lineRule="auto"/>
        <w:jc w:val="both"/>
        <w:rPr>
          <w:rFonts w:ascii="Times New Roman" w:hAnsi="Times New Roman" w:cs="Times New Roman"/>
          <w:sz w:val="24"/>
          <w:szCs w:val="24"/>
        </w:rPr>
      </w:pPr>
    </w:p>
    <w:p w:rsidR="00A82A55" w:rsidRDefault="00A82A55" w:rsidP="00A82A55">
      <w:pPr>
        <w:spacing w:after="0" w:line="360" w:lineRule="auto"/>
        <w:jc w:val="both"/>
        <w:rPr>
          <w:rFonts w:ascii="Times New Roman" w:hAnsi="Times New Roman" w:cs="Times New Roman"/>
          <w:sz w:val="24"/>
          <w:szCs w:val="24"/>
        </w:rPr>
      </w:pPr>
    </w:p>
    <w:p w:rsidR="00A82A55" w:rsidRPr="00A82A55" w:rsidRDefault="00A82A55" w:rsidP="00A82A55">
      <w:pPr>
        <w:spacing w:after="0" w:line="360" w:lineRule="auto"/>
        <w:jc w:val="both"/>
        <w:rPr>
          <w:rFonts w:ascii="Times New Roman" w:hAnsi="Times New Roman" w:cs="Times New Roman"/>
          <w:b/>
          <w:sz w:val="24"/>
          <w:szCs w:val="24"/>
        </w:rPr>
      </w:pPr>
      <w:r w:rsidRPr="00A82A55">
        <w:rPr>
          <w:rFonts w:ascii="Times New Roman" w:hAnsi="Times New Roman" w:cs="Times New Roman"/>
          <w:b/>
          <w:sz w:val="24"/>
          <w:szCs w:val="24"/>
        </w:rPr>
        <w:t>Opposed application</w:t>
      </w:r>
    </w:p>
    <w:p w:rsidR="00A82A55" w:rsidRDefault="00A82A55" w:rsidP="00A82A55">
      <w:pPr>
        <w:spacing w:after="0" w:line="360" w:lineRule="auto"/>
        <w:jc w:val="both"/>
        <w:rPr>
          <w:rFonts w:ascii="Times New Roman" w:hAnsi="Times New Roman" w:cs="Times New Roman"/>
          <w:sz w:val="24"/>
          <w:szCs w:val="24"/>
        </w:rPr>
      </w:pPr>
    </w:p>
    <w:p w:rsidR="00A82A55" w:rsidRDefault="00A82A55" w:rsidP="00A82A55">
      <w:pPr>
        <w:spacing w:after="0" w:line="360" w:lineRule="auto"/>
        <w:jc w:val="both"/>
        <w:rPr>
          <w:rFonts w:ascii="Times New Roman" w:hAnsi="Times New Roman" w:cs="Times New Roman"/>
          <w:sz w:val="24"/>
          <w:szCs w:val="24"/>
        </w:rPr>
      </w:pPr>
    </w:p>
    <w:p w:rsidR="00A82A55" w:rsidRDefault="00EE5260" w:rsidP="00A82A55">
      <w:pPr>
        <w:spacing w:after="0" w:line="240" w:lineRule="auto"/>
        <w:jc w:val="both"/>
        <w:rPr>
          <w:rFonts w:ascii="Times New Roman" w:hAnsi="Times New Roman" w:cs="Times New Roman"/>
          <w:sz w:val="24"/>
          <w:szCs w:val="24"/>
        </w:rPr>
      </w:pPr>
      <w:r w:rsidRPr="00EE5260">
        <w:rPr>
          <w:rFonts w:ascii="Times New Roman" w:hAnsi="Times New Roman" w:cs="Times New Roman"/>
          <w:i/>
          <w:sz w:val="24"/>
          <w:szCs w:val="24"/>
        </w:rPr>
        <w:t>P Kawande</w:t>
      </w:r>
      <w:r w:rsidR="00A82A55">
        <w:rPr>
          <w:rFonts w:ascii="Times New Roman" w:hAnsi="Times New Roman" w:cs="Times New Roman"/>
          <w:sz w:val="24"/>
          <w:szCs w:val="24"/>
        </w:rPr>
        <w:t>,</w:t>
      </w:r>
      <w:r>
        <w:rPr>
          <w:rFonts w:ascii="Times New Roman" w:hAnsi="Times New Roman" w:cs="Times New Roman"/>
          <w:sz w:val="24"/>
          <w:szCs w:val="24"/>
        </w:rPr>
        <w:t xml:space="preserve"> </w:t>
      </w:r>
      <w:r w:rsidR="00A82A55">
        <w:rPr>
          <w:rFonts w:ascii="Times New Roman" w:hAnsi="Times New Roman" w:cs="Times New Roman"/>
          <w:sz w:val="24"/>
          <w:szCs w:val="24"/>
        </w:rPr>
        <w:t>for the applicant</w:t>
      </w:r>
    </w:p>
    <w:p w:rsidR="00A82A55" w:rsidRDefault="00EE5260" w:rsidP="00A82A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EE5260">
        <w:rPr>
          <w:rFonts w:ascii="Times New Roman" w:hAnsi="Times New Roman" w:cs="Times New Roman"/>
          <w:i/>
          <w:sz w:val="24"/>
          <w:szCs w:val="24"/>
        </w:rPr>
        <w:t>M Mafo</w:t>
      </w:r>
      <w:r w:rsidR="00A82A55">
        <w:rPr>
          <w:rFonts w:ascii="Times New Roman" w:hAnsi="Times New Roman" w:cs="Times New Roman"/>
          <w:sz w:val="24"/>
          <w:szCs w:val="24"/>
        </w:rPr>
        <w:t>, for the respondent</w:t>
      </w:r>
    </w:p>
    <w:p w:rsidR="00A82A55" w:rsidRDefault="00A82A55" w:rsidP="00A82A55">
      <w:pPr>
        <w:spacing w:after="0" w:line="240" w:lineRule="auto"/>
        <w:jc w:val="both"/>
        <w:rPr>
          <w:rFonts w:ascii="Times New Roman" w:hAnsi="Times New Roman" w:cs="Times New Roman"/>
          <w:sz w:val="24"/>
          <w:szCs w:val="24"/>
        </w:rPr>
      </w:pPr>
    </w:p>
    <w:p w:rsidR="00A82A55" w:rsidRDefault="00A82A55" w:rsidP="00A82A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w:t>
      </w:r>
      <w:r w:rsidR="00714C54">
        <w:rPr>
          <w:rFonts w:ascii="Times New Roman" w:hAnsi="Times New Roman" w:cs="Times New Roman"/>
          <w:sz w:val="24"/>
          <w:szCs w:val="24"/>
        </w:rPr>
        <w:t xml:space="preserve"> The respondent is a financial institution. It is under liquidation. Prior to its liquidation, it advanced loan</w:t>
      </w:r>
      <w:r w:rsidR="00373A82">
        <w:rPr>
          <w:rFonts w:ascii="Times New Roman" w:hAnsi="Times New Roman" w:cs="Times New Roman"/>
          <w:sz w:val="24"/>
          <w:szCs w:val="24"/>
        </w:rPr>
        <w:t>s</w:t>
      </w:r>
      <w:r w:rsidR="00714C54">
        <w:rPr>
          <w:rFonts w:ascii="Times New Roman" w:hAnsi="Times New Roman" w:cs="Times New Roman"/>
          <w:sz w:val="24"/>
          <w:szCs w:val="24"/>
        </w:rPr>
        <w:t xml:space="preserve"> to two companies. These comprised Matfield Operations (Pvt) Ltd and Shareview Enterprises (Pvt) Ltd.</w:t>
      </w:r>
    </w:p>
    <w:p w:rsidR="001F2C57" w:rsidRDefault="001F2C57" w:rsidP="00A82A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is a businessman. He secured the two companies’ loans. He, in the mentioned regard, registered a mortgage bond over his property which is known as the remainder of Lot 3 of subdivision 6 of Quinnington, Borrowdale Estate, Harare (“the property”).</w:t>
      </w:r>
    </w:p>
    <w:p w:rsidR="005F63A7" w:rsidRDefault="005F63A7" w:rsidP="00A82A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companies failed to pay off their respective debts. The respondent successfully sued the applicant and others under HC 3254/12. Judgment was entered in its favour in the sum of $21 336.01 together with interest thereon at the rate of 10% above the bank overdraft rate with effect from 17 February, 2012 to the date of full payment. It also successfully sue</w:t>
      </w:r>
      <w:r w:rsidR="00A512A3">
        <w:rPr>
          <w:rFonts w:ascii="Times New Roman" w:hAnsi="Times New Roman" w:cs="Times New Roman"/>
          <w:sz w:val="24"/>
          <w:szCs w:val="24"/>
        </w:rPr>
        <w:t>d</w:t>
      </w:r>
      <w:r>
        <w:rPr>
          <w:rFonts w:ascii="Times New Roman" w:hAnsi="Times New Roman" w:cs="Times New Roman"/>
          <w:sz w:val="24"/>
          <w:szCs w:val="24"/>
        </w:rPr>
        <w:t xml:space="preserve"> the applicant and others under HC 8650/12 wherein judgment was entered in its favour in the sum of $206 253.93 together with interest</w:t>
      </w:r>
      <w:r w:rsidR="0020583F">
        <w:rPr>
          <w:rFonts w:ascii="Times New Roman" w:hAnsi="Times New Roman" w:cs="Times New Roman"/>
          <w:sz w:val="24"/>
          <w:szCs w:val="24"/>
        </w:rPr>
        <w:t xml:space="preserve"> at 45% per annum with effect from 10 April, 2013 to the date of full payment.</w:t>
      </w:r>
    </w:p>
    <w:p w:rsidR="00DF699D" w:rsidRDefault="00DF699D" w:rsidP="00A82A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w:t>
      </w:r>
      <w:r w:rsidR="00880B88">
        <w:rPr>
          <w:rFonts w:ascii="Times New Roman" w:hAnsi="Times New Roman" w:cs="Times New Roman"/>
          <w:sz w:val="24"/>
          <w:szCs w:val="24"/>
        </w:rPr>
        <w:t>’s</w:t>
      </w:r>
      <w:r>
        <w:rPr>
          <w:rFonts w:ascii="Times New Roman" w:hAnsi="Times New Roman" w:cs="Times New Roman"/>
          <w:sz w:val="24"/>
          <w:szCs w:val="24"/>
        </w:rPr>
        <w:t xml:space="preserve"> allegations are that he made every effort to satisfy the judgment debts which had been entered against him and others. He states that his aim and objective were to achieve his intended goal</w:t>
      </w:r>
      <w:r w:rsidR="00A512A3">
        <w:rPr>
          <w:rFonts w:ascii="Times New Roman" w:hAnsi="Times New Roman" w:cs="Times New Roman"/>
          <w:sz w:val="24"/>
          <w:szCs w:val="24"/>
        </w:rPr>
        <w:t xml:space="preserve"> so</w:t>
      </w:r>
      <w:r>
        <w:rPr>
          <w:rFonts w:ascii="Times New Roman" w:hAnsi="Times New Roman" w:cs="Times New Roman"/>
          <w:sz w:val="24"/>
          <w:szCs w:val="24"/>
        </w:rPr>
        <w:t xml:space="preserve"> that he would have the title deed which relates to his property release</w:t>
      </w:r>
      <w:r w:rsidR="00880B88">
        <w:rPr>
          <w:rFonts w:ascii="Times New Roman" w:hAnsi="Times New Roman" w:cs="Times New Roman"/>
          <w:sz w:val="24"/>
          <w:szCs w:val="24"/>
        </w:rPr>
        <w:t>d</w:t>
      </w:r>
      <w:r>
        <w:rPr>
          <w:rFonts w:ascii="Times New Roman" w:hAnsi="Times New Roman" w:cs="Times New Roman"/>
          <w:sz w:val="24"/>
          <w:szCs w:val="24"/>
        </w:rPr>
        <w:t xml:space="preserve"> to him. He alleges that, whilst he was engaged in the mentioned process, the respondent was placed under liquidation. He </w:t>
      </w:r>
      <w:r w:rsidR="00E841A9">
        <w:rPr>
          <w:rFonts w:ascii="Times New Roman" w:hAnsi="Times New Roman" w:cs="Times New Roman"/>
          <w:sz w:val="24"/>
          <w:szCs w:val="24"/>
        </w:rPr>
        <w:t>accuses</w:t>
      </w:r>
      <w:r>
        <w:rPr>
          <w:rFonts w:ascii="Times New Roman" w:hAnsi="Times New Roman" w:cs="Times New Roman"/>
          <w:sz w:val="24"/>
          <w:szCs w:val="24"/>
        </w:rPr>
        <w:t xml:space="preserve"> the respondent of having acted </w:t>
      </w:r>
      <w:r>
        <w:rPr>
          <w:rFonts w:ascii="Times New Roman" w:hAnsi="Times New Roman" w:cs="Times New Roman"/>
          <w:sz w:val="24"/>
          <w:szCs w:val="24"/>
        </w:rPr>
        <w:lastRenderedPageBreak/>
        <w:t>negligently to his prejudice. He makes a narration of the steps which he say</w:t>
      </w:r>
      <w:r w:rsidR="00952F57">
        <w:rPr>
          <w:rFonts w:ascii="Times New Roman" w:hAnsi="Times New Roman" w:cs="Times New Roman"/>
          <w:sz w:val="24"/>
          <w:szCs w:val="24"/>
        </w:rPr>
        <w:t>s he took to encourage the respondent to furnish him with its requirements for the cancellation of the mortgage bond</w:t>
      </w:r>
      <w:r w:rsidR="00182257">
        <w:rPr>
          <w:rFonts w:ascii="Times New Roman" w:hAnsi="Times New Roman" w:cs="Times New Roman"/>
          <w:sz w:val="24"/>
          <w:szCs w:val="24"/>
        </w:rPr>
        <w:t xml:space="preserve"> which was</w:t>
      </w:r>
      <w:r w:rsidR="00880B88">
        <w:rPr>
          <w:rFonts w:ascii="Times New Roman" w:hAnsi="Times New Roman" w:cs="Times New Roman"/>
          <w:sz w:val="24"/>
          <w:szCs w:val="24"/>
        </w:rPr>
        <w:t xml:space="preserve"> registered over his property. H</w:t>
      </w:r>
      <w:r w:rsidR="00182257">
        <w:rPr>
          <w:rFonts w:ascii="Times New Roman" w:hAnsi="Times New Roman" w:cs="Times New Roman"/>
          <w:sz w:val="24"/>
          <w:szCs w:val="24"/>
        </w:rPr>
        <w:t>e avers that</w:t>
      </w:r>
      <w:r w:rsidR="00B9365D">
        <w:rPr>
          <w:rFonts w:ascii="Times New Roman" w:hAnsi="Times New Roman" w:cs="Times New Roman"/>
          <w:sz w:val="24"/>
          <w:szCs w:val="24"/>
        </w:rPr>
        <w:t>, because of</w:t>
      </w:r>
      <w:r w:rsidR="00182257">
        <w:rPr>
          <w:rFonts w:ascii="Times New Roman" w:hAnsi="Times New Roman" w:cs="Times New Roman"/>
          <w:sz w:val="24"/>
          <w:szCs w:val="24"/>
        </w:rPr>
        <w:t xml:space="preserve"> the respondent’s negligent breach of duty as well as its breach of the compromise agreement which he and it concluded, he sustained damages and pure economic loss in the sum of $569 881.61. He insists that he wants to sue, and recover the same from, the </w:t>
      </w:r>
      <w:r w:rsidR="00EB3132">
        <w:rPr>
          <w:rFonts w:ascii="Times New Roman" w:hAnsi="Times New Roman" w:cs="Times New Roman"/>
          <w:sz w:val="24"/>
          <w:szCs w:val="24"/>
        </w:rPr>
        <w:t>respondent</w:t>
      </w:r>
      <w:r w:rsidR="00182257">
        <w:rPr>
          <w:rFonts w:ascii="Times New Roman" w:hAnsi="Times New Roman" w:cs="Times New Roman"/>
          <w:sz w:val="24"/>
          <w:szCs w:val="24"/>
        </w:rPr>
        <w:t xml:space="preserve">. He, </w:t>
      </w:r>
      <w:r w:rsidR="00EB3132">
        <w:rPr>
          <w:rFonts w:ascii="Times New Roman" w:hAnsi="Times New Roman" w:cs="Times New Roman"/>
          <w:sz w:val="24"/>
          <w:szCs w:val="24"/>
        </w:rPr>
        <w:t>therefore</w:t>
      </w:r>
      <w:r w:rsidR="00182257">
        <w:rPr>
          <w:rFonts w:ascii="Times New Roman" w:hAnsi="Times New Roman" w:cs="Times New Roman"/>
          <w:sz w:val="24"/>
          <w:szCs w:val="24"/>
        </w:rPr>
        <w:t>, filed this application for leave to sue the respondent.</w:t>
      </w:r>
    </w:p>
    <w:p w:rsidR="00182257" w:rsidRDefault="00182257" w:rsidP="00A82A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opposed the application. It raised the defence of </w:t>
      </w:r>
      <w:r w:rsidRPr="00880B88">
        <w:rPr>
          <w:rFonts w:ascii="Times New Roman" w:hAnsi="Times New Roman" w:cs="Times New Roman"/>
          <w:i/>
          <w:sz w:val="24"/>
          <w:szCs w:val="24"/>
        </w:rPr>
        <w:t>res judicata</w:t>
      </w:r>
      <w:r>
        <w:rPr>
          <w:rFonts w:ascii="Times New Roman" w:hAnsi="Times New Roman" w:cs="Times New Roman"/>
          <w:sz w:val="24"/>
          <w:szCs w:val="24"/>
        </w:rPr>
        <w:t xml:space="preserve"> as its first preliminary matter. Its second </w:t>
      </w:r>
      <w:r w:rsidRPr="00EB3132">
        <w:rPr>
          <w:rFonts w:ascii="Times New Roman" w:hAnsi="Times New Roman" w:cs="Times New Roman"/>
          <w:i/>
          <w:sz w:val="24"/>
          <w:szCs w:val="24"/>
        </w:rPr>
        <w:t>in limine</w:t>
      </w:r>
      <w:r>
        <w:rPr>
          <w:rFonts w:ascii="Times New Roman" w:hAnsi="Times New Roman" w:cs="Times New Roman"/>
          <w:sz w:val="24"/>
          <w:szCs w:val="24"/>
        </w:rPr>
        <w:t xml:space="preserve"> issue centres on the draft summons which the applicant intends to issue out of this court if leave to sue the respondent is granted to him. It states that the </w:t>
      </w:r>
      <w:r w:rsidR="00EB3132">
        <w:rPr>
          <w:rFonts w:ascii="Times New Roman" w:hAnsi="Times New Roman" w:cs="Times New Roman"/>
          <w:sz w:val="24"/>
          <w:szCs w:val="24"/>
        </w:rPr>
        <w:t>citation</w:t>
      </w:r>
      <w:r>
        <w:rPr>
          <w:rFonts w:ascii="Times New Roman" w:hAnsi="Times New Roman" w:cs="Times New Roman"/>
          <w:sz w:val="24"/>
          <w:szCs w:val="24"/>
        </w:rPr>
        <w:t xml:space="preserve"> of the </w:t>
      </w:r>
      <w:r w:rsidR="00EB3132">
        <w:rPr>
          <w:rFonts w:ascii="Times New Roman" w:hAnsi="Times New Roman" w:cs="Times New Roman"/>
          <w:sz w:val="24"/>
          <w:szCs w:val="24"/>
        </w:rPr>
        <w:t>deponent</w:t>
      </w:r>
      <w:r>
        <w:rPr>
          <w:rFonts w:ascii="Times New Roman" w:hAnsi="Times New Roman" w:cs="Times New Roman"/>
          <w:sz w:val="24"/>
          <w:szCs w:val="24"/>
        </w:rPr>
        <w:t xml:space="preserve"> to its opposing affidavit</w:t>
      </w:r>
      <w:r w:rsidR="00EB3132">
        <w:rPr>
          <w:rFonts w:ascii="Times New Roman" w:hAnsi="Times New Roman" w:cs="Times New Roman"/>
          <w:sz w:val="24"/>
          <w:szCs w:val="24"/>
        </w:rPr>
        <w:t xml:space="preserve"> in</w:t>
      </w:r>
      <w:r w:rsidR="00880B88">
        <w:rPr>
          <w:rFonts w:ascii="Times New Roman" w:hAnsi="Times New Roman" w:cs="Times New Roman"/>
          <w:sz w:val="24"/>
          <w:szCs w:val="24"/>
        </w:rPr>
        <w:t xml:space="preserve"> his personal</w:t>
      </w:r>
      <w:r>
        <w:rPr>
          <w:rFonts w:ascii="Times New Roman" w:hAnsi="Times New Roman" w:cs="Times New Roman"/>
          <w:sz w:val="24"/>
          <w:szCs w:val="24"/>
        </w:rPr>
        <w:t xml:space="preserve"> name renders the draft summons fatally defective. It insists that the </w:t>
      </w:r>
      <w:r w:rsidR="00EB3132">
        <w:rPr>
          <w:rFonts w:ascii="Times New Roman" w:hAnsi="Times New Roman" w:cs="Times New Roman"/>
          <w:sz w:val="24"/>
          <w:szCs w:val="24"/>
        </w:rPr>
        <w:t>deponent</w:t>
      </w:r>
      <w:r>
        <w:rPr>
          <w:rFonts w:ascii="Times New Roman" w:hAnsi="Times New Roman" w:cs="Times New Roman"/>
          <w:sz w:val="24"/>
          <w:szCs w:val="24"/>
        </w:rPr>
        <w:t xml:space="preserve"> should have been cited, in the draft summons, in his capacity as the liquidator of the respondent. It states, on the merits, that it furnished the applicant with the bond cancellation requirements. It submits that the damages which he seeks to </w:t>
      </w:r>
      <w:r w:rsidR="00373A82">
        <w:rPr>
          <w:rFonts w:ascii="Times New Roman" w:hAnsi="Times New Roman" w:cs="Times New Roman"/>
          <w:sz w:val="24"/>
          <w:szCs w:val="24"/>
        </w:rPr>
        <w:t>claim</w:t>
      </w:r>
      <w:r>
        <w:rPr>
          <w:rFonts w:ascii="Times New Roman" w:hAnsi="Times New Roman" w:cs="Times New Roman"/>
          <w:sz w:val="24"/>
          <w:szCs w:val="24"/>
        </w:rPr>
        <w:t xml:space="preserve"> from it are both speculative and </w:t>
      </w:r>
      <w:r w:rsidR="00EB3132">
        <w:rPr>
          <w:rFonts w:ascii="Times New Roman" w:hAnsi="Times New Roman" w:cs="Times New Roman"/>
          <w:sz w:val="24"/>
          <w:szCs w:val="24"/>
        </w:rPr>
        <w:t>baseless</w:t>
      </w:r>
      <w:r>
        <w:rPr>
          <w:rFonts w:ascii="Times New Roman" w:hAnsi="Times New Roman" w:cs="Times New Roman"/>
          <w:sz w:val="24"/>
          <w:szCs w:val="24"/>
        </w:rPr>
        <w:t>. It, therefore, moved the court to dismiss the application with costs.</w:t>
      </w:r>
    </w:p>
    <w:p w:rsidR="008C1386" w:rsidRDefault="00182257" w:rsidP="00A82A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abandoned its first preliminary matter during submissions. Its argument on the second </w:t>
      </w:r>
      <w:r w:rsidRPr="00EB3132">
        <w:rPr>
          <w:rFonts w:ascii="Times New Roman" w:hAnsi="Times New Roman" w:cs="Times New Roman"/>
          <w:i/>
          <w:sz w:val="24"/>
          <w:szCs w:val="24"/>
        </w:rPr>
        <w:t>in limine</w:t>
      </w:r>
      <w:r>
        <w:rPr>
          <w:rFonts w:ascii="Times New Roman" w:hAnsi="Times New Roman" w:cs="Times New Roman"/>
          <w:sz w:val="24"/>
          <w:szCs w:val="24"/>
        </w:rPr>
        <w:t xml:space="preserve"> issue was without merit. It related to a draft summons which the applicant had not yet </w:t>
      </w:r>
      <w:r w:rsidR="00EB3132">
        <w:rPr>
          <w:rFonts w:ascii="Times New Roman" w:hAnsi="Times New Roman" w:cs="Times New Roman"/>
          <w:sz w:val="24"/>
          <w:szCs w:val="24"/>
        </w:rPr>
        <w:t>issued</w:t>
      </w:r>
      <w:r>
        <w:rPr>
          <w:rFonts w:ascii="Times New Roman" w:hAnsi="Times New Roman" w:cs="Times New Roman"/>
          <w:sz w:val="24"/>
          <w:szCs w:val="24"/>
        </w:rPr>
        <w:t xml:space="preserve">. The applicant was not and is not tied to the </w:t>
      </w:r>
      <w:r w:rsidR="00EB3132">
        <w:rPr>
          <w:rFonts w:ascii="Times New Roman" w:hAnsi="Times New Roman" w:cs="Times New Roman"/>
          <w:sz w:val="24"/>
          <w:szCs w:val="24"/>
        </w:rPr>
        <w:t>draft</w:t>
      </w:r>
      <w:r>
        <w:rPr>
          <w:rFonts w:ascii="Times New Roman" w:hAnsi="Times New Roman" w:cs="Times New Roman"/>
          <w:sz w:val="24"/>
          <w:szCs w:val="24"/>
        </w:rPr>
        <w:t xml:space="preserve"> summons. The f</w:t>
      </w:r>
      <w:r w:rsidR="00880B88">
        <w:rPr>
          <w:rFonts w:ascii="Times New Roman" w:hAnsi="Times New Roman" w:cs="Times New Roman"/>
          <w:sz w:val="24"/>
          <w:szCs w:val="24"/>
        </w:rPr>
        <w:t>act that it</w:t>
      </w:r>
      <w:r>
        <w:rPr>
          <w:rFonts w:ascii="Times New Roman" w:hAnsi="Times New Roman" w:cs="Times New Roman"/>
          <w:sz w:val="24"/>
          <w:szCs w:val="24"/>
        </w:rPr>
        <w:t xml:space="preserve"> is in a d</w:t>
      </w:r>
      <w:r w:rsidR="00880B88">
        <w:rPr>
          <w:rFonts w:ascii="Times New Roman" w:hAnsi="Times New Roman" w:cs="Times New Roman"/>
          <w:sz w:val="24"/>
          <w:szCs w:val="24"/>
        </w:rPr>
        <w:t>raft fo</w:t>
      </w:r>
      <w:r>
        <w:rPr>
          <w:rFonts w:ascii="Times New Roman" w:hAnsi="Times New Roman" w:cs="Times New Roman"/>
          <w:sz w:val="24"/>
          <w:szCs w:val="24"/>
        </w:rPr>
        <w:t xml:space="preserve">rm </w:t>
      </w:r>
      <w:r w:rsidR="00EB3132">
        <w:rPr>
          <w:rFonts w:ascii="Times New Roman" w:hAnsi="Times New Roman" w:cs="Times New Roman"/>
          <w:sz w:val="24"/>
          <w:szCs w:val="24"/>
        </w:rPr>
        <w:t>means</w:t>
      </w:r>
      <w:r>
        <w:rPr>
          <w:rFonts w:ascii="Times New Roman" w:hAnsi="Times New Roman" w:cs="Times New Roman"/>
          <w:sz w:val="24"/>
          <w:szCs w:val="24"/>
        </w:rPr>
        <w:t xml:space="preserve"> that he can, if leave to sue is granted, alter it to </w:t>
      </w:r>
      <w:r w:rsidR="00EB3132">
        <w:rPr>
          <w:rFonts w:ascii="Times New Roman" w:hAnsi="Times New Roman" w:cs="Times New Roman"/>
          <w:sz w:val="24"/>
          <w:szCs w:val="24"/>
        </w:rPr>
        <w:t>avoid</w:t>
      </w:r>
      <w:r>
        <w:rPr>
          <w:rFonts w:ascii="Times New Roman" w:hAnsi="Times New Roman" w:cs="Times New Roman"/>
          <w:sz w:val="24"/>
          <w:szCs w:val="24"/>
        </w:rPr>
        <w:t xml:space="preserve"> anything which</w:t>
      </w:r>
      <w:r w:rsidR="00AE645C">
        <w:rPr>
          <w:rFonts w:ascii="Times New Roman" w:hAnsi="Times New Roman" w:cs="Times New Roman"/>
          <w:sz w:val="24"/>
          <w:szCs w:val="24"/>
        </w:rPr>
        <w:t xml:space="preserve"> would render his intended suit stillborn on technical grounds. It was, indeed, an exercise in fu</w:t>
      </w:r>
      <w:r w:rsidR="00880B88">
        <w:rPr>
          <w:rFonts w:ascii="Times New Roman" w:hAnsi="Times New Roman" w:cs="Times New Roman"/>
          <w:sz w:val="24"/>
          <w:szCs w:val="24"/>
        </w:rPr>
        <w:t>ti</w:t>
      </w:r>
      <w:r w:rsidR="00AE645C">
        <w:rPr>
          <w:rFonts w:ascii="Times New Roman" w:hAnsi="Times New Roman" w:cs="Times New Roman"/>
          <w:sz w:val="24"/>
          <w:szCs w:val="24"/>
        </w:rPr>
        <w:t xml:space="preserve">lity for the respondent to have argued on a matter which was not before the court. The draft summons is simply what its name </w:t>
      </w:r>
      <w:r w:rsidR="00880B88">
        <w:rPr>
          <w:rFonts w:ascii="Times New Roman" w:hAnsi="Times New Roman" w:cs="Times New Roman"/>
          <w:sz w:val="24"/>
          <w:szCs w:val="24"/>
        </w:rPr>
        <w:t>suggests</w:t>
      </w:r>
      <w:r w:rsidR="00AE645C">
        <w:rPr>
          <w:rFonts w:ascii="Times New Roman" w:hAnsi="Times New Roman" w:cs="Times New Roman"/>
          <w:sz w:val="24"/>
          <w:szCs w:val="24"/>
        </w:rPr>
        <w:t>. It is just a draft and no more than</w:t>
      </w:r>
      <w:r w:rsidR="00E40CE7">
        <w:rPr>
          <w:rFonts w:ascii="Times New Roman" w:hAnsi="Times New Roman" w:cs="Times New Roman"/>
          <w:sz w:val="24"/>
          <w:szCs w:val="24"/>
        </w:rPr>
        <w:t xml:space="preserve"> that. It was, and still is</w:t>
      </w:r>
      <w:r w:rsidR="00B9365D">
        <w:rPr>
          <w:rFonts w:ascii="Times New Roman" w:hAnsi="Times New Roman" w:cs="Times New Roman"/>
          <w:sz w:val="24"/>
          <w:szCs w:val="24"/>
        </w:rPr>
        <w:t>,</w:t>
      </w:r>
      <w:r w:rsidR="00E40CE7">
        <w:rPr>
          <w:rFonts w:ascii="Times New Roman" w:hAnsi="Times New Roman" w:cs="Times New Roman"/>
          <w:sz w:val="24"/>
          <w:szCs w:val="24"/>
        </w:rPr>
        <w:t xml:space="preserve"> out of court. It</w:t>
      </w:r>
      <w:r w:rsidR="00B9365D">
        <w:rPr>
          <w:rFonts w:ascii="Times New Roman" w:hAnsi="Times New Roman" w:cs="Times New Roman"/>
          <w:sz w:val="24"/>
          <w:szCs w:val="24"/>
        </w:rPr>
        <w:t>,</w:t>
      </w:r>
      <w:r w:rsidR="00E40CE7">
        <w:rPr>
          <w:rFonts w:ascii="Times New Roman" w:hAnsi="Times New Roman" w:cs="Times New Roman"/>
          <w:sz w:val="24"/>
          <w:szCs w:val="24"/>
        </w:rPr>
        <w:t xml:space="preserve"> therefore, remains within the domain of the applicant to</w:t>
      </w:r>
      <w:r w:rsidR="005962A3">
        <w:rPr>
          <w:rFonts w:ascii="Times New Roman" w:hAnsi="Times New Roman" w:cs="Times New Roman"/>
          <w:sz w:val="24"/>
          <w:szCs w:val="24"/>
        </w:rPr>
        <w:t xml:space="preserve"> </w:t>
      </w:r>
      <w:r w:rsidR="00DB5AA5">
        <w:rPr>
          <w:rFonts w:ascii="Times New Roman" w:hAnsi="Times New Roman" w:cs="Times New Roman"/>
          <w:sz w:val="24"/>
          <w:szCs w:val="24"/>
        </w:rPr>
        <w:t>is</w:t>
      </w:r>
      <w:r w:rsidR="005962A3">
        <w:rPr>
          <w:rFonts w:ascii="Times New Roman" w:hAnsi="Times New Roman" w:cs="Times New Roman"/>
          <w:sz w:val="24"/>
          <w:szCs w:val="24"/>
        </w:rPr>
        <w:t>sue</w:t>
      </w:r>
      <w:r w:rsidR="00E6719C">
        <w:rPr>
          <w:rFonts w:ascii="Times New Roman" w:hAnsi="Times New Roman" w:cs="Times New Roman"/>
          <w:sz w:val="24"/>
          <w:szCs w:val="24"/>
        </w:rPr>
        <w:t xml:space="preserve"> it</w:t>
      </w:r>
      <w:r w:rsidR="00E40CE7">
        <w:rPr>
          <w:rFonts w:ascii="Times New Roman" w:hAnsi="Times New Roman" w:cs="Times New Roman"/>
          <w:sz w:val="24"/>
          <w:szCs w:val="24"/>
        </w:rPr>
        <w:t xml:space="preserve"> as it appears or in any way which he deems fit. He is not held to the </w:t>
      </w:r>
      <w:r w:rsidR="00E6719C">
        <w:rPr>
          <w:rFonts w:ascii="Times New Roman" w:hAnsi="Times New Roman" w:cs="Times New Roman"/>
          <w:sz w:val="24"/>
          <w:szCs w:val="24"/>
        </w:rPr>
        <w:t>contents</w:t>
      </w:r>
      <w:r w:rsidR="00E40CE7">
        <w:rPr>
          <w:rFonts w:ascii="Times New Roman" w:hAnsi="Times New Roman" w:cs="Times New Roman"/>
          <w:sz w:val="24"/>
          <w:szCs w:val="24"/>
        </w:rPr>
        <w:t xml:space="preserve"> of the draft summons which he attached to this application. It was for the mentioned reason, if for </w:t>
      </w:r>
      <w:r w:rsidR="009322CF">
        <w:rPr>
          <w:rFonts w:ascii="Times New Roman" w:hAnsi="Times New Roman" w:cs="Times New Roman"/>
          <w:sz w:val="24"/>
          <w:szCs w:val="24"/>
        </w:rPr>
        <w:t>no</w:t>
      </w:r>
      <w:r w:rsidR="00E40CE7">
        <w:rPr>
          <w:rFonts w:ascii="Times New Roman" w:hAnsi="Times New Roman" w:cs="Times New Roman"/>
          <w:sz w:val="24"/>
          <w:szCs w:val="24"/>
        </w:rPr>
        <w:t xml:space="preserve"> other, that I </w:t>
      </w:r>
      <w:r w:rsidR="009B55FD">
        <w:rPr>
          <w:rFonts w:ascii="Times New Roman" w:hAnsi="Times New Roman" w:cs="Times New Roman"/>
          <w:sz w:val="24"/>
          <w:szCs w:val="24"/>
        </w:rPr>
        <w:t xml:space="preserve">refused to entertain the respondent’s second preliminary matter. It dealt with an </w:t>
      </w:r>
      <w:r w:rsidR="00DB5AA5">
        <w:rPr>
          <w:rFonts w:ascii="Times New Roman" w:hAnsi="Times New Roman" w:cs="Times New Roman"/>
          <w:sz w:val="24"/>
          <w:szCs w:val="24"/>
        </w:rPr>
        <w:t>is</w:t>
      </w:r>
      <w:r w:rsidR="00373A82">
        <w:rPr>
          <w:rFonts w:ascii="Times New Roman" w:hAnsi="Times New Roman" w:cs="Times New Roman"/>
          <w:sz w:val="24"/>
          <w:szCs w:val="24"/>
        </w:rPr>
        <w:t>sue</w:t>
      </w:r>
      <w:r w:rsidR="009B55FD">
        <w:rPr>
          <w:rFonts w:ascii="Times New Roman" w:hAnsi="Times New Roman" w:cs="Times New Roman"/>
          <w:sz w:val="24"/>
          <w:szCs w:val="24"/>
        </w:rPr>
        <w:t xml:space="preserve"> which was not before me. It invited me to speculate on how the draft summons should have appeared which is not</w:t>
      </w:r>
      <w:r w:rsidR="008C1386">
        <w:rPr>
          <w:rFonts w:ascii="Times New Roman" w:hAnsi="Times New Roman" w:cs="Times New Roman"/>
          <w:sz w:val="24"/>
          <w:szCs w:val="24"/>
        </w:rPr>
        <w:t xml:space="preserve"> my business. The matter of the applicant’s intended suit is for another day and before another court. The </w:t>
      </w:r>
      <w:r w:rsidR="008C1386" w:rsidRPr="008C1386">
        <w:rPr>
          <w:rFonts w:ascii="Times New Roman" w:hAnsi="Times New Roman" w:cs="Times New Roman"/>
          <w:i/>
          <w:sz w:val="24"/>
          <w:szCs w:val="24"/>
        </w:rPr>
        <w:t xml:space="preserve">in limine </w:t>
      </w:r>
      <w:r w:rsidR="008C1386">
        <w:rPr>
          <w:rFonts w:ascii="Times New Roman" w:hAnsi="Times New Roman" w:cs="Times New Roman"/>
          <w:sz w:val="24"/>
          <w:szCs w:val="24"/>
        </w:rPr>
        <w:t>issue was, therefore, dismissed on the basis of the above-stated grounds.</w:t>
      </w:r>
    </w:p>
    <w:p w:rsidR="00B9365D" w:rsidRDefault="008C1386" w:rsidP="00A82A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disposal of the respondent’s two </w:t>
      </w:r>
      <w:r w:rsidRPr="008C1386">
        <w:rPr>
          <w:rFonts w:ascii="Times New Roman" w:hAnsi="Times New Roman" w:cs="Times New Roman"/>
          <w:i/>
          <w:sz w:val="24"/>
          <w:szCs w:val="24"/>
        </w:rPr>
        <w:t>in limine</w:t>
      </w:r>
      <w:r>
        <w:rPr>
          <w:rFonts w:ascii="Times New Roman" w:hAnsi="Times New Roman" w:cs="Times New Roman"/>
          <w:sz w:val="24"/>
          <w:szCs w:val="24"/>
        </w:rPr>
        <w:t xml:space="preserve"> issues led the court</w:t>
      </w:r>
      <w:r w:rsidR="00AE645C">
        <w:rPr>
          <w:rFonts w:ascii="Times New Roman" w:hAnsi="Times New Roman" w:cs="Times New Roman"/>
          <w:sz w:val="24"/>
          <w:szCs w:val="24"/>
        </w:rPr>
        <w:t xml:space="preserve"> </w:t>
      </w:r>
      <w:r w:rsidR="00BE66AF">
        <w:rPr>
          <w:rFonts w:ascii="Times New Roman" w:hAnsi="Times New Roman" w:cs="Times New Roman"/>
          <w:sz w:val="24"/>
          <w:szCs w:val="24"/>
        </w:rPr>
        <w:t xml:space="preserve">to consider the merits of the application. The applicant states, and correctly so, that his application is in terms of r </w:t>
      </w:r>
      <w:r w:rsidR="00BE66AF">
        <w:rPr>
          <w:rFonts w:ascii="Times New Roman" w:hAnsi="Times New Roman" w:cs="Times New Roman"/>
          <w:sz w:val="24"/>
          <w:szCs w:val="24"/>
        </w:rPr>
        <w:lastRenderedPageBreak/>
        <w:t>226 (1) (a) of the High Court Rules, 1971. He also states</w:t>
      </w:r>
      <w:r w:rsidR="00B9365D">
        <w:rPr>
          <w:rFonts w:ascii="Times New Roman" w:hAnsi="Times New Roman" w:cs="Times New Roman"/>
          <w:sz w:val="24"/>
          <w:szCs w:val="24"/>
        </w:rPr>
        <w:t>,</w:t>
      </w:r>
      <w:r w:rsidR="00BE66AF">
        <w:rPr>
          <w:rFonts w:ascii="Times New Roman" w:hAnsi="Times New Roman" w:cs="Times New Roman"/>
          <w:sz w:val="24"/>
          <w:szCs w:val="24"/>
        </w:rPr>
        <w:t xml:space="preserve"> correctly so as well, that the application falls under s 213 (a) of the Companies Act, [</w:t>
      </w:r>
      <w:r w:rsidR="00BE66AF" w:rsidRPr="009322CF">
        <w:rPr>
          <w:rFonts w:ascii="Times New Roman" w:hAnsi="Times New Roman" w:cs="Times New Roman"/>
          <w:i/>
          <w:sz w:val="24"/>
          <w:szCs w:val="24"/>
        </w:rPr>
        <w:t>Chapter 24:03</w:t>
      </w:r>
      <w:r w:rsidR="00BE66AF">
        <w:rPr>
          <w:rFonts w:ascii="Times New Roman" w:hAnsi="Times New Roman" w:cs="Times New Roman"/>
          <w:sz w:val="24"/>
          <w:szCs w:val="24"/>
        </w:rPr>
        <w:t xml:space="preserve">]. </w:t>
      </w:r>
    </w:p>
    <w:p w:rsidR="00182257" w:rsidRDefault="00B9365D" w:rsidP="00A82A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66AF">
        <w:rPr>
          <w:rFonts w:ascii="Times New Roman" w:hAnsi="Times New Roman" w:cs="Times New Roman"/>
          <w:sz w:val="24"/>
          <w:szCs w:val="24"/>
        </w:rPr>
        <w:t xml:space="preserve">Rule 226 (1) (a) refers to all applications which the applicant makes for whatever purpose in terms of the rules of court or any other law. Such applications are, as </w:t>
      </w:r>
      <w:r w:rsidR="00BE66AF" w:rsidRPr="00BE66AF">
        <w:rPr>
          <w:rFonts w:ascii="Times New Roman" w:hAnsi="Times New Roman" w:cs="Times New Roman"/>
          <w:i/>
          <w:sz w:val="24"/>
          <w:szCs w:val="24"/>
        </w:rPr>
        <w:t>in casu</w:t>
      </w:r>
      <w:r w:rsidR="00BE66AF">
        <w:rPr>
          <w:rFonts w:ascii="Times New Roman" w:hAnsi="Times New Roman" w:cs="Times New Roman"/>
          <w:sz w:val="24"/>
          <w:szCs w:val="24"/>
        </w:rPr>
        <w:t>, made in writing to the court and on notice to all interested parties. The applicant complied with the rule to the letter and spirit. He applied in writing. He notified the respondent</w:t>
      </w:r>
      <w:r>
        <w:rPr>
          <w:rFonts w:ascii="Times New Roman" w:hAnsi="Times New Roman" w:cs="Times New Roman"/>
          <w:sz w:val="24"/>
          <w:szCs w:val="24"/>
        </w:rPr>
        <w:t>,</w:t>
      </w:r>
      <w:r w:rsidR="00BE66AF">
        <w:rPr>
          <w:rFonts w:ascii="Times New Roman" w:hAnsi="Times New Roman" w:cs="Times New Roman"/>
          <w:sz w:val="24"/>
          <w:szCs w:val="24"/>
        </w:rPr>
        <w:t xml:space="preserve"> which is an interested party</w:t>
      </w:r>
      <w:r>
        <w:rPr>
          <w:rFonts w:ascii="Times New Roman" w:hAnsi="Times New Roman" w:cs="Times New Roman"/>
          <w:sz w:val="24"/>
          <w:szCs w:val="24"/>
        </w:rPr>
        <w:t>,</w:t>
      </w:r>
      <w:r w:rsidR="00BE66AF">
        <w:rPr>
          <w:rFonts w:ascii="Times New Roman" w:hAnsi="Times New Roman" w:cs="Times New Roman"/>
          <w:sz w:val="24"/>
          <w:szCs w:val="24"/>
        </w:rPr>
        <w:t xml:space="preserve"> of the application.</w:t>
      </w:r>
    </w:p>
    <w:p w:rsidR="00DD35C2" w:rsidRDefault="00DD35C2" w:rsidP="00A82A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213 (a) of the Companies Act [</w:t>
      </w:r>
      <w:r w:rsidRPr="001375CF">
        <w:rPr>
          <w:rFonts w:ascii="Times New Roman" w:hAnsi="Times New Roman" w:cs="Times New Roman"/>
          <w:i/>
          <w:sz w:val="24"/>
          <w:szCs w:val="24"/>
        </w:rPr>
        <w:t>Chapter 24:03</w:t>
      </w:r>
      <w:r>
        <w:rPr>
          <w:rFonts w:ascii="Times New Roman" w:hAnsi="Times New Roman" w:cs="Times New Roman"/>
          <w:sz w:val="24"/>
          <w:szCs w:val="24"/>
        </w:rPr>
        <w:t>] [“the Ac</w:t>
      </w:r>
      <w:r w:rsidR="00EE5260">
        <w:rPr>
          <w:rFonts w:ascii="Times New Roman" w:hAnsi="Times New Roman" w:cs="Times New Roman"/>
          <w:sz w:val="24"/>
          <w:szCs w:val="24"/>
        </w:rPr>
        <w:t>t”] under which the application</w:t>
      </w:r>
      <w:r>
        <w:rPr>
          <w:rFonts w:ascii="Times New Roman" w:hAnsi="Times New Roman" w:cs="Times New Roman"/>
          <w:sz w:val="24"/>
          <w:szCs w:val="24"/>
        </w:rPr>
        <w:t xml:space="preserve"> was filed is </w:t>
      </w:r>
      <w:r w:rsidR="0061068D">
        <w:rPr>
          <w:rFonts w:ascii="Times New Roman" w:hAnsi="Times New Roman" w:cs="Times New Roman"/>
          <w:sz w:val="24"/>
          <w:szCs w:val="24"/>
        </w:rPr>
        <w:t>relevant</w:t>
      </w:r>
      <w:r>
        <w:rPr>
          <w:rFonts w:ascii="Times New Roman" w:hAnsi="Times New Roman" w:cs="Times New Roman"/>
          <w:sz w:val="24"/>
          <w:szCs w:val="24"/>
        </w:rPr>
        <w:t>. It prohibits persons from suing a company which the court is winding up. It directs a person who wants to sue such a company to seek and obtain leave of the court to do so. It reads:</w:t>
      </w:r>
    </w:p>
    <w:p w:rsidR="00DD35C2" w:rsidRDefault="00DD35C2" w:rsidP="00DD35C2">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“In a winding up by the court-</w:t>
      </w:r>
    </w:p>
    <w:p w:rsidR="00DD35C2" w:rsidRDefault="00DD35C2" w:rsidP="00DD35C2">
      <w:pPr>
        <w:spacing w:after="0" w:line="240" w:lineRule="auto"/>
        <w:jc w:val="both"/>
        <w:rPr>
          <w:rFonts w:ascii="Times New Roman" w:hAnsi="Times New Roman" w:cs="Times New Roman"/>
        </w:rPr>
      </w:pPr>
    </w:p>
    <w:p w:rsidR="00476D53" w:rsidRDefault="00C24641" w:rsidP="00DD35C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DD35C2">
        <w:rPr>
          <w:rFonts w:ascii="Times New Roman" w:hAnsi="Times New Roman" w:cs="Times New Roman"/>
          <w:sz w:val="24"/>
          <w:szCs w:val="24"/>
        </w:rPr>
        <w:t xml:space="preserve">o </w:t>
      </w:r>
      <w:r>
        <w:rPr>
          <w:rFonts w:ascii="Times New Roman" w:hAnsi="Times New Roman" w:cs="Times New Roman"/>
          <w:sz w:val="24"/>
          <w:szCs w:val="24"/>
        </w:rPr>
        <w:t>action or proceeding</w:t>
      </w:r>
      <w:r w:rsidR="00DD35C2">
        <w:rPr>
          <w:rFonts w:ascii="Times New Roman" w:hAnsi="Times New Roman" w:cs="Times New Roman"/>
          <w:sz w:val="24"/>
          <w:szCs w:val="24"/>
        </w:rPr>
        <w:t xml:space="preserve"> shall be </w:t>
      </w:r>
      <w:r w:rsidR="00B9365D">
        <w:rPr>
          <w:rFonts w:ascii="Times New Roman" w:hAnsi="Times New Roman" w:cs="Times New Roman"/>
          <w:sz w:val="24"/>
          <w:szCs w:val="24"/>
        </w:rPr>
        <w:t xml:space="preserve">proceeded with or commenced </w:t>
      </w:r>
      <w:r w:rsidR="00DD35C2">
        <w:rPr>
          <w:rFonts w:ascii="Times New Roman" w:hAnsi="Times New Roman" w:cs="Times New Roman"/>
          <w:sz w:val="24"/>
          <w:szCs w:val="24"/>
        </w:rPr>
        <w:t xml:space="preserve">against the company </w:t>
      </w:r>
      <w:r w:rsidR="00DD35C2" w:rsidRPr="00C24641">
        <w:rPr>
          <w:rFonts w:ascii="Times New Roman" w:hAnsi="Times New Roman" w:cs="Times New Roman"/>
          <w:sz w:val="24"/>
          <w:szCs w:val="24"/>
          <w:u w:val="single"/>
        </w:rPr>
        <w:t>except by leave of the court</w:t>
      </w:r>
      <w:r w:rsidR="00DD35C2">
        <w:rPr>
          <w:rFonts w:ascii="Times New Roman" w:hAnsi="Times New Roman" w:cs="Times New Roman"/>
          <w:sz w:val="24"/>
          <w:szCs w:val="24"/>
        </w:rPr>
        <w:t xml:space="preserve"> …….</w:t>
      </w:r>
      <w:r w:rsidR="00551028">
        <w:rPr>
          <w:rFonts w:ascii="Times New Roman" w:hAnsi="Times New Roman" w:cs="Times New Roman"/>
          <w:sz w:val="24"/>
          <w:szCs w:val="24"/>
        </w:rPr>
        <w:t>”</w:t>
      </w:r>
      <w:r w:rsidR="00476D53">
        <w:rPr>
          <w:rFonts w:ascii="Times New Roman" w:hAnsi="Times New Roman" w:cs="Times New Roman"/>
          <w:sz w:val="24"/>
          <w:szCs w:val="24"/>
        </w:rPr>
        <w:t>[emphasis added].</w:t>
      </w:r>
    </w:p>
    <w:p w:rsidR="00551028" w:rsidRDefault="00551028" w:rsidP="00551028">
      <w:pPr>
        <w:pStyle w:val="ListParagraph"/>
        <w:spacing w:after="0" w:line="360" w:lineRule="auto"/>
        <w:ind w:left="1800"/>
        <w:jc w:val="both"/>
        <w:rPr>
          <w:rFonts w:ascii="Times New Roman" w:hAnsi="Times New Roman" w:cs="Times New Roman"/>
          <w:sz w:val="24"/>
          <w:szCs w:val="24"/>
        </w:rPr>
      </w:pPr>
    </w:p>
    <w:p w:rsidR="00DD35C2" w:rsidRDefault="004B3AB7" w:rsidP="009D171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f</w:t>
      </w:r>
      <w:r w:rsidR="00476D53">
        <w:rPr>
          <w:rFonts w:ascii="Times New Roman" w:hAnsi="Times New Roman" w:cs="Times New Roman"/>
          <w:sz w:val="24"/>
          <w:szCs w:val="24"/>
        </w:rPr>
        <w:t>ollows, from the foregoing, that a company which is under</w:t>
      </w:r>
      <w:r w:rsidR="00DD35C2" w:rsidRPr="00DD35C2">
        <w:rPr>
          <w:rFonts w:ascii="Times New Roman" w:hAnsi="Times New Roman" w:cs="Times New Roman"/>
          <w:sz w:val="24"/>
          <w:szCs w:val="24"/>
        </w:rPr>
        <w:t xml:space="preserve"> </w:t>
      </w:r>
      <w:r w:rsidR="009D171F">
        <w:rPr>
          <w:rFonts w:ascii="Times New Roman" w:hAnsi="Times New Roman" w:cs="Times New Roman"/>
          <w:sz w:val="24"/>
          <w:szCs w:val="24"/>
        </w:rPr>
        <w:t xml:space="preserve">liquidation shall not, as a general rule, be sued. The reasons for the stated </w:t>
      </w:r>
      <w:r w:rsidR="00991D9F">
        <w:rPr>
          <w:rFonts w:ascii="Times New Roman" w:hAnsi="Times New Roman" w:cs="Times New Roman"/>
          <w:sz w:val="24"/>
          <w:szCs w:val="24"/>
        </w:rPr>
        <w:t>principle are</w:t>
      </w:r>
      <w:r w:rsidR="00373A82">
        <w:rPr>
          <w:rFonts w:ascii="Times New Roman" w:hAnsi="Times New Roman" w:cs="Times New Roman"/>
          <w:sz w:val="24"/>
          <w:szCs w:val="24"/>
        </w:rPr>
        <w:t xml:space="preserve"> obvious.</w:t>
      </w:r>
      <w:r w:rsidR="00991D9F">
        <w:rPr>
          <w:rFonts w:ascii="Times New Roman" w:hAnsi="Times New Roman" w:cs="Times New Roman"/>
          <w:sz w:val="24"/>
          <w:szCs w:val="24"/>
        </w:rPr>
        <w:t xml:space="preserve"> </w:t>
      </w:r>
      <w:r w:rsidR="00373A82">
        <w:rPr>
          <w:rFonts w:ascii="Times New Roman" w:hAnsi="Times New Roman" w:cs="Times New Roman"/>
          <w:sz w:val="24"/>
          <w:szCs w:val="24"/>
        </w:rPr>
        <w:t>C</w:t>
      </w:r>
      <w:r w:rsidR="00991D9F">
        <w:rPr>
          <w:rFonts w:ascii="Times New Roman" w:hAnsi="Times New Roman" w:cs="Times New Roman"/>
          <w:sz w:val="24"/>
          <w:szCs w:val="24"/>
        </w:rPr>
        <w:t xml:space="preserve">hief amongst them is that </w:t>
      </w:r>
      <w:r w:rsidR="00A87091">
        <w:rPr>
          <w:rFonts w:ascii="Times New Roman" w:hAnsi="Times New Roman" w:cs="Times New Roman"/>
          <w:sz w:val="24"/>
          <w:szCs w:val="24"/>
        </w:rPr>
        <w:t>a</w:t>
      </w:r>
      <w:r w:rsidR="009D171F">
        <w:rPr>
          <w:rFonts w:ascii="Times New Roman" w:hAnsi="Times New Roman" w:cs="Times New Roman"/>
          <w:sz w:val="24"/>
          <w:szCs w:val="24"/>
        </w:rPr>
        <w:t xml:space="preserve"> creditor is prohibited from taking an unfair advantage of having his claim satisfied to the exclusion of other creditors of the company. The </w:t>
      </w:r>
      <w:r w:rsidR="003532C2">
        <w:rPr>
          <w:rFonts w:ascii="Times New Roman" w:hAnsi="Times New Roman" w:cs="Times New Roman"/>
          <w:sz w:val="24"/>
          <w:szCs w:val="24"/>
        </w:rPr>
        <w:t>principle</w:t>
      </w:r>
      <w:r w:rsidR="009D171F">
        <w:rPr>
          <w:rFonts w:ascii="Times New Roman" w:hAnsi="Times New Roman" w:cs="Times New Roman"/>
          <w:sz w:val="24"/>
          <w:szCs w:val="24"/>
        </w:rPr>
        <w:t xml:space="preserve"> </w:t>
      </w:r>
      <w:r w:rsidR="000A7D94">
        <w:rPr>
          <w:rFonts w:ascii="Times New Roman" w:hAnsi="Times New Roman" w:cs="Times New Roman"/>
          <w:sz w:val="24"/>
          <w:szCs w:val="24"/>
        </w:rPr>
        <w:t>is</w:t>
      </w:r>
      <w:r w:rsidR="009D171F">
        <w:rPr>
          <w:rFonts w:ascii="Times New Roman" w:hAnsi="Times New Roman" w:cs="Times New Roman"/>
          <w:sz w:val="24"/>
          <w:szCs w:val="24"/>
        </w:rPr>
        <w:t xml:space="preserve"> fair, simple and straightforward. Its aim and object are to benefit all creditors of the company which the court is winding up</w:t>
      </w:r>
      <w:r w:rsidR="00F43B87">
        <w:rPr>
          <w:rFonts w:ascii="Times New Roman" w:hAnsi="Times New Roman" w:cs="Times New Roman"/>
          <w:sz w:val="24"/>
          <w:szCs w:val="24"/>
        </w:rPr>
        <w:t>.</w:t>
      </w:r>
    </w:p>
    <w:p w:rsidR="00F43B87" w:rsidRDefault="00F43B87" w:rsidP="009D171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 person who seeks leave to sue falls into the </w:t>
      </w:r>
      <w:r w:rsidR="008B665B">
        <w:rPr>
          <w:rFonts w:ascii="Times New Roman" w:hAnsi="Times New Roman" w:cs="Times New Roman"/>
          <w:sz w:val="24"/>
          <w:szCs w:val="24"/>
        </w:rPr>
        <w:t>exception</w:t>
      </w:r>
      <w:r>
        <w:rPr>
          <w:rFonts w:ascii="Times New Roman" w:hAnsi="Times New Roman" w:cs="Times New Roman"/>
          <w:sz w:val="24"/>
          <w:szCs w:val="24"/>
        </w:rPr>
        <w:t xml:space="preserve"> of the </w:t>
      </w:r>
      <w:r w:rsidR="003532C2">
        <w:rPr>
          <w:rFonts w:ascii="Times New Roman" w:hAnsi="Times New Roman" w:cs="Times New Roman"/>
          <w:sz w:val="24"/>
          <w:szCs w:val="24"/>
        </w:rPr>
        <w:t>principle</w:t>
      </w:r>
      <w:r>
        <w:rPr>
          <w:rFonts w:ascii="Times New Roman" w:hAnsi="Times New Roman" w:cs="Times New Roman"/>
          <w:sz w:val="24"/>
          <w:szCs w:val="24"/>
        </w:rPr>
        <w:t>. He must persuade the court to exercis</w:t>
      </w:r>
      <w:r w:rsidR="003937B5">
        <w:rPr>
          <w:rFonts w:ascii="Times New Roman" w:hAnsi="Times New Roman" w:cs="Times New Roman"/>
          <w:sz w:val="24"/>
          <w:szCs w:val="24"/>
        </w:rPr>
        <w:t>e the discretion which is stated</w:t>
      </w:r>
      <w:r>
        <w:rPr>
          <w:rFonts w:ascii="Times New Roman" w:hAnsi="Times New Roman" w:cs="Times New Roman"/>
          <w:sz w:val="24"/>
          <w:szCs w:val="24"/>
        </w:rPr>
        <w:t xml:space="preserve"> in the section in his favour. He should advance clear an</w:t>
      </w:r>
      <w:r w:rsidR="00D01190">
        <w:rPr>
          <w:rFonts w:ascii="Times New Roman" w:hAnsi="Times New Roman" w:cs="Times New Roman"/>
          <w:sz w:val="24"/>
          <w:szCs w:val="24"/>
        </w:rPr>
        <w:t>d cogent reasons which justify</w:t>
      </w:r>
      <w:r>
        <w:rPr>
          <w:rFonts w:ascii="Times New Roman" w:hAnsi="Times New Roman" w:cs="Times New Roman"/>
          <w:sz w:val="24"/>
          <w:szCs w:val="24"/>
        </w:rPr>
        <w:t xml:space="preserve"> the granting of the application</w:t>
      </w:r>
      <w:r w:rsidR="00D01190">
        <w:rPr>
          <w:rFonts w:ascii="Times New Roman" w:hAnsi="Times New Roman" w:cs="Times New Roman"/>
          <w:sz w:val="24"/>
          <w:szCs w:val="24"/>
        </w:rPr>
        <w:t xml:space="preserve"> for leave to sue</w:t>
      </w:r>
      <w:r w:rsidR="00AF6422">
        <w:rPr>
          <w:rFonts w:ascii="Times New Roman" w:hAnsi="Times New Roman" w:cs="Times New Roman"/>
          <w:sz w:val="24"/>
          <w:szCs w:val="24"/>
        </w:rPr>
        <w:t>.</w:t>
      </w:r>
      <w:r w:rsidR="00792F4F">
        <w:rPr>
          <w:rFonts w:ascii="Times New Roman" w:hAnsi="Times New Roman" w:cs="Times New Roman"/>
          <w:sz w:val="24"/>
          <w:szCs w:val="24"/>
        </w:rPr>
        <w:t xml:space="preserve"> He must show a clearly defined cause of action upon which he bases his intention to sue. He should, in other words, satisfy the court that a refusal of the application would visit him with serious injustice.</w:t>
      </w:r>
    </w:p>
    <w:p w:rsidR="00AF6422" w:rsidRDefault="00AF6422" w:rsidP="009D171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converse of the above stated matter holds true. An application which is frivolous and vexatious will not see the light of day. Equally, an application which does not have a clearly defined cause of action cannot succeed. The court will not, in other words, regard a matter which is vague and embarrassing to enjoy the </w:t>
      </w:r>
      <w:r w:rsidR="00E93851">
        <w:rPr>
          <w:rFonts w:ascii="Times New Roman" w:hAnsi="Times New Roman" w:cs="Times New Roman"/>
          <w:sz w:val="24"/>
          <w:szCs w:val="24"/>
        </w:rPr>
        <w:t xml:space="preserve">privilege of the exception which is stated in s 213 (a) of the Act. It will not </w:t>
      </w:r>
      <w:r w:rsidR="00792F4F">
        <w:rPr>
          <w:rFonts w:ascii="Times New Roman" w:hAnsi="Times New Roman" w:cs="Times New Roman"/>
          <w:sz w:val="24"/>
          <w:szCs w:val="24"/>
        </w:rPr>
        <w:t xml:space="preserve">do so </w:t>
      </w:r>
      <w:r w:rsidR="00E93851">
        <w:rPr>
          <w:rFonts w:ascii="Times New Roman" w:hAnsi="Times New Roman" w:cs="Times New Roman"/>
          <w:sz w:val="24"/>
          <w:szCs w:val="24"/>
        </w:rPr>
        <w:t xml:space="preserve">because litigation is serious business. It is not anchored upon chance. It rests upon firm principles which define an applicant’s or a </w:t>
      </w:r>
      <w:r w:rsidR="00E93851">
        <w:rPr>
          <w:rFonts w:ascii="Times New Roman" w:hAnsi="Times New Roman" w:cs="Times New Roman"/>
          <w:sz w:val="24"/>
          <w:szCs w:val="24"/>
        </w:rPr>
        <w:lastRenderedPageBreak/>
        <w:t xml:space="preserve">plaintiff’s unquestionable right to sue. Where such is non-existent, </w:t>
      </w:r>
      <w:r w:rsidR="00D01190">
        <w:rPr>
          <w:rFonts w:ascii="Times New Roman" w:hAnsi="Times New Roman" w:cs="Times New Roman"/>
          <w:sz w:val="24"/>
          <w:szCs w:val="24"/>
        </w:rPr>
        <w:t>t</w:t>
      </w:r>
      <w:r w:rsidR="00E93851">
        <w:rPr>
          <w:rFonts w:ascii="Times New Roman" w:hAnsi="Times New Roman" w:cs="Times New Roman"/>
          <w:sz w:val="24"/>
          <w:szCs w:val="24"/>
        </w:rPr>
        <w:t xml:space="preserve">he contemplated suit is as good as no </w:t>
      </w:r>
      <w:r w:rsidR="00792F4F">
        <w:rPr>
          <w:rFonts w:ascii="Times New Roman" w:hAnsi="Times New Roman" w:cs="Times New Roman"/>
          <w:sz w:val="24"/>
          <w:szCs w:val="24"/>
        </w:rPr>
        <w:t xml:space="preserve">suit </w:t>
      </w:r>
      <w:r w:rsidR="00E93851">
        <w:rPr>
          <w:rFonts w:ascii="Times New Roman" w:hAnsi="Times New Roman" w:cs="Times New Roman"/>
          <w:sz w:val="24"/>
          <w:szCs w:val="24"/>
        </w:rPr>
        <w:t>at all.</w:t>
      </w:r>
    </w:p>
    <w:p w:rsidR="00535AD8" w:rsidRDefault="00535AD8" w:rsidP="009D171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cited a number of case authorities which, in his view, support his application. These comprised </w:t>
      </w:r>
      <w:r w:rsidRPr="00535AD8">
        <w:rPr>
          <w:rFonts w:ascii="Times New Roman" w:hAnsi="Times New Roman" w:cs="Times New Roman"/>
          <w:i/>
          <w:sz w:val="24"/>
          <w:szCs w:val="24"/>
        </w:rPr>
        <w:t xml:space="preserve">Swaby </w:t>
      </w:r>
      <w:r>
        <w:rPr>
          <w:rFonts w:ascii="Times New Roman" w:hAnsi="Times New Roman" w:cs="Times New Roman"/>
          <w:sz w:val="24"/>
          <w:szCs w:val="24"/>
        </w:rPr>
        <w:t xml:space="preserve">v </w:t>
      </w:r>
      <w:r w:rsidRPr="00535AD8">
        <w:rPr>
          <w:rFonts w:ascii="Times New Roman" w:hAnsi="Times New Roman" w:cs="Times New Roman"/>
          <w:i/>
          <w:sz w:val="24"/>
          <w:szCs w:val="24"/>
        </w:rPr>
        <w:t>Lift Capital Partners Pty Ltd</w:t>
      </w:r>
      <w:r w:rsidR="00515BAE">
        <w:rPr>
          <w:rFonts w:ascii="Times New Roman" w:hAnsi="Times New Roman" w:cs="Times New Roman"/>
          <w:sz w:val="24"/>
          <w:szCs w:val="24"/>
        </w:rPr>
        <w:t xml:space="preserve"> [2009</w:t>
      </w:r>
      <w:r>
        <w:rPr>
          <w:rFonts w:ascii="Times New Roman" w:hAnsi="Times New Roman" w:cs="Times New Roman"/>
          <w:sz w:val="24"/>
          <w:szCs w:val="24"/>
        </w:rPr>
        <w:t xml:space="preserve">] FCA 749; </w:t>
      </w:r>
      <w:r w:rsidRPr="00535AD8">
        <w:rPr>
          <w:rFonts w:ascii="Times New Roman" w:hAnsi="Times New Roman" w:cs="Times New Roman"/>
          <w:i/>
          <w:sz w:val="24"/>
          <w:szCs w:val="24"/>
        </w:rPr>
        <w:t>Cassegrain</w:t>
      </w:r>
      <w:r>
        <w:rPr>
          <w:rFonts w:ascii="Times New Roman" w:hAnsi="Times New Roman" w:cs="Times New Roman"/>
          <w:sz w:val="24"/>
          <w:szCs w:val="24"/>
        </w:rPr>
        <w:t xml:space="preserve"> v </w:t>
      </w:r>
      <w:r w:rsidRPr="00535AD8">
        <w:rPr>
          <w:rFonts w:ascii="Times New Roman" w:hAnsi="Times New Roman" w:cs="Times New Roman"/>
          <w:i/>
          <w:sz w:val="24"/>
          <w:szCs w:val="24"/>
        </w:rPr>
        <w:t>Gerarad Cassegrain &amp; Co Pty Ltd [in liquidation]</w:t>
      </w:r>
      <w:r>
        <w:rPr>
          <w:rFonts w:ascii="Times New Roman" w:hAnsi="Times New Roman" w:cs="Times New Roman"/>
          <w:sz w:val="24"/>
          <w:szCs w:val="24"/>
        </w:rPr>
        <w:t xml:space="preserve"> (2012) NSWCA 435 and </w:t>
      </w:r>
      <w:r w:rsidRPr="00515BAE">
        <w:rPr>
          <w:rFonts w:ascii="Times New Roman" w:hAnsi="Times New Roman" w:cs="Times New Roman"/>
          <w:i/>
          <w:sz w:val="24"/>
          <w:szCs w:val="24"/>
        </w:rPr>
        <w:t>Ri</w:t>
      </w:r>
      <w:r w:rsidR="00515BAE" w:rsidRPr="00515BAE">
        <w:rPr>
          <w:rFonts w:ascii="Times New Roman" w:hAnsi="Times New Roman" w:cs="Times New Roman"/>
          <w:i/>
          <w:sz w:val="24"/>
          <w:szCs w:val="24"/>
        </w:rPr>
        <w:t>dgeal Artist Management Pty Ltd [</w:t>
      </w:r>
      <w:r w:rsidRPr="00515BAE">
        <w:rPr>
          <w:rFonts w:ascii="Times New Roman" w:hAnsi="Times New Roman" w:cs="Times New Roman"/>
          <w:i/>
          <w:sz w:val="24"/>
          <w:szCs w:val="24"/>
        </w:rPr>
        <w:t>in liquidation</w:t>
      </w:r>
      <w:r w:rsidR="00515BAE" w:rsidRPr="00515BAE">
        <w:rPr>
          <w:rFonts w:ascii="Times New Roman" w:hAnsi="Times New Roman" w:cs="Times New Roman"/>
          <w:i/>
          <w:sz w:val="24"/>
          <w:szCs w:val="24"/>
        </w:rPr>
        <w:t>]</w:t>
      </w:r>
      <w:r w:rsidR="00515BAE">
        <w:rPr>
          <w:rFonts w:ascii="Times New Roman" w:hAnsi="Times New Roman" w:cs="Times New Roman"/>
          <w:sz w:val="24"/>
          <w:szCs w:val="24"/>
        </w:rPr>
        <w:t xml:space="preserve"> (2015) NSWC 936.</w:t>
      </w:r>
    </w:p>
    <w:p w:rsidR="00554FA8" w:rsidRDefault="00554FA8" w:rsidP="009D171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Whilst the cited cases remained of persuasive value on account of the fact that they do not originate from this jurisdictions, a common thread which runs through them is</w:t>
      </w:r>
      <w:r w:rsidR="00457DCD">
        <w:rPr>
          <w:rFonts w:ascii="Times New Roman" w:hAnsi="Times New Roman" w:cs="Times New Roman"/>
          <w:sz w:val="24"/>
          <w:szCs w:val="24"/>
        </w:rPr>
        <w:t xml:space="preserve"> discernable. The </w:t>
      </w:r>
      <w:r w:rsidR="003D7C2A">
        <w:rPr>
          <w:rFonts w:ascii="Times New Roman" w:hAnsi="Times New Roman" w:cs="Times New Roman"/>
          <w:sz w:val="24"/>
          <w:szCs w:val="24"/>
        </w:rPr>
        <w:t>thread offers a very good</w:t>
      </w:r>
      <w:r w:rsidR="00457DCD">
        <w:rPr>
          <w:rFonts w:ascii="Times New Roman" w:hAnsi="Times New Roman" w:cs="Times New Roman"/>
          <w:sz w:val="24"/>
          <w:szCs w:val="24"/>
        </w:rPr>
        <w:t xml:space="preserve"> guide to the determination of this application. Two of the three cited cases stressed, among other matters</w:t>
      </w:r>
      <w:r w:rsidR="00D01190">
        <w:rPr>
          <w:rFonts w:ascii="Times New Roman" w:hAnsi="Times New Roman" w:cs="Times New Roman"/>
          <w:sz w:val="24"/>
          <w:szCs w:val="24"/>
        </w:rPr>
        <w:t>,</w:t>
      </w:r>
      <w:r w:rsidR="00457DCD">
        <w:rPr>
          <w:rFonts w:ascii="Times New Roman" w:hAnsi="Times New Roman" w:cs="Times New Roman"/>
          <w:sz w:val="24"/>
          <w:szCs w:val="24"/>
        </w:rPr>
        <w:t xml:space="preserve"> the following as issues which the court dealing with an application of the present nature should pay due regard to:</w:t>
      </w:r>
    </w:p>
    <w:p w:rsidR="00457DCD" w:rsidRDefault="00457DCD" w:rsidP="00457DC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amount and seriousness of the claim</w:t>
      </w:r>
      <w:r w:rsidR="00D01190">
        <w:rPr>
          <w:rFonts w:ascii="Times New Roman" w:hAnsi="Times New Roman" w:cs="Times New Roman"/>
          <w:sz w:val="24"/>
          <w:szCs w:val="24"/>
        </w:rPr>
        <w:t>;</w:t>
      </w:r>
    </w:p>
    <w:p w:rsidR="00457DCD" w:rsidRDefault="00457DCD" w:rsidP="00457DC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w:t>
      </w:r>
      <w:r w:rsidR="00D01190">
        <w:rPr>
          <w:rFonts w:ascii="Times New Roman" w:hAnsi="Times New Roman" w:cs="Times New Roman"/>
          <w:sz w:val="24"/>
          <w:szCs w:val="24"/>
        </w:rPr>
        <w:t xml:space="preserve">er the claim has arguable merit- </w:t>
      </w:r>
      <w:r>
        <w:rPr>
          <w:rFonts w:ascii="Times New Roman" w:hAnsi="Times New Roman" w:cs="Times New Roman"/>
          <w:sz w:val="24"/>
          <w:szCs w:val="24"/>
        </w:rPr>
        <w:t>and</w:t>
      </w:r>
    </w:p>
    <w:p w:rsidR="00457DCD" w:rsidRDefault="00457DCD" w:rsidP="00457DC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proceedings will result in prejudice to the creditors.</w:t>
      </w:r>
    </w:p>
    <w:p w:rsidR="00C974FD" w:rsidRDefault="00C974FD" w:rsidP="00C974FD">
      <w:pPr>
        <w:pStyle w:val="ListParagraph"/>
        <w:spacing w:after="0" w:line="360" w:lineRule="auto"/>
        <w:jc w:val="both"/>
        <w:rPr>
          <w:rFonts w:ascii="Times New Roman" w:hAnsi="Times New Roman" w:cs="Times New Roman"/>
          <w:sz w:val="24"/>
          <w:szCs w:val="24"/>
        </w:rPr>
      </w:pPr>
    </w:p>
    <w:p w:rsidR="00C974FD" w:rsidRDefault="00C974FD" w:rsidP="00EC1D8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intends to sue and claim from the respondent damages in the sum of $569 881.61. </w:t>
      </w:r>
      <w:r w:rsidR="00EC1D8E">
        <w:rPr>
          <w:rFonts w:ascii="Times New Roman" w:hAnsi="Times New Roman" w:cs="Times New Roman"/>
          <w:sz w:val="24"/>
          <w:szCs w:val="24"/>
        </w:rPr>
        <w:t>That</w:t>
      </w:r>
      <w:r>
        <w:rPr>
          <w:rFonts w:ascii="Times New Roman" w:hAnsi="Times New Roman" w:cs="Times New Roman"/>
          <w:sz w:val="24"/>
          <w:szCs w:val="24"/>
        </w:rPr>
        <w:t xml:space="preserve">, on the face of it, appears to be a fairly huge claim which justifies the suit. His </w:t>
      </w:r>
      <w:r w:rsidR="00EC1D8E">
        <w:rPr>
          <w:rFonts w:ascii="Times New Roman" w:hAnsi="Times New Roman" w:cs="Times New Roman"/>
          <w:sz w:val="24"/>
          <w:szCs w:val="24"/>
        </w:rPr>
        <w:t>computation</w:t>
      </w:r>
      <w:r>
        <w:rPr>
          <w:rFonts w:ascii="Times New Roman" w:hAnsi="Times New Roman" w:cs="Times New Roman"/>
          <w:sz w:val="24"/>
          <w:szCs w:val="24"/>
        </w:rPr>
        <w:t xml:space="preserve"> of the alleged damages, however, remains </w:t>
      </w:r>
      <w:r w:rsidR="00D01190">
        <w:rPr>
          <w:rFonts w:ascii="Times New Roman" w:hAnsi="Times New Roman" w:cs="Times New Roman"/>
          <w:sz w:val="24"/>
          <w:szCs w:val="24"/>
        </w:rPr>
        <w:t>unclear</w:t>
      </w:r>
      <w:r>
        <w:rPr>
          <w:rFonts w:ascii="Times New Roman" w:hAnsi="Times New Roman" w:cs="Times New Roman"/>
          <w:sz w:val="24"/>
          <w:szCs w:val="24"/>
        </w:rPr>
        <w:t>. The figure appears to have been plucked from thin air, as it were</w:t>
      </w:r>
      <w:r w:rsidR="00EC1D8E">
        <w:rPr>
          <w:rFonts w:ascii="Times New Roman" w:hAnsi="Times New Roman" w:cs="Times New Roman"/>
          <w:sz w:val="24"/>
          <w:szCs w:val="24"/>
        </w:rPr>
        <w:t xml:space="preserve">. It is mentioned nowhere else </w:t>
      </w:r>
      <w:r w:rsidR="00792F4F">
        <w:rPr>
          <w:rFonts w:ascii="Times New Roman" w:hAnsi="Times New Roman" w:cs="Times New Roman"/>
          <w:sz w:val="24"/>
          <w:szCs w:val="24"/>
        </w:rPr>
        <w:t>except</w:t>
      </w:r>
      <w:r w:rsidR="00EC1D8E">
        <w:rPr>
          <w:rFonts w:ascii="Times New Roman" w:hAnsi="Times New Roman" w:cs="Times New Roman"/>
          <w:sz w:val="24"/>
          <w:szCs w:val="24"/>
        </w:rPr>
        <w:t xml:space="preserve"> in para 18 of the founding affidavit.</w:t>
      </w:r>
    </w:p>
    <w:p w:rsidR="00887C74" w:rsidRDefault="00D01190" w:rsidP="0088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1D8E">
        <w:rPr>
          <w:rFonts w:ascii="Times New Roman" w:hAnsi="Times New Roman" w:cs="Times New Roman"/>
          <w:sz w:val="24"/>
          <w:szCs w:val="24"/>
        </w:rPr>
        <w:t>I am not an ardent student of mathematics. However, even with my rudimentary understanding of the subject, I failed to see how the stated sum which he wants</w:t>
      </w:r>
      <w:r w:rsidR="008D663B">
        <w:rPr>
          <w:rFonts w:ascii="Times New Roman" w:hAnsi="Times New Roman" w:cs="Times New Roman"/>
          <w:sz w:val="24"/>
          <w:szCs w:val="24"/>
        </w:rPr>
        <w:t xml:space="preserve"> </w:t>
      </w:r>
      <w:r w:rsidR="00887C74">
        <w:rPr>
          <w:rFonts w:ascii="Times New Roman" w:hAnsi="Times New Roman" w:cs="Times New Roman"/>
          <w:sz w:val="24"/>
          <w:szCs w:val="24"/>
        </w:rPr>
        <w:t>to claim was arrived at. He should have added more flesh to the bones</w:t>
      </w:r>
      <w:r w:rsidR="00DB5AA5">
        <w:rPr>
          <w:rFonts w:ascii="Times New Roman" w:hAnsi="Times New Roman" w:cs="Times New Roman"/>
          <w:sz w:val="24"/>
          <w:szCs w:val="24"/>
        </w:rPr>
        <w:t xml:space="preserve"> which he placed before me</w:t>
      </w:r>
      <w:r w:rsidR="00887C74">
        <w:rPr>
          <w:rFonts w:ascii="Times New Roman" w:hAnsi="Times New Roman" w:cs="Times New Roman"/>
          <w:sz w:val="24"/>
          <w:szCs w:val="24"/>
        </w:rPr>
        <w:t xml:space="preserve"> to enable me to have an idea of where he was coming from as well as where he was leading to.</w:t>
      </w:r>
    </w:p>
    <w:p w:rsidR="00887C74" w:rsidRDefault="00887C74" w:rsidP="0088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made a number of statements which he hoped would convince me of the effort he made to either pay off the debts he owed to the respondent or to have the latter </w:t>
      </w:r>
      <w:r w:rsidR="00D01190">
        <w:rPr>
          <w:rFonts w:ascii="Times New Roman" w:hAnsi="Times New Roman" w:cs="Times New Roman"/>
          <w:sz w:val="24"/>
          <w:szCs w:val="24"/>
        </w:rPr>
        <w:t>release</w:t>
      </w:r>
      <w:r>
        <w:rPr>
          <w:rFonts w:ascii="Times New Roman" w:hAnsi="Times New Roman" w:cs="Times New Roman"/>
          <w:sz w:val="24"/>
          <w:szCs w:val="24"/>
        </w:rPr>
        <w:t xml:space="preserve"> the title deed of his house to him. Unfortunately for him, however, those statements remained in the realms of allegations which he did not substantiate. He, for the avoidance of doubt, stated as follows: </w:t>
      </w:r>
    </w:p>
    <w:p w:rsidR="00887C74" w:rsidRDefault="00DB5AA5" w:rsidP="00887C7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887C74">
        <w:rPr>
          <w:rFonts w:ascii="Times New Roman" w:hAnsi="Times New Roman" w:cs="Times New Roman"/>
          <w:sz w:val="24"/>
          <w:szCs w:val="24"/>
        </w:rPr>
        <w:t>(i)</w:t>
      </w:r>
      <w:r w:rsidR="00887C74">
        <w:rPr>
          <w:rFonts w:ascii="Times New Roman" w:hAnsi="Times New Roman" w:cs="Times New Roman"/>
          <w:sz w:val="24"/>
          <w:szCs w:val="24"/>
        </w:rPr>
        <w:tab/>
      </w:r>
      <w:r w:rsidR="00887C74" w:rsidRPr="0030791C">
        <w:rPr>
          <w:rFonts w:ascii="Times New Roman" w:hAnsi="Times New Roman" w:cs="Times New Roman"/>
          <w:sz w:val="24"/>
          <w:szCs w:val="24"/>
          <w:u w:val="single"/>
        </w:rPr>
        <w:t xml:space="preserve">the respondent advised </w:t>
      </w:r>
      <w:r>
        <w:rPr>
          <w:rFonts w:ascii="Times New Roman" w:hAnsi="Times New Roman" w:cs="Times New Roman"/>
          <w:sz w:val="24"/>
          <w:szCs w:val="24"/>
          <w:u w:val="single"/>
        </w:rPr>
        <w:t>me</w:t>
      </w:r>
      <w:r w:rsidR="00887C74" w:rsidRPr="0030791C">
        <w:rPr>
          <w:rFonts w:ascii="Times New Roman" w:hAnsi="Times New Roman" w:cs="Times New Roman"/>
          <w:sz w:val="24"/>
          <w:szCs w:val="24"/>
          <w:u w:val="single"/>
        </w:rPr>
        <w:t xml:space="preserve"> that the amount payable to it</w:t>
      </w:r>
      <w:r w:rsidR="00887C74">
        <w:rPr>
          <w:rFonts w:ascii="Times New Roman" w:hAnsi="Times New Roman" w:cs="Times New Roman"/>
          <w:sz w:val="24"/>
          <w:szCs w:val="24"/>
        </w:rPr>
        <w:t xml:space="preserve"> in satisfaction of the judgments awarded in its favour </w:t>
      </w:r>
      <w:r w:rsidR="00887C74">
        <w:rPr>
          <w:rFonts w:ascii="Times New Roman" w:hAnsi="Times New Roman" w:cs="Times New Roman"/>
          <w:sz w:val="24"/>
          <w:szCs w:val="24"/>
          <w:u w:val="single"/>
        </w:rPr>
        <w:t xml:space="preserve">was $270,000 together </w:t>
      </w:r>
      <w:r w:rsidR="00887C74">
        <w:rPr>
          <w:rFonts w:ascii="Times New Roman" w:hAnsi="Times New Roman" w:cs="Times New Roman"/>
          <w:sz w:val="24"/>
          <w:szCs w:val="24"/>
        </w:rPr>
        <w:t xml:space="preserve"> with interest thereon </w:t>
      </w:r>
      <w:r w:rsidR="00D01190">
        <w:rPr>
          <w:rFonts w:ascii="Times New Roman" w:hAnsi="Times New Roman" w:cs="Times New Roman"/>
          <w:sz w:val="24"/>
          <w:szCs w:val="24"/>
        </w:rPr>
        <w:t>at the rate of 38.6% per annum i</w:t>
      </w:r>
      <w:r w:rsidR="00887C74">
        <w:rPr>
          <w:rFonts w:ascii="Times New Roman" w:hAnsi="Times New Roman" w:cs="Times New Roman"/>
          <w:sz w:val="24"/>
          <w:szCs w:val="24"/>
        </w:rPr>
        <w:t xml:space="preserve">f the said amount was not paid by 30 November, 2013 (para 7 p 5 of the founding affidavit). </w:t>
      </w:r>
    </w:p>
    <w:p w:rsidR="00887C74" w:rsidRDefault="00887C74" w:rsidP="00887C74">
      <w:pPr>
        <w:spacing w:after="0" w:line="240" w:lineRule="auto"/>
        <w:ind w:left="1440" w:hanging="720"/>
        <w:jc w:val="both"/>
        <w:rPr>
          <w:rFonts w:ascii="Times New Roman" w:hAnsi="Times New Roman" w:cs="Times New Roman"/>
          <w:sz w:val="24"/>
          <w:szCs w:val="24"/>
        </w:rPr>
      </w:pPr>
    </w:p>
    <w:p w:rsidR="00887C74" w:rsidRDefault="00887C74" w:rsidP="00887C7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(ii)</w:t>
      </w:r>
      <w:r>
        <w:rPr>
          <w:rFonts w:ascii="Times New Roman" w:hAnsi="Times New Roman" w:cs="Times New Roman"/>
          <w:sz w:val="24"/>
          <w:szCs w:val="24"/>
        </w:rPr>
        <w:tab/>
      </w:r>
      <w:r w:rsidR="00DB5AA5">
        <w:rPr>
          <w:rFonts w:ascii="Times New Roman" w:hAnsi="Times New Roman" w:cs="Times New Roman"/>
          <w:sz w:val="24"/>
          <w:szCs w:val="24"/>
          <w:u w:val="single"/>
        </w:rPr>
        <w:t xml:space="preserve">I </w:t>
      </w:r>
      <w:r w:rsidRPr="0030791C">
        <w:rPr>
          <w:rFonts w:ascii="Times New Roman" w:hAnsi="Times New Roman" w:cs="Times New Roman"/>
          <w:sz w:val="24"/>
          <w:szCs w:val="24"/>
          <w:u w:val="single"/>
        </w:rPr>
        <w:t xml:space="preserve">secured a mortgage loan from </w:t>
      </w:r>
      <w:r>
        <w:rPr>
          <w:rFonts w:ascii="Times New Roman" w:hAnsi="Times New Roman" w:cs="Times New Roman"/>
          <w:sz w:val="24"/>
          <w:szCs w:val="24"/>
          <w:u w:val="single"/>
        </w:rPr>
        <w:t>CBZ</w:t>
      </w:r>
      <w:r>
        <w:rPr>
          <w:rFonts w:ascii="Times New Roman" w:hAnsi="Times New Roman" w:cs="Times New Roman"/>
          <w:sz w:val="24"/>
          <w:szCs w:val="24"/>
        </w:rPr>
        <w:t xml:space="preserve"> as a way of meeting </w:t>
      </w:r>
      <w:r w:rsidR="00DB5AA5">
        <w:rPr>
          <w:rFonts w:ascii="Times New Roman" w:hAnsi="Times New Roman" w:cs="Times New Roman"/>
          <w:sz w:val="24"/>
          <w:szCs w:val="24"/>
        </w:rPr>
        <w:t>my</w:t>
      </w:r>
      <w:r>
        <w:rPr>
          <w:rFonts w:ascii="Times New Roman" w:hAnsi="Times New Roman" w:cs="Times New Roman"/>
          <w:sz w:val="24"/>
          <w:szCs w:val="24"/>
        </w:rPr>
        <w:t xml:space="preserve"> guarantee commitment (para 8 p 5).</w:t>
      </w:r>
    </w:p>
    <w:p w:rsidR="00887C74" w:rsidRDefault="00887C74" w:rsidP="00887C74">
      <w:pPr>
        <w:spacing w:after="0" w:line="240" w:lineRule="auto"/>
        <w:ind w:left="1440" w:hanging="720"/>
        <w:jc w:val="both"/>
        <w:rPr>
          <w:rFonts w:ascii="Times New Roman" w:hAnsi="Times New Roman" w:cs="Times New Roman"/>
          <w:sz w:val="24"/>
          <w:szCs w:val="24"/>
        </w:rPr>
      </w:pPr>
    </w:p>
    <w:p w:rsidR="00887C74" w:rsidRDefault="00887C74" w:rsidP="00887C7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on 3 December 2015 </w:t>
      </w:r>
      <w:r w:rsidR="00DB5AA5">
        <w:rPr>
          <w:rFonts w:ascii="Times New Roman" w:hAnsi="Times New Roman" w:cs="Times New Roman"/>
          <w:sz w:val="24"/>
          <w:szCs w:val="24"/>
          <w:u w:val="single"/>
        </w:rPr>
        <w:t xml:space="preserve">I </w:t>
      </w:r>
      <w:r>
        <w:rPr>
          <w:rFonts w:ascii="Times New Roman" w:hAnsi="Times New Roman" w:cs="Times New Roman"/>
          <w:sz w:val="24"/>
          <w:szCs w:val="24"/>
          <w:u w:val="single"/>
        </w:rPr>
        <w:t xml:space="preserve">accepted the respondent’s cancellation conditions and tendered payment of </w:t>
      </w:r>
      <w:r w:rsidRPr="0030791C">
        <w:rPr>
          <w:rFonts w:ascii="Times New Roman" w:hAnsi="Times New Roman" w:cs="Times New Roman"/>
          <w:sz w:val="24"/>
          <w:szCs w:val="24"/>
        </w:rPr>
        <w:t xml:space="preserve">the </w:t>
      </w:r>
      <w:r>
        <w:rPr>
          <w:rFonts w:ascii="Times New Roman" w:hAnsi="Times New Roman" w:cs="Times New Roman"/>
          <w:sz w:val="24"/>
          <w:szCs w:val="24"/>
        </w:rPr>
        <w:t>sum of $270 000 together with interest thereon at the rate of 38.6% per annum (para 9 p 5).</w:t>
      </w:r>
    </w:p>
    <w:p w:rsidR="00887C74" w:rsidRDefault="00887C74" w:rsidP="00887C74">
      <w:pPr>
        <w:spacing w:after="0" w:line="240" w:lineRule="auto"/>
        <w:ind w:left="1440" w:hanging="720"/>
        <w:jc w:val="both"/>
        <w:rPr>
          <w:rFonts w:ascii="Times New Roman" w:hAnsi="Times New Roman" w:cs="Times New Roman"/>
          <w:sz w:val="24"/>
          <w:szCs w:val="24"/>
        </w:rPr>
      </w:pPr>
    </w:p>
    <w:p w:rsidR="00887C74" w:rsidRDefault="00887C74" w:rsidP="00887C74">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DB5AA5">
        <w:rPr>
          <w:rFonts w:ascii="Times New Roman" w:hAnsi="Times New Roman" w:cs="Times New Roman"/>
          <w:sz w:val="24"/>
          <w:szCs w:val="24"/>
          <w:u w:val="single"/>
        </w:rPr>
        <w:t xml:space="preserve">I </w:t>
      </w:r>
      <w:r>
        <w:rPr>
          <w:rFonts w:ascii="Times New Roman" w:hAnsi="Times New Roman" w:cs="Times New Roman"/>
          <w:sz w:val="24"/>
          <w:szCs w:val="24"/>
          <w:u w:val="single"/>
        </w:rPr>
        <w:t>secured a written offer from</w:t>
      </w:r>
      <w:r>
        <w:rPr>
          <w:rFonts w:ascii="Times New Roman" w:hAnsi="Times New Roman" w:cs="Times New Roman"/>
          <w:sz w:val="24"/>
          <w:szCs w:val="24"/>
        </w:rPr>
        <w:t xml:space="preserve"> a purchaser who wanted to purchase his property at $1100 000 (para 14 p 6).</w:t>
      </w:r>
      <w:r w:rsidR="00DB5AA5">
        <w:rPr>
          <w:rFonts w:ascii="Times New Roman" w:hAnsi="Times New Roman" w:cs="Times New Roman"/>
          <w:sz w:val="24"/>
          <w:szCs w:val="24"/>
        </w:rPr>
        <w:t>”</w:t>
      </w:r>
      <w:r>
        <w:rPr>
          <w:rFonts w:ascii="Times New Roman" w:hAnsi="Times New Roman" w:cs="Times New Roman"/>
          <w:sz w:val="24"/>
          <w:szCs w:val="24"/>
        </w:rPr>
        <w:t xml:space="preserve"> </w:t>
      </w:r>
    </w:p>
    <w:p w:rsidR="00887C74" w:rsidRDefault="00887C74" w:rsidP="00887C74">
      <w:pPr>
        <w:spacing w:after="0" w:line="240" w:lineRule="auto"/>
        <w:ind w:left="1440" w:hanging="720"/>
        <w:jc w:val="both"/>
        <w:rPr>
          <w:rFonts w:ascii="Times New Roman" w:hAnsi="Times New Roman" w:cs="Times New Roman"/>
          <w:sz w:val="24"/>
          <w:szCs w:val="24"/>
        </w:rPr>
      </w:pPr>
    </w:p>
    <w:p w:rsidR="00887C74" w:rsidRDefault="00887C74" w:rsidP="00887C7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applicant produced no evidence which showed that he entered into a compromise </w:t>
      </w:r>
    </w:p>
    <w:p w:rsidR="00887C74" w:rsidRDefault="00887C74" w:rsidP="0088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agreement with the respondent. Issue (i) </w:t>
      </w:r>
      <w:r>
        <w:rPr>
          <w:rFonts w:ascii="Times New Roman" w:hAnsi="Times New Roman" w:cs="Times New Roman"/>
          <w:i/>
          <w:sz w:val="24"/>
          <w:szCs w:val="24"/>
        </w:rPr>
        <w:t>supra</w:t>
      </w:r>
      <w:r>
        <w:rPr>
          <w:rFonts w:ascii="Times New Roman" w:hAnsi="Times New Roman" w:cs="Times New Roman"/>
          <w:sz w:val="24"/>
          <w:szCs w:val="24"/>
        </w:rPr>
        <w:t xml:space="preserve"> is, therefore, without any substantiation. It is, if a comparison </w:t>
      </w:r>
      <w:r w:rsidR="00792F4F">
        <w:rPr>
          <w:rFonts w:ascii="Times New Roman" w:hAnsi="Times New Roman" w:cs="Times New Roman"/>
          <w:sz w:val="24"/>
          <w:szCs w:val="24"/>
        </w:rPr>
        <w:t>may be</w:t>
      </w:r>
      <w:r>
        <w:rPr>
          <w:rFonts w:ascii="Times New Roman" w:hAnsi="Times New Roman" w:cs="Times New Roman"/>
          <w:sz w:val="24"/>
          <w:szCs w:val="24"/>
        </w:rPr>
        <w:t xml:space="preserve"> favoured, left to conjecture. He did not</w:t>
      </w:r>
      <w:r w:rsidR="00D01190">
        <w:rPr>
          <w:rFonts w:ascii="Times New Roman" w:hAnsi="Times New Roman" w:cs="Times New Roman"/>
          <w:sz w:val="24"/>
          <w:szCs w:val="24"/>
        </w:rPr>
        <w:t>,</w:t>
      </w:r>
      <w:r>
        <w:rPr>
          <w:rFonts w:ascii="Times New Roman" w:hAnsi="Times New Roman" w:cs="Times New Roman"/>
          <w:sz w:val="24"/>
          <w:szCs w:val="24"/>
        </w:rPr>
        <w:t xml:space="preserve"> as well, show if he secured a mortgage loan from CBZ to meet his guarantee commitment to the respondent as he alleged. His averments which were to the effect that he accepted the respondent’s cancellation conditions and tendered to pay to it $270 000 is just but a statement. There is no evidence that he acted as he alleges. He claims to have secured a written offer from a person who wanted to purchase his property for $1100 000. He did not attach the alleged written offer. Nor did he explain why such was not made part of his application.</w:t>
      </w:r>
    </w:p>
    <w:p w:rsidR="00887C74" w:rsidRDefault="00887C74" w:rsidP="0088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pertinent for the applicant to realise that the attachment of documentary evidence </w:t>
      </w:r>
      <w:r w:rsidR="00EE5260">
        <w:rPr>
          <w:rFonts w:ascii="Times New Roman" w:hAnsi="Times New Roman" w:cs="Times New Roman"/>
          <w:sz w:val="24"/>
          <w:szCs w:val="24"/>
        </w:rPr>
        <w:t>to</w:t>
      </w:r>
      <w:r>
        <w:rPr>
          <w:rFonts w:ascii="Times New Roman" w:hAnsi="Times New Roman" w:cs="Times New Roman"/>
          <w:sz w:val="24"/>
          <w:szCs w:val="24"/>
        </w:rPr>
        <w:t xml:space="preserve"> each of the abovementioned matters would have rendered his statements more credible than they currently appear. The court would have observed that the respondent and him entered into a compromise agreement from whi</w:t>
      </w:r>
      <w:r w:rsidR="00792F4F">
        <w:rPr>
          <w:rFonts w:ascii="Times New Roman" w:hAnsi="Times New Roman" w:cs="Times New Roman"/>
          <w:sz w:val="24"/>
          <w:szCs w:val="24"/>
        </w:rPr>
        <w:t xml:space="preserve">ch the former could not depart; that </w:t>
      </w:r>
      <w:r>
        <w:rPr>
          <w:rFonts w:ascii="Times New Roman" w:hAnsi="Times New Roman" w:cs="Times New Roman"/>
          <w:sz w:val="24"/>
          <w:szCs w:val="24"/>
        </w:rPr>
        <w:t>he secured a mortgage bond from CBZ as a way of meeting his guarantee commitm</w:t>
      </w:r>
      <w:r w:rsidR="00792F4F">
        <w:rPr>
          <w:rFonts w:ascii="Times New Roman" w:hAnsi="Times New Roman" w:cs="Times New Roman"/>
          <w:sz w:val="24"/>
          <w:szCs w:val="24"/>
        </w:rPr>
        <w:t>ent to the respondent; that</w:t>
      </w:r>
      <w:r>
        <w:rPr>
          <w:rFonts w:ascii="Times New Roman" w:hAnsi="Times New Roman" w:cs="Times New Roman"/>
          <w:sz w:val="24"/>
          <w:szCs w:val="24"/>
        </w:rPr>
        <w:t xml:space="preserve"> he accepted the respondent’s cancellation conditions and tendered payment of $270 000 to the respondent and his efforts to sell his property for $1100 000 did not materialise out of no fault of his own. He would, in other words, have portrayed the respondent as a party which frustrated all his effort to secure the return of his title deed to him. He made very important allegations which he did not substantiate. He, in the process, did more harm to his application than good. </w:t>
      </w:r>
    </w:p>
    <w:p w:rsidR="00887C74" w:rsidRDefault="00887C74" w:rsidP="00887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Paragraph 17 of the applicant’s founding affidavit contains falsehoods more than it reflects the correct position of the matter. He alleges that the respondent did not furnish him with the bond cancellation requirements in respect of the property from 14 January 2014 to October, 2015.</w:t>
      </w:r>
    </w:p>
    <w:p w:rsidR="006A2628" w:rsidRDefault="00887C74" w:rsidP="0088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Annexures A and B which the respondent attached to its opposing affidavit show respectively that the applicant was provided with the bond cancellation requirements on 17 </w:t>
      </w:r>
      <w:r>
        <w:rPr>
          <w:rFonts w:ascii="Times New Roman" w:hAnsi="Times New Roman" w:cs="Times New Roman"/>
          <w:sz w:val="24"/>
          <w:szCs w:val="24"/>
        </w:rPr>
        <w:lastRenderedPageBreak/>
        <w:t xml:space="preserve">February 2015 and also on 27 March, 2015. His averments which are to the effect that the respondent could not cancel the bond without the consent of the cessionary (i.e Stroll Investments (Pvt) Ltd) is completely devoid of merit. It was not for him to have entertained that view. That was not his business. He was not privy to the agreement of cession which the respondent and Stroll Investment (Pvt) Ltd had concluded between them.  He should simply have paid what the respondent demanded of him after which he would have insisted on the cancellation of the mortgage bond. </w:t>
      </w:r>
      <w:r w:rsidR="00792F4F">
        <w:rPr>
          <w:rFonts w:ascii="Times New Roman" w:hAnsi="Times New Roman" w:cs="Times New Roman"/>
          <w:sz w:val="24"/>
          <w:szCs w:val="24"/>
        </w:rPr>
        <w:t xml:space="preserve"> The respondent, in fact, stated in para 4 of Annexure</w:t>
      </w:r>
      <w:r w:rsidR="00BB2231">
        <w:rPr>
          <w:rFonts w:ascii="Times New Roman" w:hAnsi="Times New Roman" w:cs="Times New Roman"/>
          <w:sz w:val="24"/>
          <w:szCs w:val="24"/>
        </w:rPr>
        <w:t xml:space="preserve"> B</w:t>
      </w:r>
      <w:r w:rsidR="005962A3">
        <w:rPr>
          <w:rFonts w:ascii="Times New Roman" w:hAnsi="Times New Roman" w:cs="Times New Roman"/>
          <w:sz w:val="24"/>
          <w:szCs w:val="24"/>
        </w:rPr>
        <w:t xml:space="preserve"> </w:t>
      </w:r>
      <w:r w:rsidR="00792F4F">
        <w:rPr>
          <w:rFonts w:ascii="Times New Roman" w:hAnsi="Times New Roman" w:cs="Times New Roman"/>
          <w:sz w:val="24"/>
          <w:szCs w:val="24"/>
        </w:rPr>
        <w:t xml:space="preserve">that the issue of the cession was not the applicant’s business. It said </w:t>
      </w:r>
      <w:r w:rsidR="005962A3">
        <w:rPr>
          <w:rFonts w:ascii="Times New Roman" w:hAnsi="Times New Roman" w:cs="Times New Roman"/>
          <w:sz w:val="24"/>
          <w:szCs w:val="24"/>
        </w:rPr>
        <w:t xml:space="preserve">it </w:t>
      </w:r>
      <w:r w:rsidR="00792F4F">
        <w:rPr>
          <w:rFonts w:ascii="Times New Roman" w:hAnsi="Times New Roman" w:cs="Times New Roman"/>
          <w:sz w:val="24"/>
          <w:szCs w:val="24"/>
        </w:rPr>
        <w:t>would settle that matter with the cessionary and secured the cancellation of the ceded m</w:t>
      </w:r>
      <w:r w:rsidR="00DB5AA5">
        <w:rPr>
          <w:rFonts w:ascii="Times New Roman" w:hAnsi="Times New Roman" w:cs="Times New Roman"/>
          <w:sz w:val="24"/>
          <w:szCs w:val="24"/>
        </w:rPr>
        <w:t>ortgage</w:t>
      </w:r>
      <w:r w:rsidR="00792F4F">
        <w:rPr>
          <w:rFonts w:ascii="Times New Roman" w:hAnsi="Times New Roman" w:cs="Times New Roman"/>
          <w:sz w:val="24"/>
          <w:szCs w:val="24"/>
        </w:rPr>
        <w:t xml:space="preserve"> bond.</w:t>
      </w:r>
    </w:p>
    <w:p w:rsidR="00887C74" w:rsidRDefault="006A2628" w:rsidP="0088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2F4F">
        <w:rPr>
          <w:rFonts w:ascii="Times New Roman" w:hAnsi="Times New Roman" w:cs="Times New Roman"/>
          <w:sz w:val="24"/>
          <w:szCs w:val="24"/>
        </w:rPr>
        <w:t xml:space="preserve"> The applicant</w:t>
      </w:r>
      <w:r w:rsidR="00887C74">
        <w:rPr>
          <w:rFonts w:ascii="Times New Roman" w:hAnsi="Times New Roman" w:cs="Times New Roman"/>
          <w:sz w:val="24"/>
          <w:szCs w:val="24"/>
        </w:rPr>
        <w:t xml:space="preserve"> told a lie when he stated that the respondent did not furnish him with the bond cancellation requirements from January 2014 to October, 2015. He </w:t>
      </w:r>
      <w:r w:rsidR="00DB5AA5">
        <w:rPr>
          <w:rFonts w:ascii="Times New Roman" w:hAnsi="Times New Roman" w:cs="Times New Roman"/>
          <w:sz w:val="24"/>
          <w:szCs w:val="24"/>
        </w:rPr>
        <w:t>was furnished with</w:t>
      </w:r>
      <w:r w:rsidR="00887C74">
        <w:rPr>
          <w:rFonts w:ascii="Times New Roman" w:hAnsi="Times New Roman" w:cs="Times New Roman"/>
          <w:sz w:val="24"/>
          <w:szCs w:val="24"/>
        </w:rPr>
        <w:t xml:space="preserve"> such</w:t>
      </w:r>
      <w:r w:rsidR="00222B6E">
        <w:rPr>
          <w:rFonts w:ascii="Times New Roman" w:hAnsi="Times New Roman" w:cs="Times New Roman"/>
          <w:sz w:val="24"/>
          <w:szCs w:val="24"/>
        </w:rPr>
        <w:t xml:space="preserve">. Reference </w:t>
      </w:r>
      <w:r w:rsidR="00A874AD">
        <w:rPr>
          <w:rFonts w:ascii="Times New Roman" w:hAnsi="Times New Roman" w:cs="Times New Roman"/>
          <w:sz w:val="24"/>
          <w:szCs w:val="24"/>
        </w:rPr>
        <w:t>is</w:t>
      </w:r>
      <w:r w:rsidR="00222B6E">
        <w:rPr>
          <w:rFonts w:ascii="Times New Roman" w:hAnsi="Times New Roman" w:cs="Times New Roman"/>
          <w:sz w:val="24"/>
          <w:szCs w:val="24"/>
        </w:rPr>
        <w:t xml:space="preserve"> made in this regard to Annexures A and B (</w:t>
      </w:r>
      <w:r w:rsidR="00222B6E" w:rsidRPr="00222B6E">
        <w:rPr>
          <w:rFonts w:ascii="Times New Roman" w:hAnsi="Times New Roman" w:cs="Times New Roman"/>
          <w:i/>
          <w:sz w:val="24"/>
          <w:szCs w:val="24"/>
        </w:rPr>
        <w:t>supra</w:t>
      </w:r>
      <w:r w:rsidR="00222B6E">
        <w:rPr>
          <w:rFonts w:ascii="Times New Roman" w:hAnsi="Times New Roman" w:cs="Times New Roman"/>
          <w:sz w:val="24"/>
          <w:szCs w:val="24"/>
        </w:rPr>
        <w:t xml:space="preserve">). He, </w:t>
      </w:r>
      <w:r w:rsidR="00887C74">
        <w:rPr>
          <w:rFonts w:ascii="Times New Roman" w:hAnsi="Times New Roman" w:cs="Times New Roman"/>
          <w:sz w:val="24"/>
          <w:szCs w:val="24"/>
        </w:rPr>
        <w:t xml:space="preserve">for reasons known to himself, did not take advantage of the same. </w:t>
      </w:r>
    </w:p>
    <w:p w:rsidR="00887C74" w:rsidRDefault="00887C74" w:rsidP="0088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trite that if a litigant gives false evidence, his story will be discarded and adverse inference may be drawn as i</w:t>
      </w:r>
      <w:r w:rsidR="00D01190">
        <w:rPr>
          <w:rFonts w:ascii="Times New Roman" w:hAnsi="Times New Roman" w:cs="Times New Roman"/>
          <w:sz w:val="24"/>
          <w:szCs w:val="24"/>
        </w:rPr>
        <w:t>f</w:t>
      </w:r>
      <w:r>
        <w:rPr>
          <w:rFonts w:ascii="Times New Roman" w:hAnsi="Times New Roman" w:cs="Times New Roman"/>
          <w:sz w:val="24"/>
          <w:szCs w:val="24"/>
        </w:rPr>
        <w:t xml:space="preserve"> he has not given evidence at all. (See </w:t>
      </w:r>
      <w:r>
        <w:rPr>
          <w:rFonts w:ascii="Times New Roman" w:hAnsi="Times New Roman" w:cs="Times New Roman"/>
          <w:i/>
          <w:sz w:val="24"/>
          <w:szCs w:val="24"/>
        </w:rPr>
        <w:t xml:space="preserve">Leather Trade Zimbabwe (Pvt) Ltd </w:t>
      </w:r>
      <w:r>
        <w:rPr>
          <w:rFonts w:ascii="Times New Roman" w:hAnsi="Times New Roman" w:cs="Times New Roman"/>
          <w:sz w:val="24"/>
          <w:szCs w:val="24"/>
        </w:rPr>
        <w:t xml:space="preserve">v </w:t>
      </w:r>
      <w:r>
        <w:rPr>
          <w:rFonts w:ascii="Times New Roman" w:hAnsi="Times New Roman" w:cs="Times New Roman"/>
          <w:i/>
          <w:sz w:val="24"/>
          <w:szCs w:val="24"/>
        </w:rPr>
        <w:t>Smith,</w:t>
      </w:r>
      <w:r>
        <w:rPr>
          <w:rFonts w:ascii="Times New Roman" w:hAnsi="Times New Roman" w:cs="Times New Roman"/>
          <w:sz w:val="24"/>
          <w:szCs w:val="24"/>
        </w:rPr>
        <w:t xml:space="preserve"> HH 131/03). People are not allowed to come to court seeking the court’s assistance if they are guilty of a lack of probity or honesty in respect of the circumstances which cause them to seek relief from the court (See </w:t>
      </w:r>
      <w:r>
        <w:rPr>
          <w:rFonts w:ascii="Times New Roman" w:hAnsi="Times New Roman" w:cs="Times New Roman"/>
          <w:i/>
          <w:sz w:val="24"/>
          <w:szCs w:val="24"/>
        </w:rPr>
        <w:t xml:space="preserve">Deputy Sheriff, Harare </w:t>
      </w:r>
      <w:r>
        <w:rPr>
          <w:rFonts w:ascii="Times New Roman" w:hAnsi="Times New Roman" w:cs="Times New Roman"/>
          <w:sz w:val="24"/>
          <w:szCs w:val="24"/>
        </w:rPr>
        <w:t xml:space="preserve">v </w:t>
      </w:r>
      <w:r>
        <w:rPr>
          <w:rFonts w:ascii="Times New Roman" w:hAnsi="Times New Roman" w:cs="Times New Roman"/>
          <w:i/>
          <w:sz w:val="24"/>
          <w:szCs w:val="24"/>
        </w:rPr>
        <w:t xml:space="preserve">Mahleza &amp; Anor, </w:t>
      </w:r>
      <w:r>
        <w:rPr>
          <w:rFonts w:ascii="Times New Roman" w:hAnsi="Times New Roman" w:cs="Times New Roman"/>
          <w:sz w:val="24"/>
          <w:szCs w:val="24"/>
        </w:rPr>
        <w:t xml:space="preserve">1997 (2) ZLR 425). It is fundamental to court procedures in this country and in all civilised countries that standards of faithfulness and honesty should be observed by parties who seek relief. If the court were not to enforce that standard, it would be washing its hands of its responsibility. (See </w:t>
      </w:r>
      <w:r>
        <w:rPr>
          <w:rFonts w:ascii="Times New Roman" w:hAnsi="Times New Roman" w:cs="Times New Roman"/>
          <w:i/>
          <w:sz w:val="24"/>
          <w:szCs w:val="24"/>
        </w:rPr>
        <w:t xml:space="preserve">Underhay </w:t>
      </w:r>
      <w:r>
        <w:rPr>
          <w:rFonts w:ascii="Times New Roman" w:hAnsi="Times New Roman" w:cs="Times New Roman"/>
          <w:sz w:val="24"/>
          <w:szCs w:val="24"/>
        </w:rPr>
        <w:t xml:space="preserve">v </w:t>
      </w:r>
      <w:r>
        <w:rPr>
          <w:rFonts w:ascii="Times New Roman" w:hAnsi="Times New Roman" w:cs="Times New Roman"/>
          <w:i/>
          <w:sz w:val="24"/>
          <w:szCs w:val="24"/>
        </w:rPr>
        <w:t>Underhay</w:t>
      </w:r>
      <w:r>
        <w:rPr>
          <w:rFonts w:ascii="Times New Roman" w:hAnsi="Times New Roman" w:cs="Times New Roman"/>
          <w:sz w:val="24"/>
          <w:szCs w:val="24"/>
        </w:rPr>
        <w:t>, 1977 (4) SA 23 (W) 24 E-F).</w:t>
      </w:r>
    </w:p>
    <w:p w:rsidR="00887C74" w:rsidRDefault="00887C74" w:rsidP="0088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cited case authorities stress the need with which parties who file suits with the court are enjoined to conduct themselves. They are, at all material times, urged to tell the truth and nothing but the whole truth. Where they choose to lie, as the applicant </w:t>
      </w:r>
      <w:r>
        <w:rPr>
          <w:rFonts w:ascii="Times New Roman" w:hAnsi="Times New Roman" w:cs="Times New Roman"/>
          <w:i/>
          <w:sz w:val="24"/>
          <w:szCs w:val="24"/>
        </w:rPr>
        <w:t>in casu</w:t>
      </w:r>
      <w:r>
        <w:rPr>
          <w:rFonts w:ascii="Times New Roman" w:hAnsi="Times New Roman" w:cs="Times New Roman"/>
          <w:sz w:val="24"/>
          <w:szCs w:val="24"/>
        </w:rPr>
        <w:t xml:space="preserve"> did, the court will find it difficult, if not impossible, to believe them.</w:t>
      </w:r>
    </w:p>
    <w:p w:rsidR="00E313E8" w:rsidRDefault="00E313E8" w:rsidP="0088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compromise agreement which the applicant says he concluded with the respondent is more of a conjecture than it is a reality. If such was reached and if it stated, as the applicant said it did, that his indebtedness to the respondent was $270 000 togethe</w:t>
      </w:r>
      <w:r w:rsidR="00FC7B96">
        <w:rPr>
          <w:rFonts w:ascii="Times New Roman" w:hAnsi="Times New Roman" w:cs="Times New Roman"/>
          <w:sz w:val="24"/>
          <w:szCs w:val="24"/>
        </w:rPr>
        <w:t>r with interest thereon at 38.6%</w:t>
      </w:r>
      <w:r>
        <w:rPr>
          <w:rFonts w:ascii="Times New Roman" w:hAnsi="Times New Roman" w:cs="Times New Roman"/>
          <w:sz w:val="24"/>
          <w:szCs w:val="24"/>
        </w:rPr>
        <w:t xml:space="preserve"> per annum, the respondent would not have requ</w:t>
      </w:r>
      <w:r w:rsidR="00FC7B96">
        <w:rPr>
          <w:rFonts w:ascii="Times New Roman" w:hAnsi="Times New Roman" w:cs="Times New Roman"/>
          <w:sz w:val="24"/>
          <w:szCs w:val="24"/>
        </w:rPr>
        <w:t>ested</w:t>
      </w:r>
      <w:r>
        <w:rPr>
          <w:rFonts w:ascii="Times New Roman" w:hAnsi="Times New Roman" w:cs="Times New Roman"/>
          <w:sz w:val="24"/>
          <w:szCs w:val="24"/>
        </w:rPr>
        <w:t xml:space="preserve"> him to pay $310 000 and the Sheriff’s fees of $10 324 as the condition for the cancellation of the mortgage bond</w:t>
      </w:r>
      <w:r w:rsidR="00FC7B96">
        <w:rPr>
          <w:rFonts w:ascii="Times New Roman" w:hAnsi="Times New Roman" w:cs="Times New Roman"/>
          <w:sz w:val="24"/>
          <w:szCs w:val="24"/>
        </w:rPr>
        <w:t>. It</w:t>
      </w:r>
      <w:r>
        <w:rPr>
          <w:rFonts w:ascii="Times New Roman" w:hAnsi="Times New Roman" w:cs="Times New Roman"/>
          <w:sz w:val="24"/>
          <w:szCs w:val="24"/>
        </w:rPr>
        <w:t xml:space="preserve"> would not have been allowed to go outside the compromise agreement. It would have been perpetually tied to the same.</w:t>
      </w:r>
    </w:p>
    <w:p w:rsidR="00887C74" w:rsidRDefault="00887C74" w:rsidP="0088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common cause that the provisional order of liquidation was set aside during the period which stretches from 28 March </w:t>
      </w:r>
      <w:r w:rsidR="00792F4F">
        <w:rPr>
          <w:rFonts w:ascii="Times New Roman" w:hAnsi="Times New Roman" w:cs="Times New Roman"/>
          <w:sz w:val="24"/>
          <w:szCs w:val="24"/>
        </w:rPr>
        <w:t>to October, 2017</w:t>
      </w:r>
      <w:r>
        <w:rPr>
          <w:rFonts w:ascii="Times New Roman" w:hAnsi="Times New Roman" w:cs="Times New Roman"/>
          <w:sz w:val="24"/>
          <w:szCs w:val="24"/>
        </w:rPr>
        <w:t xml:space="preserve">. The applicant did not ever make mention of this matter in his </w:t>
      </w:r>
      <w:r w:rsidR="00FC7B96">
        <w:rPr>
          <w:rFonts w:ascii="Times New Roman" w:hAnsi="Times New Roman" w:cs="Times New Roman"/>
          <w:sz w:val="24"/>
          <w:szCs w:val="24"/>
        </w:rPr>
        <w:t>founding affidavit. He, however</w:t>
      </w:r>
      <w:r>
        <w:rPr>
          <w:rFonts w:ascii="Times New Roman" w:hAnsi="Times New Roman" w:cs="Times New Roman"/>
          <w:sz w:val="24"/>
          <w:szCs w:val="24"/>
        </w:rPr>
        <w:t xml:space="preserve"> and to his credit, admitted the same when it was raised. That he did not mention it is not the issue. The issue is</w:t>
      </w:r>
      <w:r w:rsidR="00792F4F">
        <w:rPr>
          <w:rFonts w:ascii="Times New Roman" w:hAnsi="Times New Roman" w:cs="Times New Roman"/>
          <w:sz w:val="24"/>
          <w:szCs w:val="24"/>
        </w:rPr>
        <w:t xml:space="preserve"> that</w:t>
      </w:r>
      <w:r>
        <w:rPr>
          <w:rFonts w:ascii="Times New Roman" w:hAnsi="Times New Roman" w:cs="Times New Roman"/>
          <w:sz w:val="24"/>
          <w:szCs w:val="24"/>
        </w:rPr>
        <w:t xml:space="preserve"> he did not take advantage of the window period which had been opened to him</w:t>
      </w:r>
      <w:r w:rsidR="00792F4F">
        <w:rPr>
          <w:rFonts w:ascii="Times New Roman" w:hAnsi="Times New Roman" w:cs="Times New Roman"/>
          <w:sz w:val="24"/>
          <w:szCs w:val="24"/>
        </w:rPr>
        <w:t xml:space="preserve">. He should have </w:t>
      </w:r>
      <w:r>
        <w:rPr>
          <w:rFonts w:ascii="Times New Roman" w:hAnsi="Times New Roman" w:cs="Times New Roman"/>
          <w:sz w:val="24"/>
          <w:szCs w:val="24"/>
        </w:rPr>
        <w:t>sued the respondent during the eight months that the provisional order was not in force.</w:t>
      </w:r>
    </w:p>
    <w:p w:rsidR="00887C74" w:rsidRDefault="00887C74" w:rsidP="0088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remain satisfied that</w:t>
      </w:r>
      <w:r w:rsidR="00D01190">
        <w:rPr>
          <w:rFonts w:ascii="Times New Roman" w:hAnsi="Times New Roman" w:cs="Times New Roman"/>
          <w:sz w:val="24"/>
          <w:szCs w:val="24"/>
        </w:rPr>
        <w:t>,</w:t>
      </w:r>
      <w:r>
        <w:rPr>
          <w:rFonts w:ascii="Times New Roman" w:hAnsi="Times New Roman" w:cs="Times New Roman"/>
          <w:sz w:val="24"/>
          <w:szCs w:val="24"/>
        </w:rPr>
        <w:t xml:space="preserve"> if the applicant’s claim was as valid as he would have the court believe, he would have sued the respondent then. Nothing prohibited him from doing so. The fact that he did not shows nothing other than the suggestion that he was trying his luck when he applied as he did.</w:t>
      </w:r>
    </w:p>
    <w:p w:rsidR="00887C74" w:rsidRDefault="00887C74" w:rsidP="0088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missed the point when it sought to advance the argument that</w:t>
      </w:r>
      <w:r w:rsidR="00D01190">
        <w:rPr>
          <w:rFonts w:ascii="Times New Roman" w:hAnsi="Times New Roman" w:cs="Times New Roman"/>
          <w:sz w:val="24"/>
          <w:szCs w:val="24"/>
        </w:rPr>
        <w:t xml:space="preserve"> the applicant was its creditor.</w:t>
      </w:r>
      <w:r>
        <w:rPr>
          <w:rFonts w:ascii="Times New Roman" w:hAnsi="Times New Roman" w:cs="Times New Roman"/>
          <w:sz w:val="24"/>
          <w:szCs w:val="24"/>
        </w:rPr>
        <w:t xml:space="preserve"> </w:t>
      </w:r>
      <w:r w:rsidR="00D01190">
        <w:rPr>
          <w:rFonts w:ascii="Times New Roman" w:hAnsi="Times New Roman" w:cs="Times New Roman"/>
          <w:sz w:val="24"/>
          <w:szCs w:val="24"/>
        </w:rPr>
        <w:t>C</w:t>
      </w:r>
      <w:r>
        <w:rPr>
          <w:rFonts w:ascii="Times New Roman" w:hAnsi="Times New Roman" w:cs="Times New Roman"/>
          <w:sz w:val="24"/>
          <w:szCs w:val="24"/>
        </w:rPr>
        <w:t xml:space="preserve">ase authorities which it cited in its Heads are relevant to the observed matter. These comprise </w:t>
      </w:r>
      <w:r>
        <w:rPr>
          <w:rFonts w:ascii="Times New Roman" w:hAnsi="Times New Roman" w:cs="Times New Roman"/>
          <w:i/>
          <w:sz w:val="24"/>
          <w:szCs w:val="24"/>
        </w:rPr>
        <w:t xml:space="preserve">Zimbabwe Allied Bank Ltd </w:t>
      </w:r>
      <w:r>
        <w:rPr>
          <w:rFonts w:ascii="Times New Roman" w:hAnsi="Times New Roman" w:cs="Times New Roman"/>
          <w:sz w:val="24"/>
          <w:szCs w:val="24"/>
        </w:rPr>
        <w:t xml:space="preserve">v </w:t>
      </w:r>
      <w:r>
        <w:rPr>
          <w:rFonts w:ascii="Times New Roman" w:hAnsi="Times New Roman" w:cs="Times New Roman"/>
          <w:i/>
          <w:sz w:val="24"/>
          <w:szCs w:val="24"/>
        </w:rPr>
        <w:t xml:space="preserve">Dengu C &amp; Nyabanda </w:t>
      </w:r>
      <w:r>
        <w:rPr>
          <w:rFonts w:ascii="Times New Roman" w:hAnsi="Times New Roman" w:cs="Times New Roman"/>
          <w:sz w:val="24"/>
          <w:szCs w:val="24"/>
        </w:rPr>
        <w:t xml:space="preserve">HH 583/15; </w:t>
      </w:r>
      <w:r>
        <w:rPr>
          <w:rFonts w:ascii="Times New Roman" w:hAnsi="Times New Roman" w:cs="Times New Roman"/>
          <w:i/>
          <w:sz w:val="24"/>
          <w:szCs w:val="24"/>
        </w:rPr>
        <w:t xml:space="preserve">Walker </w:t>
      </w:r>
      <w:r>
        <w:rPr>
          <w:rFonts w:ascii="Times New Roman" w:hAnsi="Times New Roman" w:cs="Times New Roman"/>
          <w:sz w:val="24"/>
          <w:szCs w:val="24"/>
        </w:rPr>
        <w:t xml:space="preserve">v </w:t>
      </w:r>
      <w:r>
        <w:rPr>
          <w:rFonts w:ascii="Times New Roman" w:hAnsi="Times New Roman" w:cs="Times New Roman"/>
          <w:i/>
          <w:sz w:val="24"/>
          <w:szCs w:val="24"/>
        </w:rPr>
        <w:t xml:space="preserve">Sylret </w:t>
      </w:r>
      <w:r w:rsidRPr="00012D92">
        <w:rPr>
          <w:rFonts w:ascii="Times New Roman" w:hAnsi="Times New Roman" w:cs="Times New Roman"/>
          <w:sz w:val="24"/>
          <w:szCs w:val="24"/>
        </w:rPr>
        <w:t>N O, 1911 AD 141 and</w:t>
      </w:r>
      <w:r>
        <w:rPr>
          <w:rFonts w:ascii="Times New Roman" w:hAnsi="Times New Roman" w:cs="Times New Roman"/>
          <w:sz w:val="24"/>
          <w:szCs w:val="24"/>
        </w:rPr>
        <w:t xml:space="preserve"> </w:t>
      </w:r>
      <w:r>
        <w:rPr>
          <w:rFonts w:ascii="Times New Roman" w:hAnsi="Times New Roman" w:cs="Times New Roman"/>
          <w:i/>
          <w:sz w:val="24"/>
          <w:szCs w:val="24"/>
        </w:rPr>
        <w:t xml:space="preserve">International Shipping Co (Pty) </w:t>
      </w:r>
      <w:r>
        <w:rPr>
          <w:rFonts w:ascii="Times New Roman" w:hAnsi="Times New Roman" w:cs="Times New Roman"/>
          <w:sz w:val="24"/>
          <w:szCs w:val="24"/>
        </w:rPr>
        <w:t xml:space="preserve">v </w:t>
      </w:r>
      <w:r>
        <w:rPr>
          <w:rFonts w:ascii="Times New Roman" w:hAnsi="Times New Roman" w:cs="Times New Roman"/>
          <w:i/>
          <w:sz w:val="24"/>
          <w:szCs w:val="24"/>
        </w:rPr>
        <w:t>Affinity (Pty) Ltd and Anor</w:t>
      </w:r>
      <w:r>
        <w:rPr>
          <w:rFonts w:ascii="Times New Roman" w:hAnsi="Times New Roman" w:cs="Times New Roman"/>
          <w:sz w:val="24"/>
          <w:szCs w:val="24"/>
        </w:rPr>
        <w:t>, 1983 (1) SA 79.</w:t>
      </w:r>
    </w:p>
    <w:p w:rsidR="00887C74" w:rsidRDefault="00887C74" w:rsidP="0088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and is, the respondent’s debtor. He is not its creditor as the respondent suggested.</w:t>
      </w:r>
    </w:p>
    <w:p w:rsidR="00887C74" w:rsidRDefault="00887C74" w:rsidP="0088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argument was, no doubt misplaced. However, that notwithstanding, it is not for the respondent to disprove the averments of the applicant. The applicant must prove his case on a balance of probabilities. The mis-statement</w:t>
      </w:r>
      <w:r w:rsidR="00D01190">
        <w:rPr>
          <w:rFonts w:ascii="Times New Roman" w:hAnsi="Times New Roman" w:cs="Times New Roman"/>
          <w:sz w:val="24"/>
          <w:szCs w:val="24"/>
        </w:rPr>
        <w:t>s</w:t>
      </w:r>
      <w:r>
        <w:rPr>
          <w:rFonts w:ascii="Times New Roman" w:hAnsi="Times New Roman" w:cs="Times New Roman"/>
          <w:sz w:val="24"/>
          <w:szCs w:val="24"/>
        </w:rPr>
        <w:t xml:space="preserve"> of the</w:t>
      </w:r>
      <w:r w:rsidR="00D01190">
        <w:rPr>
          <w:rFonts w:ascii="Times New Roman" w:hAnsi="Times New Roman" w:cs="Times New Roman"/>
          <w:sz w:val="24"/>
          <w:szCs w:val="24"/>
        </w:rPr>
        <w:t xml:space="preserve"> respondent</w:t>
      </w:r>
      <w:r>
        <w:rPr>
          <w:rFonts w:ascii="Times New Roman" w:hAnsi="Times New Roman" w:cs="Times New Roman"/>
          <w:sz w:val="24"/>
          <w:szCs w:val="24"/>
        </w:rPr>
        <w:t xml:space="preserve"> would only hold water where the applicant’s case remains an unassailable one.</w:t>
      </w:r>
    </w:p>
    <w:p w:rsidR="00887C74" w:rsidRPr="00D84DF5" w:rsidRDefault="00887C74" w:rsidP="00887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failed to establish a cause of action against the respondent. He made important averments which he did not substantiate. He told a lie in some portion of his </w:t>
      </w:r>
      <w:r w:rsidR="00D01190">
        <w:rPr>
          <w:rFonts w:ascii="Times New Roman" w:hAnsi="Times New Roman" w:cs="Times New Roman"/>
          <w:sz w:val="24"/>
          <w:szCs w:val="24"/>
        </w:rPr>
        <w:t>papers</w:t>
      </w:r>
      <w:r>
        <w:rPr>
          <w:rFonts w:ascii="Times New Roman" w:hAnsi="Times New Roman" w:cs="Times New Roman"/>
          <w:sz w:val="24"/>
          <w:szCs w:val="24"/>
        </w:rPr>
        <w:t xml:space="preserve">. He, in short, did not prove his case on a balance of probabilities. His application cannot stand. It is, accordingly, dismissed with costs.         </w:t>
      </w:r>
      <w:r>
        <w:rPr>
          <w:rFonts w:ascii="Times New Roman" w:hAnsi="Times New Roman" w:cs="Times New Roman"/>
          <w:i/>
          <w:sz w:val="24"/>
          <w:szCs w:val="24"/>
        </w:rPr>
        <w:t xml:space="preserve"> </w:t>
      </w:r>
      <w:r w:rsidRPr="00012D9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2D9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C1D8E" w:rsidRDefault="00EC1D8E" w:rsidP="00EC1D8E">
      <w:pPr>
        <w:pStyle w:val="ListParagraph"/>
        <w:spacing w:after="0" w:line="360" w:lineRule="auto"/>
        <w:ind w:left="0" w:firstLine="720"/>
        <w:jc w:val="both"/>
        <w:rPr>
          <w:rFonts w:ascii="Times New Roman" w:hAnsi="Times New Roman" w:cs="Times New Roman"/>
          <w:sz w:val="24"/>
          <w:szCs w:val="24"/>
        </w:rPr>
      </w:pPr>
    </w:p>
    <w:p w:rsidR="00457DCD" w:rsidRPr="00DD35C2" w:rsidRDefault="00457DCD" w:rsidP="00457DCD">
      <w:pPr>
        <w:pStyle w:val="ListParagraph"/>
        <w:spacing w:after="0" w:line="360" w:lineRule="auto"/>
        <w:ind w:left="1440"/>
        <w:jc w:val="both"/>
        <w:rPr>
          <w:rFonts w:ascii="Times New Roman" w:hAnsi="Times New Roman" w:cs="Times New Roman"/>
          <w:sz w:val="24"/>
          <w:szCs w:val="24"/>
        </w:rPr>
      </w:pPr>
    </w:p>
    <w:p w:rsidR="002A0059" w:rsidRDefault="002A0059" w:rsidP="002A0059">
      <w:pPr>
        <w:spacing w:after="0" w:line="240" w:lineRule="auto"/>
        <w:jc w:val="both"/>
        <w:rPr>
          <w:rFonts w:ascii="Times New Roman" w:hAnsi="Times New Roman" w:cs="Times New Roman"/>
          <w:i/>
          <w:sz w:val="24"/>
          <w:szCs w:val="24"/>
        </w:rPr>
      </w:pPr>
    </w:p>
    <w:p w:rsidR="002A0059" w:rsidRDefault="002A0059" w:rsidP="002A0059">
      <w:pPr>
        <w:spacing w:after="0" w:line="240" w:lineRule="auto"/>
        <w:jc w:val="both"/>
        <w:rPr>
          <w:rFonts w:ascii="Times New Roman" w:hAnsi="Times New Roman" w:cs="Times New Roman"/>
          <w:i/>
          <w:sz w:val="24"/>
          <w:szCs w:val="24"/>
        </w:rPr>
      </w:pPr>
    </w:p>
    <w:p w:rsidR="002A0059" w:rsidRDefault="002A0059" w:rsidP="002A0059">
      <w:pPr>
        <w:spacing w:after="0" w:line="240" w:lineRule="auto"/>
        <w:jc w:val="both"/>
        <w:rPr>
          <w:rFonts w:ascii="Times New Roman" w:hAnsi="Times New Roman" w:cs="Times New Roman"/>
          <w:i/>
          <w:sz w:val="24"/>
          <w:szCs w:val="24"/>
        </w:rPr>
      </w:pPr>
    </w:p>
    <w:p w:rsidR="001F2C57" w:rsidRDefault="0050053C" w:rsidP="002A0059">
      <w:pPr>
        <w:spacing w:after="0" w:line="240" w:lineRule="auto"/>
        <w:jc w:val="both"/>
        <w:rPr>
          <w:rFonts w:ascii="Times New Roman" w:hAnsi="Times New Roman" w:cs="Times New Roman"/>
          <w:sz w:val="24"/>
          <w:szCs w:val="24"/>
        </w:rPr>
      </w:pPr>
      <w:r w:rsidRPr="0050053C">
        <w:rPr>
          <w:rFonts w:ascii="Times New Roman" w:hAnsi="Times New Roman" w:cs="Times New Roman"/>
          <w:i/>
          <w:sz w:val="24"/>
          <w:szCs w:val="24"/>
        </w:rPr>
        <w:t>Kawonde Legal Services</w:t>
      </w:r>
      <w:r>
        <w:rPr>
          <w:rFonts w:ascii="Times New Roman" w:hAnsi="Times New Roman" w:cs="Times New Roman"/>
          <w:sz w:val="24"/>
          <w:szCs w:val="24"/>
        </w:rPr>
        <w:t>, applicant’s legal practitioners</w:t>
      </w:r>
    </w:p>
    <w:p w:rsidR="0050053C" w:rsidRDefault="00EE5260" w:rsidP="002A005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Scalen &amp; Holderness legal practitioners</w:t>
      </w:r>
      <w:r w:rsidR="0050053C">
        <w:rPr>
          <w:rFonts w:ascii="Times New Roman" w:hAnsi="Times New Roman" w:cs="Times New Roman"/>
          <w:sz w:val="24"/>
          <w:szCs w:val="24"/>
        </w:rPr>
        <w:t>, respondent’s legal practitioners</w:t>
      </w:r>
    </w:p>
    <w:p w:rsidR="00714C54" w:rsidRPr="00A82A55" w:rsidRDefault="00714C54" w:rsidP="002A0059">
      <w:pPr>
        <w:spacing w:after="0" w:line="240" w:lineRule="auto"/>
        <w:jc w:val="both"/>
        <w:rPr>
          <w:rFonts w:ascii="Times New Roman" w:hAnsi="Times New Roman" w:cs="Times New Roman"/>
          <w:sz w:val="24"/>
          <w:szCs w:val="24"/>
        </w:rPr>
      </w:pPr>
    </w:p>
    <w:sectPr w:rsidR="00714C54" w:rsidRPr="00A82A55">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420" w:rsidRDefault="00664420" w:rsidP="00A82A55">
      <w:pPr>
        <w:spacing w:after="0" w:line="240" w:lineRule="auto"/>
      </w:pPr>
      <w:r>
        <w:separator/>
      </w:r>
    </w:p>
  </w:endnote>
  <w:endnote w:type="continuationSeparator" w:id="0">
    <w:p w:rsidR="00664420" w:rsidRDefault="00664420" w:rsidP="00A8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420" w:rsidRDefault="00664420" w:rsidP="00A82A55">
      <w:pPr>
        <w:spacing w:after="0" w:line="240" w:lineRule="auto"/>
      </w:pPr>
      <w:r>
        <w:separator/>
      </w:r>
    </w:p>
  </w:footnote>
  <w:footnote w:type="continuationSeparator" w:id="0">
    <w:p w:rsidR="00664420" w:rsidRDefault="00664420" w:rsidP="00A82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995958"/>
      <w:docPartObj>
        <w:docPartGallery w:val="Page Numbers (Top of Page)"/>
        <w:docPartUnique/>
      </w:docPartObj>
    </w:sdtPr>
    <w:sdtEndPr>
      <w:rPr>
        <w:noProof/>
      </w:rPr>
    </w:sdtEndPr>
    <w:sdtContent>
      <w:p w:rsidR="00A82A55" w:rsidRDefault="00A82A55">
        <w:pPr>
          <w:pStyle w:val="Header"/>
          <w:jc w:val="right"/>
          <w:rPr>
            <w:noProof/>
          </w:rPr>
        </w:pPr>
        <w:r>
          <w:fldChar w:fldCharType="begin"/>
        </w:r>
        <w:r>
          <w:instrText xml:space="preserve"> PAGE   \* MERGEFORMAT </w:instrText>
        </w:r>
        <w:r>
          <w:fldChar w:fldCharType="separate"/>
        </w:r>
        <w:r w:rsidR="00EF598A">
          <w:rPr>
            <w:noProof/>
          </w:rPr>
          <w:t>1</w:t>
        </w:r>
        <w:r>
          <w:rPr>
            <w:noProof/>
          </w:rPr>
          <w:fldChar w:fldCharType="end"/>
        </w:r>
      </w:p>
      <w:p w:rsidR="00A82A55" w:rsidRDefault="00A82A55">
        <w:pPr>
          <w:pStyle w:val="Header"/>
          <w:jc w:val="right"/>
          <w:rPr>
            <w:noProof/>
          </w:rPr>
        </w:pPr>
        <w:r>
          <w:rPr>
            <w:noProof/>
          </w:rPr>
          <w:t>HH</w:t>
        </w:r>
        <w:r w:rsidR="008373A6">
          <w:rPr>
            <w:noProof/>
          </w:rPr>
          <w:t xml:space="preserve"> 239-18</w:t>
        </w:r>
      </w:p>
      <w:p w:rsidR="00A82A55" w:rsidRDefault="00A82A55">
        <w:pPr>
          <w:pStyle w:val="Header"/>
          <w:jc w:val="right"/>
        </w:pPr>
        <w:r>
          <w:rPr>
            <w:noProof/>
          </w:rPr>
          <w:t>HC 249/17</w:t>
        </w:r>
      </w:p>
    </w:sdtContent>
  </w:sdt>
  <w:p w:rsidR="00A82A55" w:rsidRDefault="00A82A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50442"/>
    <w:multiLevelType w:val="hybridMultilevel"/>
    <w:tmpl w:val="D930C5F6"/>
    <w:lvl w:ilvl="0" w:tplc="A1105F3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6723820"/>
    <w:multiLevelType w:val="hybridMultilevel"/>
    <w:tmpl w:val="8814C77E"/>
    <w:lvl w:ilvl="0" w:tplc="43406DBE">
      <w:start w:val="1"/>
      <w:numFmt w:val="lowerLetter"/>
      <w:lvlText w:val="(%1)"/>
      <w:lvlJc w:val="left"/>
      <w:pPr>
        <w:ind w:left="1800" w:hanging="360"/>
      </w:pPr>
      <w:rPr>
        <w:rFonts w:hint="default"/>
        <w:sz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55"/>
    <w:rsid w:val="00015AA7"/>
    <w:rsid w:val="000A7D94"/>
    <w:rsid w:val="000F7BBF"/>
    <w:rsid w:val="0013730A"/>
    <w:rsid w:val="001375CF"/>
    <w:rsid w:val="001543B4"/>
    <w:rsid w:val="00182257"/>
    <w:rsid w:val="001F2C57"/>
    <w:rsid w:val="0020583F"/>
    <w:rsid w:val="00222B6E"/>
    <w:rsid w:val="00277E03"/>
    <w:rsid w:val="002A0059"/>
    <w:rsid w:val="002F55A2"/>
    <w:rsid w:val="003532C2"/>
    <w:rsid w:val="00373A82"/>
    <w:rsid w:val="00376B5B"/>
    <w:rsid w:val="00384D1B"/>
    <w:rsid w:val="003937B5"/>
    <w:rsid w:val="003D7C2A"/>
    <w:rsid w:val="00451CF4"/>
    <w:rsid w:val="00457DCD"/>
    <w:rsid w:val="00476D53"/>
    <w:rsid w:val="004B3AB7"/>
    <w:rsid w:val="0050053C"/>
    <w:rsid w:val="00515BAE"/>
    <w:rsid w:val="00535AD8"/>
    <w:rsid w:val="00551028"/>
    <w:rsid w:val="00554FA8"/>
    <w:rsid w:val="005962A3"/>
    <w:rsid w:val="005F63A7"/>
    <w:rsid w:val="0061068D"/>
    <w:rsid w:val="00664420"/>
    <w:rsid w:val="00665FF2"/>
    <w:rsid w:val="006A0B3C"/>
    <w:rsid w:val="006A2628"/>
    <w:rsid w:val="006B5F3C"/>
    <w:rsid w:val="00714C54"/>
    <w:rsid w:val="00792F4F"/>
    <w:rsid w:val="007C1810"/>
    <w:rsid w:val="008373A6"/>
    <w:rsid w:val="00880B88"/>
    <w:rsid w:val="00887C74"/>
    <w:rsid w:val="008B665B"/>
    <w:rsid w:val="008C1386"/>
    <w:rsid w:val="008D663B"/>
    <w:rsid w:val="009322CF"/>
    <w:rsid w:val="00952F57"/>
    <w:rsid w:val="00991D9F"/>
    <w:rsid w:val="009B55FD"/>
    <w:rsid w:val="009B5E15"/>
    <w:rsid w:val="009C38AC"/>
    <w:rsid w:val="009C6E63"/>
    <w:rsid w:val="009D171F"/>
    <w:rsid w:val="00A512A3"/>
    <w:rsid w:val="00A66368"/>
    <w:rsid w:val="00A82A55"/>
    <w:rsid w:val="00A87091"/>
    <w:rsid w:val="00A874AD"/>
    <w:rsid w:val="00AE645C"/>
    <w:rsid w:val="00AF6422"/>
    <w:rsid w:val="00B3619B"/>
    <w:rsid w:val="00B9365D"/>
    <w:rsid w:val="00BB2231"/>
    <w:rsid w:val="00BE66AF"/>
    <w:rsid w:val="00C24641"/>
    <w:rsid w:val="00C77E05"/>
    <w:rsid w:val="00C974FD"/>
    <w:rsid w:val="00CE6186"/>
    <w:rsid w:val="00D01190"/>
    <w:rsid w:val="00D47629"/>
    <w:rsid w:val="00DB5AA5"/>
    <w:rsid w:val="00DD17BC"/>
    <w:rsid w:val="00DD35C2"/>
    <w:rsid w:val="00DF699D"/>
    <w:rsid w:val="00E313E8"/>
    <w:rsid w:val="00E40CE7"/>
    <w:rsid w:val="00E6719C"/>
    <w:rsid w:val="00E841A9"/>
    <w:rsid w:val="00E93851"/>
    <w:rsid w:val="00EB3132"/>
    <w:rsid w:val="00EC0504"/>
    <w:rsid w:val="00EC1D8E"/>
    <w:rsid w:val="00EE5260"/>
    <w:rsid w:val="00EF598A"/>
    <w:rsid w:val="00F43B87"/>
    <w:rsid w:val="00F644D5"/>
    <w:rsid w:val="00F9588B"/>
    <w:rsid w:val="00FC7B9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3F1C2-1340-49EB-A11A-B332DFBF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A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A55"/>
  </w:style>
  <w:style w:type="paragraph" w:styleId="Footer">
    <w:name w:val="footer"/>
    <w:basedOn w:val="Normal"/>
    <w:link w:val="FooterChar"/>
    <w:uiPriority w:val="99"/>
    <w:unhideWhenUsed/>
    <w:rsid w:val="00A82A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A55"/>
  </w:style>
  <w:style w:type="paragraph" w:styleId="ListParagraph">
    <w:name w:val="List Paragraph"/>
    <w:basedOn w:val="Normal"/>
    <w:uiPriority w:val="34"/>
    <w:qFormat/>
    <w:rsid w:val="00DD35C2"/>
    <w:pPr>
      <w:ind w:left="720"/>
      <w:contextualSpacing/>
    </w:pPr>
  </w:style>
  <w:style w:type="paragraph" w:styleId="BalloonText">
    <w:name w:val="Balloon Text"/>
    <w:basedOn w:val="Normal"/>
    <w:link w:val="BalloonTextChar"/>
    <w:uiPriority w:val="99"/>
    <w:semiHidden/>
    <w:unhideWhenUsed/>
    <w:rsid w:val="00837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3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2575</Words>
  <Characters>14683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2018-05-08T10:32:00Z</cp:lastPrinted>
  <dcterms:created xsi:type="dcterms:W3CDTF">2018-05-11T13:46:00Z</dcterms:created>
  <dcterms:modified xsi:type="dcterms:W3CDTF">2018-05-11T13:46:00Z</dcterms:modified>
</cp:coreProperties>
</file>