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EFE1D" w14:textId="77777777" w:rsidR="00270596" w:rsidRDefault="00270596"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STEPHEN CHITUKU</w:t>
      </w:r>
    </w:p>
    <w:p w14:paraId="2AE7542F" w14:textId="4B1B0487" w:rsidR="00270596" w:rsidRDefault="006B1993"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270596">
        <w:rPr>
          <w:rFonts w:ascii="Times New Roman" w:eastAsia="Calibri" w:hAnsi="Times New Roman" w:cs="Times New Roman"/>
          <w:sz w:val="24"/>
          <w:szCs w:val="24"/>
        </w:rPr>
        <w:t>nd</w:t>
      </w:r>
    </w:p>
    <w:p w14:paraId="07956B04" w14:textId="77777777" w:rsidR="00270596" w:rsidRDefault="00270596"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PATIENCE FADZAI CHITUKU</w:t>
      </w:r>
    </w:p>
    <w:p w14:paraId="0A372710" w14:textId="44FEDBA7" w:rsidR="00270596" w:rsidRDefault="006B1993"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270596">
        <w:rPr>
          <w:rFonts w:ascii="Times New Roman" w:eastAsia="Calibri" w:hAnsi="Times New Roman" w:cs="Times New Roman"/>
          <w:sz w:val="24"/>
          <w:szCs w:val="24"/>
        </w:rPr>
        <w:t>nd</w:t>
      </w:r>
    </w:p>
    <w:p w14:paraId="00E2438B" w14:textId="3F49AB0F" w:rsidR="00270596" w:rsidRDefault="00270596"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SOUTHEND CARGO AIRLINES (</w:t>
      </w:r>
      <w:r w:rsidR="006B1993">
        <w:rPr>
          <w:rFonts w:ascii="Times New Roman" w:eastAsia="Calibri" w:hAnsi="Times New Roman" w:cs="Times New Roman"/>
          <w:sz w:val="24"/>
          <w:szCs w:val="24"/>
        </w:rPr>
        <w:t>PVT) LTD</w:t>
      </w:r>
    </w:p>
    <w:p w14:paraId="0345DDDA" w14:textId="512211EE" w:rsidR="00270596" w:rsidRDefault="006B1993"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270596">
        <w:rPr>
          <w:rFonts w:ascii="Times New Roman" w:eastAsia="Calibri" w:hAnsi="Times New Roman" w:cs="Times New Roman"/>
          <w:sz w:val="24"/>
          <w:szCs w:val="24"/>
        </w:rPr>
        <w:t>ersus</w:t>
      </w:r>
    </w:p>
    <w:p w14:paraId="2A5CAA12" w14:textId="7B17D51C" w:rsidR="00270596" w:rsidRDefault="00270596"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INFRAS</w:t>
      </w:r>
      <w:r w:rsidR="00ED450F">
        <w:rPr>
          <w:rFonts w:ascii="Times New Roman" w:eastAsia="Calibri" w:hAnsi="Times New Roman" w:cs="Times New Roman"/>
          <w:sz w:val="24"/>
          <w:szCs w:val="24"/>
        </w:rPr>
        <w:t>TRU</w:t>
      </w:r>
      <w:r>
        <w:rPr>
          <w:rFonts w:ascii="Times New Roman" w:eastAsia="Calibri" w:hAnsi="Times New Roman" w:cs="Times New Roman"/>
          <w:sz w:val="24"/>
          <w:szCs w:val="24"/>
        </w:rPr>
        <w:t>CTURE DEVELOPMENT BANK OF ZIMBABWE</w:t>
      </w:r>
    </w:p>
    <w:p w14:paraId="3FF54A84" w14:textId="3AD5DD6D" w:rsidR="00270596" w:rsidRDefault="006B1993"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270596">
        <w:rPr>
          <w:rFonts w:ascii="Times New Roman" w:eastAsia="Calibri" w:hAnsi="Times New Roman" w:cs="Times New Roman"/>
          <w:sz w:val="24"/>
          <w:szCs w:val="24"/>
        </w:rPr>
        <w:t xml:space="preserve">nd </w:t>
      </w:r>
    </w:p>
    <w:p w14:paraId="40389091" w14:textId="77777777" w:rsidR="00270596" w:rsidRDefault="00270596"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STANDARD CHARTERED BANK OF ZIMBABWE</w:t>
      </w:r>
    </w:p>
    <w:p w14:paraId="550EEE54" w14:textId="406F4D42" w:rsidR="00270596" w:rsidRDefault="006B1993"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270596">
        <w:rPr>
          <w:rFonts w:ascii="Times New Roman" w:eastAsia="Calibri" w:hAnsi="Times New Roman" w:cs="Times New Roman"/>
          <w:sz w:val="24"/>
          <w:szCs w:val="24"/>
        </w:rPr>
        <w:t xml:space="preserve">nd </w:t>
      </w:r>
    </w:p>
    <w:p w14:paraId="38D9FCAF" w14:textId="77777777" w:rsidR="00270596" w:rsidRDefault="00270596"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RESERVE BANK OF ZIMBABWE (N.O)</w:t>
      </w:r>
    </w:p>
    <w:p w14:paraId="1DBF9C32" w14:textId="0AA1EB9E" w:rsidR="00270596" w:rsidRDefault="006B1993"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270596">
        <w:rPr>
          <w:rFonts w:ascii="Times New Roman" w:eastAsia="Calibri" w:hAnsi="Times New Roman" w:cs="Times New Roman"/>
          <w:sz w:val="24"/>
          <w:szCs w:val="24"/>
        </w:rPr>
        <w:t xml:space="preserve">nd </w:t>
      </w:r>
    </w:p>
    <w:p w14:paraId="5AD7DCBD" w14:textId="77777777" w:rsidR="00270596" w:rsidRDefault="00270596"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REGISTRAR OF DEEDS (N.O)</w:t>
      </w:r>
    </w:p>
    <w:p w14:paraId="263C2FCE" w14:textId="77777777" w:rsidR="00270596" w:rsidRDefault="00270596" w:rsidP="00270596">
      <w:pPr>
        <w:spacing w:after="0" w:line="240" w:lineRule="auto"/>
        <w:jc w:val="both"/>
        <w:rPr>
          <w:rFonts w:ascii="Times New Roman" w:eastAsia="Calibri" w:hAnsi="Times New Roman" w:cs="Times New Roman"/>
          <w:sz w:val="24"/>
          <w:szCs w:val="24"/>
        </w:rPr>
      </w:pPr>
    </w:p>
    <w:p w14:paraId="00D8B563" w14:textId="77777777" w:rsidR="006B1993" w:rsidRDefault="006B1993" w:rsidP="00270596">
      <w:pPr>
        <w:spacing w:after="0" w:line="240" w:lineRule="auto"/>
        <w:jc w:val="both"/>
        <w:rPr>
          <w:rFonts w:ascii="Times New Roman" w:eastAsia="Calibri" w:hAnsi="Times New Roman" w:cs="Times New Roman"/>
          <w:sz w:val="24"/>
          <w:szCs w:val="24"/>
        </w:rPr>
      </w:pPr>
    </w:p>
    <w:p w14:paraId="6E02AFF3" w14:textId="77777777" w:rsidR="00270596" w:rsidRDefault="00270596"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HIGH COURT OF ZIMBABWE</w:t>
      </w:r>
    </w:p>
    <w:p w14:paraId="7824ED5E" w14:textId="77777777" w:rsidR="00270596" w:rsidRDefault="00270596"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MUZOFA J</w:t>
      </w:r>
    </w:p>
    <w:p w14:paraId="3BB32529" w14:textId="179ADC1E" w:rsidR="00270596" w:rsidRDefault="00270596"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HARARE, 24 </w:t>
      </w:r>
      <w:r w:rsidR="000E67D4">
        <w:rPr>
          <w:rFonts w:ascii="Times New Roman" w:eastAsia="Calibri" w:hAnsi="Times New Roman" w:cs="Times New Roman"/>
          <w:sz w:val="24"/>
          <w:szCs w:val="24"/>
        </w:rPr>
        <w:t>May &amp;</w:t>
      </w:r>
      <w:r w:rsidR="006B1993">
        <w:rPr>
          <w:rFonts w:ascii="Times New Roman" w:eastAsia="Calibri" w:hAnsi="Times New Roman" w:cs="Times New Roman"/>
          <w:sz w:val="24"/>
          <w:szCs w:val="24"/>
        </w:rPr>
        <w:t xml:space="preserve"> 12</w:t>
      </w:r>
      <w:r>
        <w:rPr>
          <w:rFonts w:ascii="Times New Roman" w:eastAsia="Calibri" w:hAnsi="Times New Roman" w:cs="Times New Roman"/>
          <w:sz w:val="24"/>
          <w:szCs w:val="24"/>
        </w:rPr>
        <w:t xml:space="preserve"> August 2021</w:t>
      </w:r>
      <w:r w:rsidR="00ED450F">
        <w:rPr>
          <w:rFonts w:ascii="Times New Roman" w:eastAsia="Calibri" w:hAnsi="Times New Roman" w:cs="Times New Roman"/>
          <w:sz w:val="24"/>
          <w:szCs w:val="24"/>
        </w:rPr>
        <w:t xml:space="preserve"> </w:t>
      </w:r>
      <w:bookmarkStart w:id="0" w:name="_GoBack"/>
      <w:bookmarkEnd w:id="0"/>
    </w:p>
    <w:p w14:paraId="62A57307" w14:textId="77777777" w:rsidR="00270596" w:rsidRDefault="00270596" w:rsidP="00270596">
      <w:pPr>
        <w:spacing w:after="0" w:line="240" w:lineRule="auto"/>
        <w:jc w:val="both"/>
        <w:rPr>
          <w:rFonts w:ascii="Times New Roman" w:eastAsia="Calibri" w:hAnsi="Times New Roman" w:cs="Times New Roman"/>
          <w:sz w:val="24"/>
          <w:szCs w:val="24"/>
        </w:rPr>
      </w:pPr>
    </w:p>
    <w:p w14:paraId="003ACB48" w14:textId="77777777" w:rsidR="00270596" w:rsidRDefault="00270596" w:rsidP="00270596">
      <w:pPr>
        <w:spacing w:after="0" w:line="240" w:lineRule="auto"/>
        <w:jc w:val="both"/>
        <w:rPr>
          <w:rFonts w:ascii="Times New Roman" w:eastAsia="Calibri" w:hAnsi="Times New Roman" w:cs="Times New Roman"/>
          <w:sz w:val="24"/>
          <w:szCs w:val="24"/>
        </w:rPr>
      </w:pPr>
    </w:p>
    <w:p w14:paraId="6A9546AC" w14:textId="77777777" w:rsidR="00270596" w:rsidRDefault="00270596" w:rsidP="0027059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Opposed Matter</w:t>
      </w:r>
    </w:p>
    <w:p w14:paraId="7BC51331" w14:textId="77777777" w:rsidR="00270596" w:rsidRDefault="00270596" w:rsidP="00270596">
      <w:pPr>
        <w:spacing w:after="0" w:line="240" w:lineRule="auto"/>
        <w:jc w:val="both"/>
        <w:rPr>
          <w:rFonts w:ascii="Times New Roman" w:eastAsia="Calibri" w:hAnsi="Times New Roman" w:cs="Times New Roman"/>
          <w:b/>
          <w:sz w:val="24"/>
          <w:szCs w:val="24"/>
        </w:rPr>
      </w:pPr>
    </w:p>
    <w:p w14:paraId="527E3DCE" w14:textId="77777777" w:rsidR="00270596" w:rsidRDefault="00270596" w:rsidP="00270596">
      <w:pPr>
        <w:spacing w:after="0" w:line="240" w:lineRule="auto"/>
        <w:jc w:val="both"/>
        <w:rPr>
          <w:rFonts w:ascii="Times New Roman" w:eastAsia="Calibri" w:hAnsi="Times New Roman" w:cs="Times New Roman"/>
          <w:b/>
          <w:sz w:val="24"/>
          <w:szCs w:val="24"/>
        </w:rPr>
      </w:pPr>
    </w:p>
    <w:p w14:paraId="5015DD2E" w14:textId="77777777" w:rsidR="00270596" w:rsidRDefault="000E67D4"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D. Sanhanga</w:t>
      </w:r>
      <w:r w:rsidR="00270596">
        <w:rPr>
          <w:rFonts w:ascii="Times New Roman" w:eastAsia="Calibri" w:hAnsi="Times New Roman" w:cs="Times New Roman"/>
          <w:sz w:val="24"/>
          <w:szCs w:val="24"/>
        </w:rPr>
        <w:t>,</w:t>
      </w:r>
      <w:r w:rsidR="00270596">
        <w:rPr>
          <w:rFonts w:ascii="Times New Roman" w:eastAsia="Calibri" w:hAnsi="Times New Roman" w:cs="Times New Roman"/>
          <w:i/>
          <w:sz w:val="24"/>
          <w:szCs w:val="24"/>
        </w:rPr>
        <w:t xml:space="preserve"> </w:t>
      </w:r>
      <w:r w:rsidR="00270596">
        <w:rPr>
          <w:rFonts w:ascii="Times New Roman" w:eastAsia="Calibri" w:hAnsi="Times New Roman" w:cs="Times New Roman"/>
          <w:sz w:val="24"/>
          <w:szCs w:val="24"/>
        </w:rPr>
        <w:t xml:space="preserve">for the </w:t>
      </w:r>
      <w:r>
        <w:rPr>
          <w:rFonts w:ascii="Times New Roman" w:eastAsia="Calibri" w:hAnsi="Times New Roman" w:cs="Times New Roman"/>
          <w:sz w:val="24"/>
          <w:szCs w:val="24"/>
        </w:rPr>
        <w:t>applicants</w:t>
      </w:r>
    </w:p>
    <w:p w14:paraId="71D30347" w14:textId="77777777" w:rsidR="00270596" w:rsidRDefault="000E67D4"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F.Mahere</w:t>
      </w:r>
      <w:r w:rsidR="00270596">
        <w:rPr>
          <w:rFonts w:ascii="Times New Roman" w:eastAsia="Calibri" w:hAnsi="Times New Roman" w:cs="Times New Roman"/>
          <w:sz w:val="24"/>
          <w:szCs w:val="24"/>
        </w:rPr>
        <w:t xml:space="preserve">, for the </w:t>
      </w:r>
      <w:r>
        <w:rPr>
          <w:rFonts w:ascii="Times New Roman" w:eastAsia="Calibri" w:hAnsi="Times New Roman" w:cs="Times New Roman"/>
          <w:sz w:val="24"/>
          <w:szCs w:val="24"/>
        </w:rPr>
        <w:t>1</w:t>
      </w:r>
      <w:r w:rsidRPr="000E67D4">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respondent</w:t>
      </w:r>
    </w:p>
    <w:p w14:paraId="4731A544" w14:textId="48A09E5A" w:rsidR="000E67D4" w:rsidRDefault="000E67D4" w:rsidP="002705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appearance for the 2</w:t>
      </w:r>
      <w:r w:rsidRPr="000E67D4">
        <w:rPr>
          <w:rFonts w:ascii="Times New Roman" w:eastAsia="Calibri" w:hAnsi="Times New Roman" w:cs="Times New Roman"/>
          <w:sz w:val="24"/>
          <w:szCs w:val="24"/>
          <w:vertAlign w:val="superscript"/>
        </w:rPr>
        <w:t>nd</w:t>
      </w:r>
      <w:r w:rsidR="006B1993">
        <w:rPr>
          <w:rFonts w:ascii="Times New Roman" w:eastAsia="Calibri" w:hAnsi="Times New Roman" w:cs="Times New Roman"/>
          <w:sz w:val="24"/>
          <w:szCs w:val="24"/>
        </w:rPr>
        <w:t>, 3</w:t>
      </w:r>
      <w:r w:rsidR="006B1993" w:rsidRPr="006B1993">
        <w:rPr>
          <w:rFonts w:ascii="Times New Roman" w:eastAsia="Calibri" w:hAnsi="Times New Roman" w:cs="Times New Roman"/>
          <w:sz w:val="24"/>
          <w:szCs w:val="24"/>
          <w:vertAlign w:val="superscript"/>
        </w:rPr>
        <w:t>rd</w:t>
      </w:r>
      <w:r w:rsidR="006B1993">
        <w:rPr>
          <w:rFonts w:ascii="Times New Roman" w:eastAsia="Calibri" w:hAnsi="Times New Roman" w:cs="Times New Roman"/>
          <w:sz w:val="24"/>
          <w:szCs w:val="24"/>
        </w:rPr>
        <w:t xml:space="preserve"> </w:t>
      </w:r>
      <w:r>
        <w:rPr>
          <w:rFonts w:ascii="Times New Roman" w:eastAsia="Calibri" w:hAnsi="Times New Roman" w:cs="Times New Roman"/>
          <w:sz w:val="24"/>
          <w:szCs w:val="24"/>
        </w:rPr>
        <w:t>&amp;</w:t>
      </w:r>
      <w:r w:rsidR="006B1993">
        <w:rPr>
          <w:rFonts w:ascii="Times New Roman" w:eastAsia="Calibri" w:hAnsi="Times New Roman" w:cs="Times New Roman"/>
          <w:sz w:val="24"/>
          <w:szCs w:val="24"/>
        </w:rPr>
        <w:t xml:space="preserve"> </w:t>
      </w:r>
      <w:r>
        <w:rPr>
          <w:rFonts w:ascii="Times New Roman" w:eastAsia="Calibri" w:hAnsi="Times New Roman" w:cs="Times New Roman"/>
          <w:sz w:val="24"/>
          <w:szCs w:val="24"/>
        </w:rPr>
        <w:t>4</w:t>
      </w:r>
      <w:r w:rsidRPr="000E67D4">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respondents</w:t>
      </w:r>
    </w:p>
    <w:p w14:paraId="569DFFE3" w14:textId="77777777" w:rsidR="00270596" w:rsidRDefault="00270596" w:rsidP="00270596">
      <w:pPr>
        <w:spacing w:after="0" w:line="240" w:lineRule="auto"/>
        <w:jc w:val="both"/>
        <w:rPr>
          <w:rFonts w:ascii="Times New Roman" w:eastAsia="Calibri" w:hAnsi="Times New Roman" w:cs="Times New Roman"/>
          <w:sz w:val="24"/>
          <w:szCs w:val="24"/>
        </w:rPr>
      </w:pPr>
    </w:p>
    <w:p w14:paraId="066E8DAC" w14:textId="77777777" w:rsidR="00270596" w:rsidRDefault="00270596" w:rsidP="00270596">
      <w:pPr>
        <w:spacing w:after="0" w:line="240" w:lineRule="auto"/>
        <w:jc w:val="both"/>
        <w:rPr>
          <w:rFonts w:ascii="Times New Roman" w:eastAsia="Calibri" w:hAnsi="Times New Roman" w:cs="Times New Roman"/>
          <w:sz w:val="24"/>
          <w:szCs w:val="24"/>
        </w:rPr>
      </w:pPr>
    </w:p>
    <w:p w14:paraId="5A3DA9AB" w14:textId="77777777" w:rsidR="00270596" w:rsidRDefault="00270596" w:rsidP="00270596">
      <w:pPr>
        <w:spacing w:after="0" w:line="240" w:lineRule="auto"/>
        <w:jc w:val="both"/>
        <w:rPr>
          <w:rFonts w:ascii="Times New Roman" w:eastAsia="Calibri" w:hAnsi="Times New Roman" w:cs="Times New Roman"/>
          <w:sz w:val="24"/>
          <w:szCs w:val="24"/>
        </w:rPr>
      </w:pPr>
    </w:p>
    <w:p w14:paraId="26D46395" w14:textId="618290B4" w:rsidR="000E67D4" w:rsidRDefault="00270596" w:rsidP="0050284D">
      <w:pPr>
        <w:ind w:firstLine="720"/>
        <w:rPr>
          <w:rFonts w:ascii="Times New Roman" w:eastAsia="Calibri" w:hAnsi="Times New Roman" w:cs="Times New Roman"/>
          <w:sz w:val="24"/>
          <w:szCs w:val="24"/>
        </w:rPr>
      </w:pPr>
      <w:r>
        <w:rPr>
          <w:rFonts w:ascii="Times New Roman" w:eastAsia="Calibri" w:hAnsi="Times New Roman" w:cs="Times New Roman"/>
          <w:sz w:val="24"/>
          <w:szCs w:val="24"/>
        </w:rPr>
        <w:t>MUZOFA J: Th</w:t>
      </w:r>
      <w:r w:rsidR="000E67D4">
        <w:rPr>
          <w:rFonts w:ascii="Times New Roman" w:eastAsia="Calibri" w:hAnsi="Times New Roman" w:cs="Times New Roman"/>
          <w:sz w:val="24"/>
          <w:szCs w:val="24"/>
        </w:rPr>
        <w:t>is is an application for condonation of late filing of heads of arguments.</w:t>
      </w:r>
    </w:p>
    <w:p w14:paraId="3CFD1143" w14:textId="77777777" w:rsidR="000E67D4" w:rsidRDefault="000E67D4" w:rsidP="006B199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Factual background</w:t>
      </w:r>
    </w:p>
    <w:p w14:paraId="538C11C7" w14:textId="18C6D364" w:rsidR="003C158C" w:rsidRDefault="003C158C" w:rsidP="006B199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applicants</w:t>
      </w:r>
      <w:r w:rsidR="007872EA">
        <w:rPr>
          <w:rFonts w:ascii="Times New Roman" w:eastAsia="Calibri" w:hAnsi="Times New Roman" w:cs="Times New Roman"/>
          <w:sz w:val="24"/>
          <w:szCs w:val="24"/>
        </w:rPr>
        <w:t xml:space="preserve"> and the 1</w:t>
      </w:r>
      <w:r w:rsidR="007872EA" w:rsidRPr="007872EA">
        <w:rPr>
          <w:rFonts w:ascii="Times New Roman" w:eastAsia="Calibri" w:hAnsi="Times New Roman" w:cs="Times New Roman"/>
          <w:sz w:val="24"/>
          <w:szCs w:val="24"/>
          <w:vertAlign w:val="superscript"/>
        </w:rPr>
        <w:t>st</w:t>
      </w:r>
      <w:r w:rsidR="007872EA">
        <w:rPr>
          <w:rFonts w:ascii="Times New Roman" w:eastAsia="Calibri" w:hAnsi="Times New Roman" w:cs="Times New Roman"/>
          <w:sz w:val="24"/>
          <w:szCs w:val="24"/>
        </w:rPr>
        <w:t xml:space="preserve"> respondent have been in and out of </w:t>
      </w:r>
      <w:r>
        <w:rPr>
          <w:rFonts w:ascii="Times New Roman" w:eastAsia="Calibri" w:hAnsi="Times New Roman" w:cs="Times New Roman"/>
          <w:sz w:val="24"/>
          <w:szCs w:val="24"/>
        </w:rPr>
        <w:t>court from 1998 and its</w:t>
      </w:r>
      <w:r w:rsidR="0035784E">
        <w:rPr>
          <w:rFonts w:ascii="Times New Roman" w:eastAsia="Calibri" w:hAnsi="Times New Roman" w:cs="Times New Roman"/>
          <w:sz w:val="24"/>
          <w:szCs w:val="24"/>
        </w:rPr>
        <w:t xml:space="preserve"> now</w:t>
      </w:r>
      <w:r>
        <w:rPr>
          <w:rFonts w:ascii="Times New Roman" w:eastAsia="Calibri" w:hAnsi="Times New Roman" w:cs="Times New Roman"/>
          <w:sz w:val="24"/>
          <w:szCs w:val="24"/>
        </w:rPr>
        <w:t xml:space="preserve"> about 22 years later the parties are still on the case. There must be finality to </w:t>
      </w:r>
      <w:r w:rsidR="007C55A3">
        <w:rPr>
          <w:rFonts w:ascii="Times New Roman" w:eastAsia="Calibri" w:hAnsi="Times New Roman" w:cs="Times New Roman"/>
          <w:sz w:val="24"/>
          <w:szCs w:val="24"/>
        </w:rPr>
        <w:t xml:space="preserve">litigation. </w:t>
      </w:r>
      <w:r w:rsidR="00AB143C">
        <w:rPr>
          <w:rFonts w:ascii="Times New Roman" w:eastAsia="Calibri" w:hAnsi="Times New Roman" w:cs="Times New Roman"/>
          <w:sz w:val="24"/>
          <w:szCs w:val="24"/>
        </w:rPr>
        <w:t xml:space="preserve">It </w:t>
      </w:r>
      <w:r w:rsidR="00E20BE0">
        <w:rPr>
          <w:rFonts w:ascii="Times New Roman" w:eastAsia="Calibri" w:hAnsi="Times New Roman" w:cs="Times New Roman"/>
          <w:sz w:val="24"/>
          <w:szCs w:val="24"/>
        </w:rPr>
        <w:t>is indeed</w:t>
      </w:r>
      <w:r w:rsidR="00AB143C">
        <w:rPr>
          <w:rFonts w:ascii="Times New Roman" w:eastAsia="Calibri" w:hAnsi="Times New Roman" w:cs="Times New Roman"/>
          <w:sz w:val="24"/>
          <w:szCs w:val="24"/>
        </w:rPr>
        <w:t xml:space="preserve"> a</w:t>
      </w:r>
      <w:r w:rsidR="000D5745">
        <w:rPr>
          <w:rFonts w:ascii="Times New Roman" w:eastAsia="Calibri" w:hAnsi="Times New Roman" w:cs="Times New Roman"/>
          <w:sz w:val="24"/>
          <w:szCs w:val="24"/>
        </w:rPr>
        <w:t>n</w:t>
      </w:r>
      <w:r w:rsidR="00AB143C">
        <w:rPr>
          <w:rFonts w:ascii="Times New Roman" w:eastAsia="Calibri" w:hAnsi="Times New Roman" w:cs="Times New Roman"/>
          <w:sz w:val="24"/>
          <w:szCs w:val="24"/>
        </w:rPr>
        <w:t xml:space="preserve"> inconvenience for a party to be haunted by a case for such a long time. In the circumstances of this case the matter must have been put to rest as far back as 2004.The applicants seem unrelenting and continue to</w:t>
      </w:r>
      <w:r w:rsidR="0004590F">
        <w:rPr>
          <w:rFonts w:ascii="Times New Roman" w:eastAsia="Calibri" w:hAnsi="Times New Roman" w:cs="Times New Roman"/>
          <w:sz w:val="24"/>
          <w:szCs w:val="24"/>
        </w:rPr>
        <w:t xml:space="preserve"> </w:t>
      </w:r>
      <w:r w:rsidR="00AF4C03">
        <w:rPr>
          <w:rFonts w:ascii="Times New Roman" w:eastAsia="Calibri" w:hAnsi="Times New Roman" w:cs="Times New Roman"/>
          <w:sz w:val="24"/>
          <w:szCs w:val="24"/>
        </w:rPr>
        <w:t xml:space="preserve">file applications </w:t>
      </w:r>
      <w:r w:rsidR="00202C85">
        <w:rPr>
          <w:rFonts w:ascii="Times New Roman" w:eastAsia="Calibri" w:hAnsi="Times New Roman" w:cs="Times New Roman"/>
          <w:sz w:val="24"/>
          <w:szCs w:val="24"/>
        </w:rPr>
        <w:t>with condescension</w:t>
      </w:r>
      <w:r w:rsidR="00AF4C03">
        <w:rPr>
          <w:rFonts w:ascii="Times New Roman" w:eastAsia="Calibri" w:hAnsi="Times New Roman" w:cs="Times New Roman"/>
          <w:sz w:val="24"/>
          <w:szCs w:val="24"/>
        </w:rPr>
        <w:t>.</w:t>
      </w:r>
    </w:p>
    <w:p w14:paraId="01024F1F" w14:textId="3ACE2697" w:rsidR="00AC631F" w:rsidRDefault="0035784E" w:rsidP="004F0876">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On 26 November 2002 an order</w:t>
      </w:r>
      <w:r w:rsidR="00202C85">
        <w:rPr>
          <w:rFonts w:ascii="Times New Roman" w:eastAsia="Calibri" w:hAnsi="Times New Roman" w:cs="Times New Roman"/>
          <w:sz w:val="24"/>
          <w:szCs w:val="24"/>
        </w:rPr>
        <w:t xml:space="preserve"> by </w:t>
      </w:r>
      <w:r w:rsidR="00F61FEF">
        <w:rPr>
          <w:rFonts w:ascii="Times New Roman" w:eastAsia="Calibri" w:hAnsi="Times New Roman" w:cs="Times New Roman"/>
          <w:sz w:val="24"/>
          <w:szCs w:val="24"/>
        </w:rPr>
        <w:t>consent was</w:t>
      </w:r>
      <w:r>
        <w:rPr>
          <w:rFonts w:ascii="Times New Roman" w:eastAsia="Calibri" w:hAnsi="Times New Roman" w:cs="Times New Roman"/>
          <w:sz w:val="24"/>
          <w:szCs w:val="24"/>
        </w:rPr>
        <w:t xml:space="preserve"> granted in favour of the 1</w:t>
      </w:r>
      <w:r w:rsidRPr="0035784E">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respondent</w:t>
      </w:r>
      <w:r w:rsidR="007C55A3">
        <w:rPr>
          <w:rFonts w:ascii="Times New Roman" w:eastAsia="Calibri" w:hAnsi="Times New Roman" w:cs="Times New Roman"/>
          <w:sz w:val="24"/>
          <w:szCs w:val="24"/>
        </w:rPr>
        <w:t xml:space="preserve"> </w:t>
      </w:r>
      <w:r w:rsidR="00F61FEF">
        <w:rPr>
          <w:rFonts w:ascii="Times New Roman" w:eastAsia="Calibri" w:hAnsi="Times New Roman" w:cs="Times New Roman"/>
          <w:sz w:val="24"/>
          <w:szCs w:val="24"/>
        </w:rPr>
        <w:t xml:space="preserve">in the sum </w:t>
      </w:r>
      <w:r w:rsidR="00F6685B">
        <w:rPr>
          <w:rFonts w:ascii="Times New Roman" w:eastAsia="Calibri" w:hAnsi="Times New Roman" w:cs="Times New Roman"/>
          <w:sz w:val="24"/>
          <w:szCs w:val="24"/>
        </w:rPr>
        <w:t>of US</w:t>
      </w:r>
      <w:r w:rsidR="007C55A3">
        <w:rPr>
          <w:rFonts w:ascii="Times New Roman" w:eastAsia="Calibri" w:hAnsi="Times New Roman" w:cs="Times New Roman"/>
          <w:sz w:val="24"/>
          <w:szCs w:val="24"/>
        </w:rPr>
        <w:t xml:space="preserve">$590 470, </w:t>
      </w:r>
      <w:r w:rsidR="00F6685B">
        <w:rPr>
          <w:rFonts w:ascii="Times New Roman" w:eastAsia="Calibri" w:hAnsi="Times New Roman" w:cs="Times New Roman"/>
          <w:sz w:val="24"/>
          <w:szCs w:val="24"/>
        </w:rPr>
        <w:t>68 with interest</w:t>
      </w:r>
      <w:r w:rsidR="007C55A3">
        <w:rPr>
          <w:rFonts w:ascii="Times New Roman" w:eastAsia="Calibri" w:hAnsi="Times New Roman" w:cs="Times New Roman"/>
          <w:sz w:val="24"/>
          <w:szCs w:val="24"/>
        </w:rPr>
        <w:t xml:space="preserve"> and $54 917, </w:t>
      </w:r>
      <w:r w:rsidR="00802230">
        <w:rPr>
          <w:rFonts w:ascii="Times New Roman" w:eastAsia="Calibri" w:hAnsi="Times New Roman" w:cs="Times New Roman"/>
          <w:sz w:val="24"/>
          <w:szCs w:val="24"/>
        </w:rPr>
        <w:t>68 with interest</w:t>
      </w:r>
      <w:r w:rsidR="007C55A3">
        <w:rPr>
          <w:rFonts w:ascii="Times New Roman" w:eastAsia="Calibri" w:hAnsi="Times New Roman" w:cs="Times New Roman"/>
          <w:sz w:val="24"/>
          <w:szCs w:val="24"/>
        </w:rPr>
        <w:t xml:space="preserve"> thereon</w:t>
      </w:r>
      <w:r w:rsidR="00AB143C">
        <w:rPr>
          <w:rFonts w:ascii="Times New Roman" w:eastAsia="Calibri" w:hAnsi="Times New Roman" w:cs="Times New Roman"/>
          <w:sz w:val="24"/>
          <w:szCs w:val="24"/>
        </w:rPr>
        <w:t xml:space="preserve"> ‘the </w:t>
      </w:r>
      <w:r w:rsidR="00D13714">
        <w:rPr>
          <w:rFonts w:ascii="Times New Roman" w:eastAsia="Calibri" w:hAnsi="Times New Roman" w:cs="Times New Roman"/>
          <w:sz w:val="24"/>
          <w:szCs w:val="24"/>
        </w:rPr>
        <w:t>order</w:t>
      </w:r>
      <w:r w:rsidR="00C465DA">
        <w:rPr>
          <w:rFonts w:ascii="Times New Roman" w:eastAsia="Calibri" w:hAnsi="Times New Roman" w:cs="Times New Roman"/>
          <w:sz w:val="24"/>
          <w:szCs w:val="24"/>
        </w:rPr>
        <w:t xml:space="preserve"> </w:t>
      </w:r>
      <w:r w:rsidR="00D13714">
        <w:rPr>
          <w:rFonts w:ascii="Times New Roman" w:eastAsia="Calibri" w:hAnsi="Times New Roman" w:cs="Times New Roman"/>
          <w:sz w:val="24"/>
          <w:szCs w:val="24"/>
        </w:rPr>
        <w:t>by consent</w:t>
      </w:r>
      <w:r w:rsidR="00C465DA">
        <w:rPr>
          <w:rFonts w:ascii="Times New Roman" w:eastAsia="Calibri" w:hAnsi="Times New Roman" w:cs="Times New Roman"/>
          <w:sz w:val="24"/>
          <w:szCs w:val="24"/>
        </w:rPr>
        <w:t>’.</w:t>
      </w:r>
      <w:r w:rsidR="007C55A3">
        <w:rPr>
          <w:rFonts w:ascii="Times New Roman" w:eastAsia="Calibri" w:hAnsi="Times New Roman" w:cs="Times New Roman"/>
          <w:sz w:val="24"/>
          <w:szCs w:val="24"/>
        </w:rPr>
        <w:t xml:space="preserve"> </w:t>
      </w:r>
      <w:r w:rsidR="0050284D">
        <w:rPr>
          <w:rFonts w:ascii="Times New Roman" w:eastAsia="Calibri" w:hAnsi="Times New Roman" w:cs="Times New Roman"/>
          <w:sz w:val="24"/>
          <w:szCs w:val="24"/>
        </w:rPr>
        <w:t xml:space="preserve"> </w:t>
      </w:r>
      <w:r w:rsidR="007C55A3">
        <w:rPr>
          <w:rFonts w:ascii="Times New Roman" w:eastAsia="Calibri" w:hAnsi="Times New Roman" w:cs="Times New Roman"/>
          <w:sz w:val="24"/>
          <w:szCs w:val="24"/>
        </w:rPr>
        <w:t xml:space="preserve">In 2003 the applicants filed an application for the setting aside of </w:t>
      </w:r>
      <w:r w:rsidR="00F6685B">
        <w:rPr>
          <w:rFonts w:ascii="Times New Roman" w:eastAsia="Calibri" w:hAnsi="Times New Roman" w:cs="Times New Roman"/>
          <w:sz w:val="24"/>
          <w:szCs w:val="24"/>
        </w:rPr>
        <w:t>the order</w:t>
      </w:r>
      <w:r w:rsidR="00C465DA">
        <w:rPr>
          <w:rFonts w:ascii="Times New Roman" w:eastAsia="Calibri" w:hAnsi="Times New Roman" w:cs="Times New Roman"/>
          <w:sz w:val="24"/>
          <w:szCs w:val="24"/>
        </w:rPr>
        <w:t xml:space="preserve"> by</w:t>
      </w:r>
      <w:r w:rsidR="00F6685B">
        <w:rPr>
          <w:rFonts w:ascii="Times New Roman" w:eastAsia="Calibri" w:hAnsi="Times New Roman" w:cs="Times New Roman"/>
          <w:sz w:val="24"/>
          <w:szCs w:val="24"/>
        </w:rPr>
        <w:t xml:space="preserve"> </w:t>
      </w:r>
      <w:r w:rsidR="007C55A3">
        <w:rPr>
          <w:rFonts w:ascii="Times New Roman" w:eastAsia="Calibri" w:hAnsi="Times New Roman" w:cs="Times New Roman"/>
          <w:sz w:val="24"/>
          <w:szCs w:val="24"/>
        </w:rPr>
        <w:t>consent</w:t>
      </w:r>
      <w:r w:rsidR="00F6685B">
        <w:rPr>
          <w:rFonts w:ascii="Times New Roman" w:eastAsia="Calibri" w:hAnsi="Times New Roman" w:cs="Times New Roman"/>
          <w:sz w:val="24"/>
          <w:szCs w:val="24"/>
        </w:rPr>
        <w:t>.</w:t>
      </w:r>
      <w:r w:rsidR="007C55A3">
        <w:rPr>
          <w:rFonts w:ascii="Times New Roman" w:eastAsia="Calibri" w:hAnsi="Times New Roman" w:cs="Times New Roman"/>
          <w:sz w:val="24"/>
          <w:szCs w:val="24"/>
        </w:rPr>
        <w:t xml:space="preserve"> The application was dismissed under HH123/</w:t>
      </w:r>
      <w:r w:rsidR="00F6685B">
        <w:rPr>
          <w:rFonts w:ascii="Times New Roman" w:eastAsia="Calibri" w:hAnsi="Times New Roman" w:cs="Times New Roman"/>
          <w:sz w:val="24"/>
          <w:szCs w:val="24"/>
        </w:rPr>
        <w:t>04. Several</w:t>
      </w:r>
      <w:r w:rsidR="007C55A3">
        <w:rPr>
          <w:rFonts w:ascii="Times New Roman" w:eastAsia="Calibri" w:hAnsi="Times New Roman" w:cs="Times New Roman"/>
          <w:sz w:val="24"/>
          <w:szCs w:val="24"/>
        </w:rPr>
        <w:t xml:space="preserve"> court applications ensued between the </w:t>
      </w:r>
      <w:r w:rsidR="00AB143C">
        <w:rPr>
          <w:rFonts w:ascii="Times New Roman" w:eastAsia="Calibri" w:hAnsi="Times New Roman" w:cs="Times New Roman"/>
          <w:sz w:val="24"/>
          <w:szCs w:val="24"/>
        </w:rPr>
        <w:t>parties. I shall not refer to them as they are</w:t>
      </w:r>
      <w:r w:rsidR="007C55A3">
        <w:rPr>
          <w:rFonts w:ascii="Times New Roman" w:eastAsia="Calibri" w:hAnsi="Times New Roman" w:cs="Times New Roman"/>
          <w:sz w:val="24"/>
          <w:szCs w:val="24"/>
        </w:rPr>
        <w:t xml:space="preserve"> not directly relevant</w:t>
      </w:r>
      <w:r w:rsidR="00AB143C">
        <w:rPr>
          <w:rFonts w:ascii="Times New Roman" w:eastAsia="Calibri" w:hAnsi="Times New Roman" w:cs="Times New Roman"/>
          <w:sz w:val="24"/>
          <w:szCs w:val="24"/>
        </w:rPr>
        <w:t xml:space="preserve"> in the determination of </w:t>
      </w:r>
      <w:r w:rsidR="00F6685B">
        <w:rPr>
          <w:rFonts w:ascii="Times New Roman" w:eastAsia="Calibri" w:hAnsi="Times New Roman" w:cs="Times New Roman"/>
          <w:sz w:val="24"/>
          <w:szCs w:val="24"/>
        </w:rPr>
        <w:t>this matter</w:t>
      </w:r>
      <w:r w:rsidR="007C55A3">
        <w:rPr>
          <w:rFonts w:ascii="Times New Roman" w:eastAsia="Calibri" w:hAnsi="Times New Roman" w:cs="Times New Roman"/>
          <w:sz w:val="24"/>
          <w:szCs w:val="24"/>
        </w:rPr>
        <w:t>.</w:t>
      </w:r>
      <w:r w:rsidR="00F6685B">
        <w:rPr>
          <w:rFonts w:ascii="Times New Roman" w:eastAsia="Calibri" w:hAnsi="Times New Roman" w:cs="Times New Roman"/>
          <w:sz w:val="24"/>
          <w:szCs w:val="24"/>
        </w:rPr>
        <w:t xml:space="preserve"> I shall refer to a few that </w:t>
      </w:r>
      <w:r w:rsidR="00802230">
        <w:rPr>
          <w:rFonts w:ascii="Times New Roman" w:eastAsia="Calibri" w:hAnsi="Times New Roman" w:cs="Times New Roman"/>
          <w:sz w:val="24"/>
          <w:szCs w:val="24"/>
        </w:rPr>
        <w:t>are relevant.</w:t>
      </w:r>
      <w:r w:rsidR="007C55A3">
        <w:rPr>
          <w:rFonts w:ascii="Times New Roman" w:eastAsia="Calibri" w:hAnsi="Times New Roman" w:cs="Times New Roman"/>
          <w:sz w:val="24"/>
          <w:szCs w:val="24"/>
        </w:rPr>
        <w:t xml:space="preserve"> Subsequently the applicants </w:t>
      </w:r>
      <w:r w:rsidR="007C55A3">
        <w:rPr>
          <w:rFonts w:ascii="Times New Roman" w:eastAsia="Calibri" w:hAnsi="Times New Roman" w:cs="Times New Roman"/>
          <w:sz w:val="24"/>
          <w:szCs w:val="24"/>
        </w:rPr>
        <w:lastRenderedPageBreak/>
        <w:t>filed yet another application for the setting aside of the order</w:t>
      </w:r>
      <w:r w:rsidR="00802230">
        <w:rPr>
          <w:rFonts w:ascii="Times New Roman" w:eastAsia="Calibri" w:hAnsi="Times New Roman" w:cs="Times New Roman"/>
          <w:sz w:val="24"/>
          <w:szCs w:val="24"/>
        </w:rPr>
        <w:t xml:space="preserve"> by consent</w:t>
      </w:r>
      <w:r w:rsidR="007C55A3">
        <w:rPr>
          <w:rFonts w:ascii="Times New Roman" w:eastAsia="Calibri" w:hAnsi="Times New Roman" w:cs="Times New Roman"/>
          <w:sz w:val="24"/>
          <w:szCs w:val="24"/>
        </w:rPr>
        <w:t xml:space="preserve"> </w:t>
      </w:r>
      <w:r w:rsidR="00AB143C">
        <w:rPr>
          <w:rFonts w:ascii="Times New Roman" w:eastAsia="Calibri" w:hAnsi="Times New Roman" w:cs="Times New Roman"/>
          <w:sz w:val="24"/>
          <w:szCs w:val="24"/>
        </w:rPr>
        <w:t>under</w:t>
      </w:r>
      <w:r w:rsidR="00802230">
        <w:rPr>
          <w:rFonts w:ascii="Times New Roman" w:eastAsia="Calibri" w:hAnsi="Times New Roman" w:cs="Times New Roman"/>
          <w:sz w:val="24"/>
          <w:szCs w:val="24"/>
        </w:rPr>
        <w:t xml:space="preserve"> HC</w:t>
      </w:r>
      <w:r w:rsidR="00BB1612">
        <w:rPr>
          <w:rFonts w:ascii="Times New Roman" w:eastAsia="Calibri" w:hAnsi="Times New Roman" w:cs="Times New Roman"/>
          <w:sz w:val="24"/>
          <w:szCs w:val="24"/>
        </w:rPr>
        <w:t xml:space="preserve"> 5408/18</w:t>
      </w:r>
      <w:r w:rsidR="00C06E78">
        <w:rPr>
          <w:rFonts w:ascii="Times New Roman" w:eastAsia="Calibri" w:hAnsi="Times New Roman" w:cs="Times New Roman"/>
          <w:sz w:val="24"/>
          <w:szCs w:val="24"/>
        </w:rPr>
        <w:t>’ the main matter’</w:t>
      </w:r>
      <w:r w:rsidR="00AB143C">
        <w:rPr>
          <w:rFonts w:ascii="Times New Roman" w:eastAsia="Calibri" w:hAnsi="Times New Roman" w:cs="Times New Roman"/>
          <w:sz w:val="24"/>
          <w:szCs w:val="24"/>
        </w:rPr>
        <w:t xml:space="preserve"> in</w:t>
      </w:r>
      <w:r w:rsidR="00632065">
        <w:rPr>
          <w:rFonts w:ascii="Times New Roman" w:eastAsia="Calibri" w:hAnsi="Times New Roman" w:cs="Times New Roman"/>
          <w:sz w:val="24"/>
          <w:szCs w:val="24"/>
        </w:rPr>
        <w:t xml:space="preserve"> terms of rule 449 (1) and (2) of the High Court </w:t>
      </w:r>
      <w:r w:rsidR="0068111B">
        <w:rPr>
          <w:rFonts w:ascii="Times New Roman" w:eastAsia="Calibri" w:hAnsi="Times New Roman" w:cs="Times New Roman"/>
          <w:sz w:val="24"/>
          <w:szCs w:val="24"/>
        </w:rPr>
        <w:t>Rules, 1971.Parties</w:t>
      </w:r>
      <w:r w:rsidR="00632065">
        <w:rPr>
          <w:rFonts w:ascii="Times New Roman" w:eastAsia="Calibri" w:hAnsi="Times New Roman" w:cs="Times New Roman"/>
          <w:sz w:val="24"/>
          <w:szCs w:val="24"/>
        </w:rPr>
        <w:t xml:space="preserve"> filed their </w:t>
      </w:r>
      <w:r w:rsidR="0050284D">
        <w:rPr>
          <w:rFonts w:ascii="Times New Roman" w:eastAsia="Calibri" w:hAnsi="Times New Roman" w:cs="Times New Roman"/>
          <w:sz w:val="24"/>
          <w:szCs w:val="24"/>
        </w:rPr>
        <w:t>pleadings. The</w:t>
      </w:r>
      <w:r w:rsidR="00632065">
        <w:rPr>
          <w:rFonts w:ascii="Times New Roman" w:eastAsia="Calibri" w:hAnsi="Times New Roman" w:cs="Times New Roman"/>
          <w:sz w:val="24"/>
          <w:szCs w:val="24"/>
        </w:rPr>
        <w:t xml:space="preserve"> applicants failed to file their heads of argument in terms of the rules. In the result they filed this application for condonation </w:t>
      </w:r>
      <w:r w:rsidR="004F2541">
        <w:rPr>
          <w:rFonts w:ascii="Times New Roman" w:eastAsia="Calibri" w:hAnsi="Times New Roman" w:cs="Times New Roman"/>
          <w:sz w:val="24"/>
          <w:szCs w:val="24"/>
        </w:rPr>
        <w:t xml:space="preserve">for </w:t>
      </w:r>
      <w:r w:rsidR="00632065">
        <w:rPr>
          <w:rFonts w:ascii="Times New Roman" w:eastAsia="Calibri" w:hAnsi="Times New Roman" w:cs="Times New Roman"/>
          <w:sz w:val="24"/>
          <w:szCs w:val="24"/>
        </w:rPr>
        <w:t>late filing of the heads of argument.</w:t>
      </w:r>
    </w:p>
    <w:p w14:paraId="7322D746" w14:textId="18EC04EB" w:rsidR="009F2072" w:rsidRDefault="00AB143C" w:rsidP="004F0876">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9F2072">
        <w:rPr>
          <w:rFonts w:ascii="Times New Roman" w:eastAsia="Calibri" w:hAnsi="Times New Roman" w:cs="Times New Roman"/>
          <w:sz w:val="24"/>
          <w:szCs w:val="24"/>
        </w:rPr>
        <w:t>2</w:t>
      </w:r>
      <w:r w:rsidR="009F2072" w:rsidRPr="00AB143C">
        <w:rPr>
          <w:rFonts w:ascii="Times New Roman" w:eastAsia="Calibri" w:hAnsi="Times New Roman" w:cs="Times New Roman"/>
          <w:sz w:val="24"/>
          <w:szCs w:val="24"/>
          <w:vertAlign w:val="superscript"/>
        </w:rPr>
        <w:t>nd</w:t>
      </w:r>
      <w:r w:rsidR="009F2072">
        <w:rPr>
          <w:rFonts w:ascii="Times New Roman" w:eastAsia="Calibri" w:hAnsi="Times New Roman" w:cs="Times New Roman"/>
          <w:sz w:val="24"/>
          <w:szCs w:val="24"/>
        </w:rPr>
        <w:t>, 3</w:t>
      </w:r>
      <w:r w:rsidR="009F2072" w:rsidRPr="0050284D">
        <w:rPr>
          <w:rFonts w:ascii="Times New Roman" w:eastAsia="Calibri" w:hAnsi="Times New Roman" w:cs="Times New Roman"/>
          <w:sz w:val="24"/>
          <w:szCs w:val="24"/>
          <w:vertAlign w:val="superscript"/>
        </w:rPr>
        <w:t>rd</w:t>
      </w:r>
      <w:r w:rsidR="005028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and 4</w:t>
      </w:r>
      <w:r w:rsidRPr="00AB143C">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respondents did not file opposing papers.</w:t>
      </w:r>
    </w:p>
    <w:p w14:paraId="6E7CF2F5" w14:textId="77777777" w:rsidR="009F2072" w:rsidRDefault="009F2072" w:rsidP="006B199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Preliminary issues </w:t>
      </w:r>
    </w:p>
    <w:p w14:paraId="50A2031F" w14:textId="56B9770E" w:rsidR="003A286C" w:rsidRDefault="00AC631F" w:rsidP="004F0876">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In its opposing affidavit, the 1</w:t>
      </w:r>
      <w:r w:rsidRPr="00AC631F">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respondent took the point that the</w:t>
      </w:r>
      <w:r w:rsidR="00B05539">
        <w:rPr>
          <w:rFonts w:ascii="Times New Roman" w:eastAsia="Calibri" w:hAnsi="Times New Roman" w:cs="Times New Roman"/>
          <w:sz w:val="24"/>
          <w:szCs w:val="24"/>
        </w:rPr>
        <w:t xml:space="preserve"> applicants cited a </w:t>
      </w:r>
      <w:r w:rsidR="00153FAF">
        <w:rPr>
          <w:rFonts w:ascii="Times New Roman" w:eastAsia="Calibri" w:hAnsi="Times New Roman" w:cs="Times New Roman"/>
          <w:sz w:val="24"/>
          <w:szCs w:val="24"/>
        </w:rPr>
        <w:t>non-existent</w:t>
      </w:r>
      <w:r w:rsidR="00B05539">
        <w:rPr>
          <w:rFonts w:ascii="Times New Roman" w:eastAsia="Calibri" w:hAnsi="Times New Roman" w:cs="Times New Roman"/>
          <w:sz w:val="24"/>
          <w:szCs w:val="24"/>
        </w:rPr>
        <w:t xml:space="preserve"> </w:t>
      </w:r>
      <w:r w:rsidR="00153FAF">
        <w:rPr>
          <w:rFonts w:ascii="Times New Roman" w:eastAsia="Calibri" w:hAnsi="Times New Roman" w:cs="Times New Roman"/>
          <w:sz w:val="24"/>
          <w:szCs w:val="24"/>
        </w:rPr>
        <w:t>entity. The</w:t>
      </w:r>
      <w:r w:rsidR="00B05539">
        <w:rPr>
          <w:rFonts w:ascii="Times New Roman" w:eastAsia="Calibri" w:hAnsi="Times New Roman" w:cs="Times New Roman"/>
          <w:sz w:val="24"/>
          <w:szCs w:val="24"/>
        </w:rPr>
        <w:t xml:space="preserve"> application is therefore a </w:t>
      </w:r>
      <w:r w:rsidR="00153FAF">
        <w:rPr>
          <w:rFonts w:ascii="Times New Roman" w:eastAsia="Calibri" w:hAnsi="Times New Roman" w:cs="Times New Roman"/>
          <w:sz w:val="24"/>
          <w:szCs w:val="24"/>
        </w:rPr>
        <w:t>nullity, there</w:t>
      </w:r>
      <w:r w:rsidR="00B05539">
        <w:rPr>
          <w:rFonts w:ascii="Times New Roman" w:eastAsia="Calibri" w:hAnsi="Times New Roman" w:cs="Times New Roman"/>
          <w:sz w:val="24"/>
          <w:szCs w:val="24"/>
        </w:rPr>
        <w:t xml:space="preserve"> is no 1</w:t>
      </w:r>
      <w:r w:rsidR="00B05539" w:rsidRPr="00B05539">
        <w:rPr>
          <w:rFonts w:ascii="Times New Roman" w:eastAsia="Calibri" w:hAnsi="Times New Roman" w:cs="Times New Roman"/>
          <w:sz w:val="24"/>
          <w:szCs w:val="24"/>
          <w:vertAlign w:val="superscript"/>
        </w:rPr>
        <w:t>st</w:t>
      </w:r>
      <w:r w:rsidR="00B05539">
        <w:rPr>
          <w:rFonts w:ascii="Times New Roman" w:eastAsia="Calibri" w:hAnsi="Times New Roman" w:cs="Times New Roman"/>
          <w:sz w:val="24"/>
          <w:szCs w:val="24"/>
        </w:rPr>
        <w:t xml:space="preserve"> </w:t>
      </w:r>
      <w:r w:rsidR="00153FAF">
        <w:rPr>
          <w:rFonts w:ascii="Times New Roman" w:eastAsia="Calibri" w:hAnsi="Times New Roman" w:cs="Times New Roman"/>
          <w:sz w:val="24"/>
          <w:szCs w:val="24"/>
        </w:rPr>
        <w:t>respondent. The</w:t>
      </w:r>
      <w:r>
        <w:rPr>
          <w:rFonts w:ascii="Times New Roman" w:eastAsia="Calibri" w:hAnsi="Times New Roman" w:cs="Times New Roman"/>
          <w:sz w:val="24"/>
          <w:szCs w:val="24"/>
        </w:rPr>
        <w:t xml:space="preserve"> 1</w:t>
      </w:r>
      <w:r w:rsidRPr="00AC631F">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respondent is not a private company but a statutory body. It is known as the Infrastructure Development Bank of </w:t>
      </w:r>
      <w:r w:rsidR="008A611C">
        <w:rPr>
          <w:rFonts w:ascii="Times New Roman" w:eastAsia="Calibri" w:hAnsi="Times New Roman" w:cs="Times New Roman"/>
          <w:sz w:val="24"/>
          <w:szCs w:val="24"/>
        </w:rPr>
        <w:t xml:space="preserve">Zimbabwe. </w:t>
      </w:r>
      <w:r w:rsidR="00FD4ACA">
        <w:rPr>
          <w:rFonts w:ascii="Times New Roman" w:eastAsia="Calibri" w:hAnsi="Times New Roman" w:cs="Times New Roman"/>
          <w:sz w:val="24"/>
          <w:szCs w:val="24"/>
        </w:rPr>
        <w:t>In their answering affidavit and heads of argument the applicants conceded that the 1</w:t>
      </w:r>
      <w:r w:rsidR="00FD4ACA" w:rsidRPr="00FD4ACA">
        <w:rPr>
          <w:rFonts w:ascii="Times New Roman" w:eastAsia="Calibri" w:hAnsi="Times New Roman" w:cs="Times New Roman"/>
          <w:sz w:val="24"/>
          <w:szCs w:val="24"/>
          <w:vertAlign w:val="superscript"/>
        </w:rPr>
        <w:t>st</w:t>
      </w:r>
      <w:r w:rsidR="00FD4ACA">
        <w:rPr>
          <w:rFonts w:ascii="Times New Roman" w:eastAsia="Calibri" w:hAnsi="Times New Roman" w:cs="Times New Roman"/>
          <w:sz w:val="24"/>
          <w:szCs w:val="24"/>
        </w:rPr>
        <w:t xml:space="preserve"> respondent was not properly cited but explained it as a</w:t>
      </w:r>
      <w:r w:rsidR="008A611C">
        <w:rPr>
          <w:rFonts w:ascii="Times New Roman" w:eastAsia="Calibri" w:hAnsi="Times New Roman" w:cs="Times New Roman"/>
          <w:sz w:val="24"/>
          <w:szCs w:val="24"/>
        </w:rPr>
        <w:t xml:space="preserve"> mis</w:t>
      </w:r>
      <w:r w:rsidR="00F65CB1">
        <w:rPr>
          <w:rFonts w:ascii="Times New Roman" w:eastAsia="Calibri" w:hAnsi="Times New Roman" w:cs="Times New Roman"/>
          <w:sz w:val="24"/>
          <w:szCs w:val="24"/>
        </w:rPr>
        <w:t>-</w:t>
      </w:r>
      <w:r w:rsidR="00047F07">
        <w:rPr>
          <w:rFonts w:ascii="Times New Roman" w:eastAsia="Calibri" w:hAnsi="Times New Roman" w:cs="Times New Roman"/>
          <w:sz w:val="24"/>
          <w:szCs w:val="24"/>
        </w:rPr>
        <w:t>description as</w:t>
      </w:r>
      <w:r w:rsidR="003A286C">
        <w:rPr>
          <w:rFonts w:ascii="Times New Roman" w:eastAsia="Calibri" w:hAnsi="Times New Roman" w:cs="Times New Roman"/>
          <w:sz w:val="24"/>
          <w:szCs w:val="24"/>
        </w:rPr>
        <w:t xml:space="preserve"> opposed to citing a </w:t>
      </w:r>
      <w:r w:rsidR="00FD4ACA">
        <w:rPr>
          <w:rFonts w:ascii="Times New Roman" w:eastAsia="Calibri" w:hAnsi="Times New Roman" w:cs="Times New Roman"/>
          <w:sz w:val="24"/>
          <w:szCs w:val="24"/>
        </w:rPr>
        <w:t>non-existing</w:t>
      </w:r>
      <w:r w:rsidR="003A286C">
        <w:rPr>
          <w:rFonts w:ascii="Times New Roman" w:eastAsia="Calibri" w:hAnsi="Times New Roman" w:cs="Times New Roman"/>
          <w:sz w:val="24"/>
          <w:szCs w:val="24"/>
        </w:rPr>
        <w:t xml:space="preserve"> party. </w:t>
      </w:r>
      <w:r w:rsidR="00FD4ACA">
        <w:rPr>
          <w:rFonts w:ascii="Times New Roman" w:eastAsia="Calibri" w:hAnsi="Times New Roman" w:cs="Times New Roman"/>
          <w:sz w:val="24"/>
          <w:szCs w:val="24"/>
        </w:rPr>
        <w:t xml:space="preserve">On the date of hearing of the matter </w:t>
      </w:r>
      <w:r w:rsidR="00FD4ACA" w:rsidRPr="00D16CB7">
        <w:rPr>
          <w:rFonts w:ascii="Times New Roman" w:eastAsia="Calibri" w:hAnsi="Times New Roman" w:cs="Times New Roman"/>
          <w:i/>
          <w:iCs/>
          <w:sz w:val="24"/>
          <w:szCs w:val="24"/>
        </w:rPr>
        <w:t>Ms Sanhanga</w:t>
      </w:r>
      <w:r w:rsidR="00FD4ACA">
        <w:rPr>
          <w:rFonts w:ascii="Times New Roman" w:eastAsia="Calibri" w:hAnsi="Times New Roman" w:cs="Times New Roman"/>
          <w:sz w:val="24"/>
          <w:szCs w:val="24"/>
        </w:rPr>
        <w:t xml:space="preserve"> applied for an amendment </w:t>
      </w:r>
      <w:r w:rsidR="00426E76">
        <w:rPr>
          <w:rFonts w:ascii="Times New Roman" w:eastAsia="Calibri" w:hAnsi="Times New Roman" w:cs="Times New Roman"/>
          <w:sz w:val="24"/>
          <w:szCs w:val="24"/>
        </w:rPr>
        <w:t>so that the 1</w:t>
      </w:r>
      <w:r w:rsidR="00426E76" w:rsidRPr="00426E76">
        <w:rPr>
          <w:rFonts w:ascii="Times New Roman" w:eastAsia="Calibri" w:hAnsi="Times New Roman" w:cs="Times New Roman"/>
          <w:sz w:val="24"/>
          <w:szCs w:val="24"/>
          <w:vertAlign w:val="superscript"/>
        </w:rPr>
        <w:t>st</w:t>
      </w:r>
      <w:r w:rsidR="00426E76">
        <w:rPr>
          <w:rFonts w:ascii="Times New Roman" w:eastAsia="Calibri" w:hAnsi="Times New Roman" w:cs="Times New Roman"/>
          <w:sz w:val="24"/>
          <w:szCs w:val="24"/>
        </w:rPr>
        <w:t xml:space="preserve"> respondent may be properly cited.</w:t>
      </w:r>
      <w:r w:rsidR="00153FAF">
        <w:rPr>
          <w:rFonts w:ascii="Times New Roman" w:eastAsia="Calibri" w:hAnsi="Times New Roman" w:cs="Times New Roman"/>
          <w:sz w:val="24"/>
          <w:szCs w:val="24"/>
        </w:rPr>
        <w:t xml:space="preserve"> She</w:t>
      </w:r>
      <w:r w:rsidR="00047F07">
        <w:rPr>
          <w:rFonts w:ascii="Times New Roman" w:eastAsia="Calibri" w:hAnsi="Times New Roman" w:cs="Times New Roman"/>
          <w:sz w:val="24"/>
          <w:szCs w:val="24"/>
        </w:rPr>
        <w:t xml:space="preserve"> submitted that the </w:t>
      </w:r>
      <w:r w:rsidR="00153FAF">
        <w:rPr>
          <w:rFonts w:ascii="Times New Roman" w:eastAsia="Calibri" w:hAnsi="Times New Roman" w:cs="Times New Roman"/>
          <w:sz w:val="24"/>
          <w:szCs w:val="24"/>
        </w:rPr>
        <w:t xml:space="preserve">amendment </w:t>
      </w:r>
      <w:r w:rsidR="008F6839">
        <w:rPr>
          <w:rFonts w:ascii="Times New Roman" w:eastAsia="Calibri" w:hAnsi="Times New Roman" w:cs="Times New Roman"/>
          <w:sz w:val="24"/>
          <w:szCs w:val="24"/>
        </w:rPr>
        <w:t>is not</w:t>
      </w:r>
      <w:r w:rsidR="00030B97">
        <w:rPr>
          <w:rFonts w:ascii="Times New Roman" w:eastAsia="Calibri" w:hAnsi="Times New Roman" w:cs="Times New Roman"/>
          <w:sz w:val="24"/>
          <w:szCs w:val="24"/>
        </w:rPr>
        <w:t xml:space="preserve"> </w:t>
      </w:r>
      <w:r w:rsidR="006D569B">
        <w:rPr>
          <w:rFonts w:ascii="Times New Roman" w:eastAsia="Calibri" w:hAnsi="Times New Roman" w:cs="Times New Roman"/>
          <w:sz w:val="24"/>
          <w:szCs w:val="24"/>
        </w:rPr>
        <w:t xml:space="preserve">a substitution with another party but a correction </w:t>
      </w:r>
      <w:r w:rsidR="00066CAD">
        <w:rPr>
          <w:rFonts w:ascii="Times New Roman" w:eastAsia="Calibri" w:hAnsi="Times New Roman" w:cs="Times New Roman"/>
          <w:sz w:val="24"/>
          <w:szCs w:val="24"/>
        </w:rPr>
        <w:t xml:space="preserve">of </w:t>
      </w:r>
      <w:r w:rsidR="00804A8C">
        <w:rPr>
          <w:rFonts w:ascii="Times New Roman" w:eastAsia="Calibri" w:hAnsi="Times New Roman" w:cs="Times New Roman"/>
          <w:sz w:val="24"/>
          <w:szCs w:val="24"/>
        </w:rPr>
        <w:t>a mis-</w:t>
      </w:r>
      <w:r w:rsidR="00047F07">
        <w:rPr>
          <w:rFonts w:ascii="Times New Roman" w:eastAsia="Calibri" w:hAnsi="Times New Roman" w:cs="Times New Roman"/>
          <w:sz w:val="24"/>
          <w:szCs w:val="24"/>
        </w:rPr>
        <w:t xml:space="preserve"> description. The application was opposed </w:t>
      </w:r>
      <w:r w:rsidR="00153FAF">
        <w:rPr>
          <w:rFonts w:ascii="Times New Roman" w:eastAsia="Calibri" w:hAnsi="Times New Roman" w:cs="Times New Roman"/>
          <w:sz w:val="24"/>
          <w:szCs w:val="24"/>
        </w:rPr>
        <w:t xml:space="preserve">mainly on the </w:t>
      </w:r>
      <w:r w:rsidR="00047F07">
        <w:rPr>
          <w:rFonts w:ascii="Times New Roman" w:eastAsia="Calibri" w:hAnsi="Times New Roman" w:cs="Times New Roman"/>
          <w:sz w:val="24"/>
          <w:szCs w:val="24"/>
        </w:rPr>
        <w:t>point</w:t>
      </w:r>
      <w:r w:rsidR="00153FAF">
        <w:rPr>
          <w:rFonts w:ascii="Times New Roman" w:eastAsia="Calibri" w:hAnsi="Times New Roman" w:cs="Times New Roman"/>
          <w:sz w:val="24"/>
          <w:szCs w:val="24"/>
        </w:rPr>
        <w:t xml:space="preserve"> that</w:t>
      </w:r>
      <w:r w:rsidR="00047F07">
        <w:rPr>
          <w:rFonts w:ascii="Times New Roman" w:eastAsia="Calibri" w:hAnsi="Times New Roman" w:cs="Times New Roman"/>
          <w:sz w:val="24"/>
          <w:szCs w:val="24"/>
        </w:rPr>
        <w:t xml:space="preserve"> since there is no 1</w:t>
      </w:r>
      <w:r w:rsidR="00047F07" w:rsidRPr="00047F07">
        <w:rPr>
          <w:rFonts w:ascii="Times New Roman" w:eastAsia="Calibri" w:hAnsi="Times New Roman" w:cs="Times New Roman"/>
          <w:sz w:val="24"/>
          <w:szCs w:val="24"/>
          <w:vertAlign w:val="superscript"/>
        </w:rPr>
        <w:t>st</w:t>
      </w:r>
      <w:r w:rsidR="00047F07">
        <w:rPr>
          <w:rFonts w:ascii="Times New Roman" w:eastAsia="Calibri" w:hAnsi="Times New Roman" w:cs="Times New Roman"/>
          <w:sz w:val="24"/>
          <w:szCs w:val="24"/>
        </w:rPr>
        <w:t xml:space="preserve"> respondent </w:t>
      </w:r>
      <w:r w:rsidR="00153FAF">
        <w:rPr>
          <w:rFonts w:ascii="Times New Roman" w:eastAsia="Calibri" w:hAnsi="Times New Roman" w:cs="Times New Roman"/>
          <w:sz w:val="24"/>
          <w:szCs w:val="24"/>
        </w:rPr>
        <w:t>in the first place</w:t>
      </w:r>
      <w:r w:rsidR="00804A8C">
        <w:rPr>
          <w:rFonts w:ascii="Times New Roman" w:eastAsia="Calibri" w:hAnsi="Times New Roman" w:cs="Times New Roman"/>
          <w:sz w:val="24"/>
          <w:szCs w:val="24"/>
        </w:rPr>
        <w:t>, an amendment cannot be effected on nothing. A</w:t>
      </w:r>
      <w:r w:rsidR="00047F07">
        <w:rPr>
          <w:rFonts w:ascii="Times New Roman" w:eastAsia="Calibri" w:hAnsi="Times New Roman" w:cs="Times New Roman"/>
          <w:sz w:val="24"/>
          <w:szCs w:val="24"/>
        </w:rPr>
        <w:t xml:space="preserve"> nullity cannot be </w:t>
      </w:r>
      <w:r w:rsidR="00925CF9">
        <w:rPr>
          <w:rFonts w:ascii="Times New Roman" w:eastAsia="Calibri" w:hAnsi="Times New Roman" w:cs="Times New Roman"/>
          <w:sz w:val="24"/>
          <w:szCs w:val="24"/>
        </w:rPr>
        <w:t xml:space="preserve">amended. </w:t>
      </w:r>
    </w:p>
    <w:p w14:paraId="725E9234" w14:textId="2419260D" w:rsidR="00F65CB1" w:rsidRDefault="00F65CB1" w:rsidP="006B199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It is the applicant’s duty to make sure that it cites the correct party in its pleadings. There</w:t>
      </w:r>
      <w:r w:rsidR="003A286C">
        <w:rPr>
          <w:rFonts w:ascii="Times New Roman" w:eastAsia="Calibri" w:hAnsi="Times New Roman" w:cs="Times New Roman"/>
          <w:sz w:val="24"/>
          <w:szCs w:val="24"/>
        </w:rPr>
        <w:t xml:space="preserve"> must be either a legal or natural person answering to that name</w:t>
      </w:r>
      <w:r w:rsidR="003A286C">
        <w:rPr>
          <w:rStyle w:val="FootnoteReference"/>
          <w:rFonts w:ascii="Times New Roman" w:eastAsia="Calibri" w:hAnsi="Times New Roman"/>
          <w:sz w:val="24"/>
          <w:szCs w:val="24"/>
        </w:rPr>
        <w:footnoteReference w:id="1"/>
      </w:r>
      <w:r w:rsidR="003A286C">
        <w:rPr>
          <w:rFonts w:ascii="Times New Roman" w:eastAsia="Calibri" w:hAnsi="Times New Roman" w:cs="Times New Roman"/>
          <w:sz w:val="24"/>
          <w:szCs w:val="24"/>
        </w:rPr>
        <w:t>.</w:t>
      </w:r>
      <w:r w:rsidR="00D30B11">
        <w:rPr>
          <w:rFonts w:ascii="Times New Roman" w:eastAsia="Calibri" w:hAnsi="Times New Roman" w:cs="Times New Roman"/>
          <w:sz w:val="24"/>
          <w:szCs w:val="24"/>
        </w:rPr>
        <w:t xml:space="preserve">By adding Private Limited to </w:t>
      </w:r>
      <w:r w:rsidR="00153FAF">
        <w:rPr>
          <w:rFonts w:ascii="Times New Roman" w:eastAsia="Calibri" w:hAnsi="Times New Roman" w:cs="Times New Roman"/>
          <w:sz w:val="24"/>
          <w:szCs w:val="24"/>
        </w:rPr>
        <w:t xml:space="preserve">Infrastructure Development Bank of Zimbabwe </w:t>
      </w:r>
      <w:r w:rsidR="00AB143C">
        <w:rPr>
          <w:rFonts w:ascii="Times New Roman" w:eastAsia="Calibri" w:hAnsi="Times New Roman" w:cs="Times New Roman"/>
          <w:sz w:val="24"/>
          <w:szCs w:val="24"/>
        </w:rPr>
        <w:t>th</w:t>
      </w:r>
      <w:r w:rsidR="00D30B11">
        <w:rPr>
          <w:rFonts w:ascii="Times New Roman" w:eastAsia="Calibri" w:hAnsi="Times New Roman" w:cs="Times New Roman"/>
          <w:sz w:val="24"/>
          <w:szCs w:val="24"/>
        </w:rPr>
        <w:t xml:space="preserve">e applicants altered the identity of the party in whose favour the </w:t>
      </w:r>
      <w:r w:rsidR="00DF0B74">
        <w:rPr>
          <w:rFonts w:ascii="Times New Roman" w:eastAsia="Calibri" w:hAnsi="Times New Roman" w:cs="Times New Roman"/>
          <w:sz w:val="24"/>
          <w:szCs w:val="24"/>
        </w:rPr>
        <w:t>order by conse</w:t>
      </w:r>
      <w:r w:rsidR="00D82281">
        <w:rPr>
          <w:rFonts w:ascii="Times New Roman" w:eastAsia="Calibri" w:hAnsi="Times New Roman" w:cs="Times New Roman"/>
          <w:sz w:val="24"/>
          <w:szCs w:val="24"/>
        </w:rPr>
        <w:t>nt wa</w:t>
      </w:r>
      <w:r w:rsidR="00D30B11">
        <w:rPr>
          <w:rFonts w:ascii="Times New Roman" w:eastAsia="Calibri" w:hAnsi="Times New Roman" w:cs="Times New Roman"/>
          <w:sz w:val="24"/>
          <w:szCs w:val="24"/>
        </w:rPr>
        <w:t>s granted</w:t>
      </w:r>
      <w:r w:rsidR="00D82281">
        <w:rPr>
          <w:rFonts w:ascii="Times New Roman" w:eastAsia="Calibri" w:hAnsi="Times New Roman" w:cs="Times New Roman"/>
          <w:sz w:val="24"/>
          <w:szCs w:val="24"/>
        </w:rPr>
        <w:t>.</w:t>
      </w:r>
      <w:r w:rsidR="00684870">
        <w:rPr>
          <w:rFonts w:ascii="Times New Roman" w:eastAsia="Calibri" w:hAnsi="Times New Roman" w:cs="Times New Roman"/>
          <w:sz w:val="24"/>
          <w:szCs w:val="24"/>
        </w:rPr>
        <w:t xml:space="preserve"> There</w:t>
      </w:r>
      <w:r w:rsidR="00153FAF">
        <w:rPr>
          <w:rFonts w:ascii="Times New Roman" w:eastAsia="Calibri" w:hAnsi="Times New Roman" w:cs="Times New Roman"/>
          <w:sz w:val="24"/>
          <w:szCs w:val="24"/>
        </w:rPr>
        <w:t xml:space="preserve"> is no natural or legal person answering</w:t>
      </w:r>
      <w:r w:rsidR="009F2072">
        <w:rPr>
          <w:rFonts w:ascii="Times New Roman" w:eastAsia="Calibri" w:hAnsi="Times New Roman" w:cs="Times New Roman"/>
          <w:sz w:val="24"/>
          <w:szCs w:val="24"/>
        </w:rPr>
        <w:t xml:space="preserve"> to</w:t>
      </w:r>
      <w:r w:rsidR="00153FAF">
        <w:rPr>
          <w:rFonts w:ascii="Times New Roman" w:eastAsia="Calibri" w:hAnsi="Times New Roman" w:cs="Times New Roman"/>
          <w:sz w:val="24"/>
          <w:szCs w:val="24"/>
        </w:rPr>
        <w:t xml:space="preserve"> the name cited as the 1</w:t>
      </w:r>
      <w:r w:rsidR="00153FAF" w:rsidRPr="00153FAF">
        <w:rPr>
          <w:rFonts w:ascii="Times New Roman" w:eastAsia="Calibri" w:hAnsi="Times New Roman" w:cs="Times New Roman"/>
          <w:sz w:val="24"/>
          <w:szCs w:val="24"/>
          <w:vertAlign w:val="superscript"/>
        </w:rPr>
        <w:t>st</w:t>
      </w:r>
      <w:r w:rsidR="00153FAF">
        <w:rPr>
          <w:rFonts w:ascii="Times New Roman" w:eastAsia="Calibri" w:hAnsi="Times New Roman" w:cs="Times New Roman"/>
          <w:sz w:val="24"/>
          <w:szCs w:val="24"/>
        </w:rPr>
        <w:t xml:space="preserve"> respondent in this matter.</w:t>
      </w:r>
      <w:r w:rsidR="008A611C">
        <w:rPr>
          <w:rFonts w:ascii="Times New Roman" w:eastAsia="Calibri" w:hAnsi="Times New Roman" w:cs="Times New Roman"/>
          <w:sz w:val="24"/>
          <w:szCs w:val="24"/>
        </w:rPr>
        <w:t xml:space="preserve"> The description of the 1</w:t>
      </w:r>
      <w:r w:rsidR="008A611C" w:rsidRPr="008A611C">
        <w:rPr>
          <w:rFonts w:ascii="Times New Roman" w:eastAsia="Calibri" w:hAnsi="Times New Roman" w:cs="Times New Roman"/>
          <w:sz w:val="24"/>
          <w:szCs w:val="24"/>
          <w:vertAlign w:val="superscript"/>
        </w:rPr>
        <w:t>st</w:t>
      </w:r>
      <w:r w:rsidR="008A611C">
        <w:rPr>
          <w:rFonts w:ascii="Times New Roman" w:eastAsia="Calibri" w:hAnsi="Times New Roman" w:cs="Times New Roman"/>
          <w:sz w:val="24"/>
          <w:szCs w:val="24"/>
        </w:rPr>
        <w:t xml:space="preserve"> respondent in the founding affidavit does not cure the </w:t>
      </w:r>
      <w:r w:rsidR="00191346">
        <w:rPr>
          <w:rFonts w:ascii="Times New Roman" w:eastAsia="Calibri" w:hAnsi="Times New Roman" w:cs="Times New Roman"/>
          <w:sz w:val="24"/>
          <w:szCs w:val="24"/>
        </w:rPr>
        <w:t>defect.</w:t>
      </w:r>
      <w:r w:rsidR="008A611C">
        <w:rPr>
          <w:rFonts w:ascii="Times New Roman" w:eastAsia="Calibri" w:hAnsi="Times New Roman" w:cs="Times New Roman"/>
          <w:sz w:val="24"/>
          <w:szCs w:val="24"/>
        </w:rPr>
        <w:t xml:space="preserve"> The</w:t>
      </w:r>
      <w:r>
        <w:rPr>
          <w:rFonts w:ascii="Times New Roman" w:eastAsia="Calibri" w:hAnsi="Times New Roman" w:cs="Times New Roman"/>
          <w:sz w:val="24"/>
          <w:szCs w:val="24"/>
        </w:rPr>
        <w:t xml:space="preserve"> fact is there is no entity answering to the name cited as the 1</w:t>
      </w:r>
      <w:r w:rsidRPr="00F65CB1">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respondent.</w:t>
      </w:r>
      <w:r w:rsidR="008A3E21" w:rsidRPr="008A3E21">
        <w:rPr>
          <w:rFonts w:ascii="Open Sans" w:hAnsi="Open Sans" w:cs="Open Sans"/>
          <w:color w:val="666666"/>
          <w:sz w:val="26"/>
          <w:szCs w:val="26"/>
          <w:shd w:val="clear" w:color="auto" w:fill="FFFFFF"/>
        </w:rPr>
        <w:t xml:space="preserve"> </w:t>
      </w:r>
      <w:r w:rsidR="008A3E21" w:rsidRPr="008A3E21">
        <w:rPr>
          <w:rFonts w:ascii="Times New Roman" w:eastAsia="Calibri" w:hAnsi="Times New Roman" w:cs="Times New Roman"/>
          <w:sz w:val="24"/>
          <w:szCs w:val="24"/>
        </w:rPr>
        <w:t>If it was a mistake, it was a mistake made by the applicant</w:t>
      </w:r>
      <w:r w:rsidR="008A3E21">
        <w:rPr>
          <w:rFonts w:ascii="Times New Roman" w:eastAsia="Calibri" w:hAnsi="Times New Roman" w:cs="Times New Roman"/>
          <w:sz w:val="24"/>
          <w:szCs w:val="24"/>
        </w:rPr>
        <w:t>s</w:t>
      </w:r>
      <w:r w:rsidR="008A3E21" w:rsidRPr="008A3E21">
        <w:rPr>
          <w:rFonts w:ascii="Times New Roman" w:eastAsia="Calibri" w:hAnsi="Times New Roman" w:cs="Times New Roman"/>
          <w:sz w:val="24"/>
          <w:szCs w:val="24"/>
        </w:rPr>
        <w:t xml:space="preserve"> and</w:t>
      </w:r>
      <w:r w:rsidR="00D1209D">
        <w:rPr>
          <w:rFonts w:ascii="Times New Roman" w:eastAsia="Calibri" w:hAnsi="Times New Roman" w:cs="Times New Roman"/>
          <w:sz w:val="24"/>
          <w:szCs w:val="24"/>
        </w:rPr>
        <w:t xml:space="preserve"> they</w:t>
      </w:r>
      <w:r w:rsidR="008A3E21" w:rsidRPr="008A3E21">
        <w:rPr>
          <w:rFonts w:ascii="Times New Roman" w:eastAsia="Calibri" w:hAnsi="Times New Roman" w:cs="Times New Roman"/>
          <w:sz w:val="24"/>
          <w:szCs w:val="24"/>
        </w:rPr>
        <w:t xml:space="preserve"> must live with it. The substitution </w:t>
      </w:r>
      <w:r w:rsidR="008A3E21">
        <w:rPr>
          <w:rFonts w:ascii="Times New Roman" w:eastAsia="Calibri" w:hAnsi="Times New Roman" w:cs="Times New Roman"/>
          <w:sz w:val="24"/>
          <w:szCs w:val="24"/>
        </w:rPr>
        <w:t xml:space="preserve">the </w:t>
      </w:r>
      <w:r w:rsidR="008A3E21" w:rsidRPr="008A3E21">
        <w:rPr>
          <w:rFonts w:ascii="Times New Roman" w:eastAsia="Calibri" w:hAnsi="Times New Roman" w:cs="Times New Roman"/>
          <w:sz w:val="24"/>
          <w:szCs w:val="24"/>
        </w:rPr>
        <w:t>applicant</w:t>
      </w:r>
      <w:r w:rsidR="008A3E21">
        <w:rPr>
          <w:rFonts w:ascii="Times New Roman" w:eastAsia="Calibri" w:hAnsi="Times New Roman" w:cs="Times New Roman"/>
          <w:sz w:val="24"/>
          <w:szCs w:val="24"/>
        </w:rPr>
        <w:t>s</w:t>
      </w:r>
      <w:r w:rsidR="008A3E21" w:rsidRPr="008A3E21">
        <w:rPr>
          <w:rFonts w:ascii="Times New Roman" w:eastAsia="Calibri" w:hAnsi="Times New Roman" w:cs="Times New Roman"/>
          <w:sz w:val="24"/>
          <w:szCs w:val="24"/>
        </w:rPr>
        <w:t xml:space="preserve"> </w:t>
      </w:r>
      <w:r w:rsidR="008A3E21">
        <w:rPr>
          <w:rFonts w:ascii="Times New Roman" w:eastAsia="Calibri" w:hAnsi="Times New Roman" w:cs="Times New Roman"/>
          <w:sz w:val="24"/>
          <w:szCs w:val="24"/>
        </w:rPr>
        <w:t>are</w:t>
      </w:r>
      <w:r w:rsidR="008A3E21" w:rsidRPr="008A3E21">
        <w:rPr>
          <w:rFonts w:ascii="Times New Roman" w:eastAsia="Calibri" w:hAnsi="Times New Roman" w:cs="Times New Roman"/>
          <w:sz w:val="24"/>
          <w:szCs w:val="24"/>
        </w:rPr>
        <w:t xml:space="preserve"> seeking is not a matter of form, but a matter of substance. Such a substitution of a party cannot be achieved through </w:t>
      </w:r>
      <w:r w:rsidR="008A3E21">
        <w:rPr>
          <w:rFonts w:ascii="Times New Roman" w:eastAsia="Calibri" w:hAnsi="Times New Roman" w:cs="Times New Roman"/>
          <w:sz w:val="24"/>
          <w:szCs w:val="24"/>
        </w:rPr>
        <w:t>an amendment.</w:t>
      </w:r>
      <w:r>
        <w:rPr>
          <w:rFonts w:ascii="Times New Roman" w:eastAsia="Calibri" w:hAnsi="Times New Roman" w:cs="Times New Roman"/>
          <w:sz w:val="24"/>
          <w:szCs w:val="24"/>
        </w:rPr>
        <w:t xml:space="preserve"> The</w:t>
      </w:r>
      <w:r w:rsidR="00684870">
        <w:rPr>
          <w:rFonts w:ascii="Times New Roman" w:eastAsia="Calibri" w:hAnsi="Times New Roman" w:cs="Times New Roman"/>
          <w:sz w:val="24"/>
          <w:szCs w:val="24"/>
        </w:rPr>
        <w:t xml:space="preserve">re is nothing to amend since there is no </w:t>
      </w:r>
      <w:r w:rsidR="00714C63">
        <w:rPr>
          <w:rFonts w:ascii="Times New Roman" w:eastAsia="Calibri" w:hAnsi="Times New Roman" w:cs="Times New Roman"/>
          <w:sz w:val="24"/>
          <w:szCs w:val="24"/>
        </w:rPr>
        <w:t>party</w:t>
      </w:r>
      <w:r w:rsidR="008B66FA">
        <w:rPr>
          <w:rFonts w:ascii="Times New Roman" w:eastAsia="Calibri" w:hAnsi="Times New Roman" w:cs="Times New Roman"/>
          <w:sz w:val="24"/>
          <w:szCs w:val="24"/>
        </w:rPr>
        <w:t xml:space="preserve"> in the first place</w:t>
      </w:r>
      <w:r w:rsidR="00714C63">
        <w:rPr>
          <w:rFonts w:ascii="Times New Roman" w:eastAsia="Calibri" w:hAnsi="Times New Roman" w:cs="Times New Roman"/>
          <w:sz w:val="24"/>
          <w:szCs w:val="24"/>
        </w:rPr>
        <w:t>. I</w:t>
      </w:r>
      <w:r w:rsidR="00684870">
        <w:rPr>
          <w:rFonts w:ascii="Times New Roman" w:eastAsia="Calibri" w:hAnsi="Times New Roman" w:cs="Times New Roman"/>
          <w:sz w:val="24"/>
          <w:szCs w:val="24"/>
        </w:rPr>
        <w:t xml:space="preserve"> agree with the 1</w:t>
      </w:r>
      <w:r w:rsidR="00684870" w:rsidRPr="00684870">
        <w:rPr>
          <w:rFonts w:ascii="Times New Roman" w:eastAsia="Calibri" w:hAnsi="Times New Roman" w:cs="Times New Roman"/>
          <w:sz w:val="24"/>
          <w:szCs w:val="24"/>
          <w:vertAlign w:val="superscript"/>
        </w:rPr>
        <w:t>st</w:t>
      </w:r>
      <w:r w:rsidR="00684870">
        <w:rPr>
          <w:rFonts w:ascii="Times New Roman" w:eastAsia="Calibri" w:hAnsi="Times New Roman" w:cs="Times New Roman"/>
          <w:sz w:val="24"/>
          <w:szCs w:val="24"/>
        </w:rPr>
        <w:t xml:space="preserve"> respondent. On that basis alone this application </w:t>
      </w:r>
      <w:r w:rsidR="008B66FA">
        <w:rPr>
          <w:rFonts w:ascii="Times New Roman" w:eastAsia="Calibri" w:hAnsi="Times New Roman" w:cs="Times New Roman"/>
          <w:sz w:val="24"/>
          <w:szCs w:val="24"/>
        </w:rPr>
        <w:t>is doomed to fail.</w:t>
      </w:r>
    </w:p>
    <w:p w14:paraId="11B9E344" w14:textId="6E7F8F8D" w:rsidR="00AC631F" w:rsidRDefault="00684870" w:rsidP="006B199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interests of justice and the public policy on finality to litigation demand that this is a matter that I must proceed to address on the merits. I shall proceed</w:t>
      </w:r>
      <w:r w:rsidR="00F65CB1">
        <w:rPr>
          <w:rFonts w:ascii="Times New Roman" w:eastAsia="Calibri" w:hAnsi="Times New Roman" w:cs="Times New Roman"/>
          <w:sz w:val="24"/>
          <w:szCs w:val="24"/>
        </w:rPr>
        <w:t xml:space="preserve"> to determine all the issues raised by the </w:t>
      </w:r>
      <w:r>
        <w:rPr>
          <w:rFonts w:ascii="Times New Roman" w:eastAsia="Calibri" w:hAnsi="Times New Roman" w:cs="Times New Roman"/>
          <w:sz w:val="24"/>
          <w:szCs w:val="24"/>
        </w:rPr>
        <w:t>parties. In</w:t>
      </w:r>
      <w:r w:rsidR="00191346">
        <w:rPr>
          <w:rFonts w:ascii="Times New Roman" w:eastAsia="Calibri" w:hAnsi="Times New Roman" w:cs="Times New Roman"/>
          <w:sz w:val="24"/>
          <w:szCs w:val="24"/>
        </w:rPr>
        <w:t xml:space="preserve"> the heads of </w:t>
      </w:r>
      <w:r>
        <w:rPr>
          <w:rFonts w:ascii="Times New Roman" w:eastAsia="Calibri" w:hAnsi="Times New Roman" w:cs="Times New Roman"/>
          <w:sz w:val="24"/>
          <w:szCs w:val="24"/>
        </w:rPr>
        <w:t>argument,</w:t>
      </w:r>
      <w:r w:rsidR="00191346">
        <w:rPr>
          <w:rFonts w:ascii="Times New Roman" w:eastAsia="Calibri" w:hAnsi="Times New Roman" w:cs="Times New Roman"/>
          <w:sz w:val="24"/>
          <w:szCs w:val="24"/>
        </w:rPr>
        <w:t xml:space="preserve"> the applicants raise the issue that there is no </w:t>
      </w:r>
      <w:r w:rsidR="00191346">
        <w:rPr>
          <w:rFonts w:ascii="Times New Roman" w:eastAsia="Calibri" w:hAnsi="Times New Roman" w:cs="Times New Roman"/>
          <w:sz w:val="24"/>
          <w:szCs w:val="24"/>
        </w:rPr>
        <w:lastRenderedPageBreak/>
        <w:t>opposition since the person who deposed to the 1</w:t>
      </w:r>
      <w:r w:rsidR="00191346" w:rsidRPr="00191346">
        <w:rPr>
          <w:rFonts w:ascii="Times New Roman" w:eastAsia="Calibri" w:hAnsi="Times New Roman" w:cs="Times New Roman"/>
          <w:sz w:val="24"/>
          <w:szCs w:val="24"/>
          <w:vertAlign w:val="superscript"/>
        </w:rPr>
        <w:t>st</w:t>
      </w:r>
      <w:r w:rsidR="00191346">
        <w:rPr>
          <w:rFonts w:ascii="Times New Roman" w:eastAsia="Calibri" w:hAnsi="Times New Roman" w:cs="Times New Roman"/>
          <w:sz w:val="24"/>
          <w:szCs w:val="24"/>
        </w:rPr>
        <w:t xml:space="preserve"> respondent’s affidavit has no personal knowledge of the issues raised. His evidence is predominantly hearsay evidence. The point has no </w:t>
      </w:r>
      <w:r>
        <w:rPr>
          <w:rFonts w:ascii="Times New Roman" w:eastAsia="Calibri" w:hAnsi="Times New Roman" w:cs="Times New Roman"/>
          <w:sz w:val="24"/>
          <w:szCs w:val="24"/>
        </w:rPr>
        <w:t>merit. The</w:t>
      </w:r>
      <w:r w:rsidR="00FD4ACA">
        <w:rPr>
          <w:rFonts w:ascii="Times New Roman" w:eastAsia="Calibri" w:hAnsi="Times New Roman" w:cs="Times New Roman"/>
          <w:sz w:val="24"/>
          <w:szCs w:val="24"/>
        </w:rPr>
        <w:t xml:space="preserve"> 1</w:t>
      </w:r>
      <w:r w:rsidR="00FD4ACA" w:rsidRPr="00FD4ACA">
        <w:rPr>
          <w:rFonts w:ascii="Times New Roman" w:eastAsia="Calibri" w:hAnsi="Times New Roman" w:cs="Times New Roman"/>
          <w:sz w:val="24"/>
          <w:szCs w:val="24"/>
          <w:vertAlign w:val="superscript"/>
        </w:rPr>
        <w:t>st</w:t>
      </w:r>
      <w:r w:rsidR="00FD4ACA">
        <w:rPr>
          <w:rFonts w:ascii="Times New Roman" w:eastAsia="Calibri" w:hAnsi="Times New Roman" w:cs="Times New Roman"/>
          <w:sz w:val="24"/>
          <w:szCs w:val="24"/>
        </w:rPr>
        <w:t xml:space="preserve"> respondent’s affidavit was deposed to by its principal credit control officer. He is employed by the 1</w:t>
      </w:r>
      <w:r w:rsidR="00FD4ACA" w:rsidRPr="00FD4ACA">
        <w:rPr>
          <w:rFonts w:ascii="Times New Roman" w:eastAsia="Calibri" w:hAnsi="Times New Roman" w:cs="Times New Roman"/>
          <w:sz w:val="24"/>
          <w:szCs w:val="24"/>
          <w:vertAlign w:val="superscript"/>
        </w:rPr>
        <w:t>st</w:t>
      </w:r>
      <w:r w:rsidR="00FD4ACA">
        <w:rPr>
          <w:rFonts w:ascii="Times New Roman" w:eastAsia="Calibri" w:hAnsi="Times New Roman" w:cs="Times New Roman"/>
          <w:sz w:val="24"/>
          <w:szCs w:val="24"/>
        </w:rPr>
        <w:t xml:space="preserve"> </w:t>
      </w:r>
      <w:r>
        <w:rPr>
          <w:rFonts w:ascii="Times New Roman" w:eastAsia="Calibri" w:hAnsi="Times New Roman" w:cs="Times New Roman"/>
          <w:sz w:val="24"/>
          <w:szCs w:val="24"/>
        </w:rPr>
        <w:t>respondent. Obviously,</w:t>
      </w:r>
      <w:r w:rsidR="00FD4ACA">
        <w:rPr>
          <w:rFonts w:ascii="Times New Roman" w:eastAsia="Calibri" w:hAnsi="Times New Roman" w:cs="Times New Roman"/>
          <w:sz w:val="24"/>
          <w:szCs w:val="24"/>
        </w:rPr>
        <w:t xml:space="preserve"> his evidence is based on official documents prepared and kept i</w:t>
      </w:r>
      <w:r w:rsidR="009F2072">
        <w:rPr>
          <w:rFonts w:ascii="Times New Roman" w:eastAsia="Calibri" w:hAnsi="Times New Roman" w:cs="Times New Roman"/>
          <w:sz w:val="24"/>
          <w:szCs w:val="24"/>
        </w:rPr>
        <w:t>n the course of employment.</w:t>
      </w:r>
      <w:r w:rsidR="003A286C">
        <w:rPr>
          <w:rFonts w:ascii="Times New Roman" w:eastAsia="Calibri" w:hAnsi="Times New Roman" w:cs="Times New Roman"/>
          <w:sz w:val="24"/>
          <w:szCs w:val="24"/>
        </w:rPr>
        <w:t xml:space="preserve"> </w:t>
      </w:r>
      <w:r w:rsidR="00AC631F">
        <w:rPr>
          <w:rFonts w:ascii="Times New Roman" w:eastAsia="Calibri" w:hAnsi="Times New Roman" w:cs="Times New Roman"/>
          <w:sz w:val="24"/>
          <w:szCs w:val="24"/>
        </w:rPr>
        <w:t xml:space="preserve"> </w:t>
      </w:r>
    </w:p>
    <w:p w14:paraId="265474A8" w14:textId="77777777" w:rsidR="009F2072" w:rsidRDefault="009F2072" w:rsidP="006B1993">
      <w:pPr>
        <w:tabs>
          <w:tab w:val="left" w:pos="7332"/>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Submissions on the merit</w:t>
      </w:r>
    </w:p>
    <w:p w14:paraId="1A48A506" w14:textId="59C9FDC3" w:rsidR="009F2072" w:rsidRDefault="00011ADE" w:rsidP="004F0876">
      <w:pPr>
        <w:spacing w:after="0" w:line="36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The applicants submitted that they could not file the heads of arguments in terms of the rules due to a breakdown in communication between them and their contact person. At the relevant time they were in Mozambique where they have business interests. The national lockdown due to the Covid 19 pandemic also contributed to the delay. They believe the delay is not inordinate and they have prospects of success in the main matter.</w:t>
      </w:r>
      <w:r w:rsidRPr="009F2072">
        <w:rPr>
          <w:rFonts w:ascii="Times New Roman" w:eastAsia="Calibri" w:hAnsi="Times New Roman" w:cs="Times New Roman"/>
          <w:bCs/>
          <w:sz w:val="24"/>
          <w:szCs w:val="24"/>
        </w:rPr>
        <w:t xml:space="preserve"> From</w:t>
      </w:r>
      <w:r w:rsidR="009F2072" w:rsidRPr="009F2072">
        <w:rPr>
          <w:rFonts w:ascii="Times New Roman" w:eastAsia="Calibri" w:hAnsi="Times New Roman" w:cs="Times New Roman"/>
          <w:bCs/>
          <w:sz w:val="24"/>
          <w:szCs w:val="24"/>
        </w:rPr>
        <w:t xml:space="preserve"> the 1</w:t>
      </w:r>
      <w:r w:rsidR="009F2072" w:rsidRPr="009F2072">
        <w:rPr>
          <w:rFonts w:ascii="Times New Roman" w:eastAsia="Calibri" w:hAnsi="Times New Roman" w:cs="Times New Roman"/>
          <w:bCs/>
          <w:sz w:val="24"/>
          <w:szCs w:val="24"/>
          <w:vertAlign w:val="superscript"/>
        </w:rPr>
        <w:t>st</w:t>
      </w:r>
      <w:r w:rsidR="009F2072" w:rsidRPr="009F2072">
        <w:rPr>
          <w:rFonts w:ascii="Times New Roman" w:eastAsia="Calibri" w:hAnsi="Times New Roman" w:cs="Times New Roman"/>
          <w:bCs/>
          <w:sz w:val="24"/>
          <w:szCs w:val="24"/>
        </w:rPr>
        <w:t xml:space="preserve"> respondent’s opposing affidavit, the heads of argument and the oral submission</w:t>
      </w:r>
      <w:r>
        <w:rPr>
          <w:rFonts w:ascii="Times New Roman" w:eastAsia="Calibri" w:hAnsi="Times New Roman" w:cs="Times New Roman"/>
          <w:bCs/>
          <w:sz w:val="24"/>
          <w:szCs w:val="24"/>
        </w:rPr>
        <w:t>s</w:t>
      </w:r>
      <w:r w:rsidR="009F2072" w:rsidRPr="009F2072">
        <w:rPr>
          <w:rFonts w:ascii="Times New Roman" w:eastAsia="Calibri" w:hAnsi="Times New Roman" w:cs="Times New Roman"/>
          <w:bCs/>
          <w:sz w:val="24"/>
          <w:szCs w:val="24"/>
        </w:rPr>
        <w:t xml:space="preserve">, the point made is that the there is no reasonable explanation for the delay, no prospects of success in the main matter specifically that the </w:t>
      </w:r>
      <w:r w:rsidRPr="009F2072">
        <w:rPr>
          <w:rFonts w:ascii="Times New Roman" w:eastAsia="Calibri" w:hAnsi="Times New Roman" w:cs="Times New Roman"/>
          <w:bCs/>
          <w:sz w:val="24"/>
          <w:szCs w:val="24"/>
        </w:rPr>
        <w:t>matter is</w:t>
      </w:r>
      <w:r w:rsidR="009F2072" w:rsidRPr="009F2072">
        <w:rPr>
          <w:rFonts w:ascii="Times New Roman" w:eastAsia="Calibri" w:hAnsi="Times New Roman" w:cs="Times New Roman"/>
          <w:bCs/>
          <w:sz w:val="24"/>
          <w:szCs w:val="24"/>
        </w:rPr>
        <w:t xml:space="preserve"> res judicata, partial execution has been effected and in the interest of finality to litigation the application must dismissed with costs on a higher scale.</w:t>
      </w:r>
    </w:p>
    <w:p w14:paraId="5C67E9A6" w14:textId="110C2734" w:rsidR="000E67D4" w:rsidRPr="004016BF" w:rsidRDefault="000E67D4" w:rsidP="006B1993">
      <w:pPr>
        <w:tabs>
          <w:tab w:val="left" w:pos="7332"/>
        </w:tabs>
        <w:spacing w:after="0" w:line="360" w:lineRule="auto"/>
        <w:jc w:val="both"/>
        <w:rPr>
          <w:rFonts w:ascii="Times New Roman" w:eastAsia="Calibri" w:hAnsi="Times New Roman" w:cs="Times New Roman"/>
          <w:bCs/>
          <w:sz w:val="24"/>
          <w:szCs w:val="24"/>
        </w:rPr>
      </w:pPr>
      <w:r w:rsidRPr="004016BF">
        <w:rPr>
          <w:rFonts w:ascii="Times New Roman" w:eastAsia="Calibri" w:hAnsi="Times New Roman" w:cs="Times New Roman"/>
          <w:bCs/>
          <w:sz w:val="24"/>
          <w:szCs w:val="24"/>
        </w:rPr>
        <w:t>The law</w:t>
      </w:r>
      <w:r w:rsidRPr="004016BF">
        <w:rPr>
          <w:rFonts w:ascii="Times New Roman" w:eastAsia="Calibri" w:hAnsi="Times New Roman" w:cs="Times New Roman"/>
          <w:bCs/>
          <w:sz w:val="24"/>
          <w:szCs w:val="24"/>
        </w:rPr>
        <w:tab/>
      </w:r>
    </w:p>
    <w:p w14:paraId="197B739A" w14:textId="302F2E1F" w:rsidR="000E67D4" w:rsidRPr="000E67D4" w:rsidRDefault="00632065" w:rsidP="006B199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Both parties in their heads of argument referred to the main considerations in such an application. The considerations are now</w:t>
      </w:r>
      <w:r w:rsidR="000E67D4" w:rsidRPr="000E67D4">
        <w:rPr>
          <w:rFonts w:ascii="Times New Roman" w:eastAsia="Calibri" w:hAnsi="Times New Roman" w:cs="Times New Roman"/>
          <w:sz w:val="24"/>
          <w:szCs w:val="24"/>
        </w:rPr>
        <w:t xml:space="preserve"> trite. </w:t>
      </w:r>
      <w:r>
        <w:rPr>
          <w:rFonts w:ascii="Times New Roman" w:eastAsia="Calibri" w:hAnsi="Times New Roman" w:cs="Times New Roman"/>
          <w:sz w:val="24"/>
          <w:szCs w:val="24"/>
        </w:rPr>
        <w:t>The</w:t>
      </w:r>
      <w:r w:rsidR="00011ADE">
        <w:rPr>
          <w:rFonts w:ascii="Times New Roman" w:eastAsia="Calibri" w:hAnsi="Times New Roman" w:cs="Times New Roman"/>
          <w:sz w:val="24"/>
          <w:szCs w:val="24"/>
        </w:rPr>
        <w:t>se</w:t>
      </w:r>
      <w:r>
        <w:rPr>
          <w:rFonts w:ascii="Times New Roman" w:eastAsia="Calibri" w:hAnsi="Times New Roman" w:cs="Times New Roman"/>
          <w:sz w:val="24"/>
          <w:szCs w:val="24"/>
        </w:rPr>
        <w:t xml:space="preserve"> include the degree of non-compliance and the explanation thereof, the prospects of success in the main </w:t>
      </w:r>
      <w:r w:rsidR="00AD575E">
        <w:rPr>
          <w:rFonts w:ascii="Times New Roman" w:eastAsia="Calibri" w:hAnsi="Times New Roman" w:cs="Times New Roman"/>
          <w:sz w:val="24"/>
          <w:szCs w:val="24"/>
        </w:rPr>
        <w:t>matter, the</w:t>
      </w:r>
      <w:r>
        <w:rPr>
          <w:rFonts w:ascii="Times New Roman" w:eastAsia="Calibri" w:hAnsi="Times New Roman" w:cs="Times New Roman"/>
          <w:sz w:val="24"/>
          <w:szCs w:val="24"/>
        </w:rPr>
        <w:t xml:space="preserve"> importance of the </w:t>
      </w:r>
      <w:r w:rsidR="00AD575E">
        <w:rPr>
          <w:rFonts w:ascii="Times New Roman" w:eastAsia="Calibri" w:hAnsi="Times New Roman" w:cs="Times New Roman"/>
          <w:sz w:val="24"/>
          <w:szCs w:val="24"/>
        </w:rPr>
        <w:t>matter, respondent’s</w:t>
      </w:r>
      <w:r>
        <w:rPr>
          <w:rFonts w:ascii="Times New Roman" w:eastAsia="Calibri" w:hAnsi="Times New Roman" w:cs="Times New Roman"/>
          <w:sz w:val="24"/>
          <w:szCs w:val="24"/>
        </w:rPr>
        <w:t xml:space="preserve"> interest in the finality of the </w:t>
      </w:r>
      <w:r w:rsidR="00AD575E">
        <w:rPr>
          <w:rFonts w:ascii="Times New Roman" w:eastAsia="Calibri" w:hAnsi="Times New Roman" w:cs="Times New Roman"/>
          <w:sz w:val="24"/>
          <w:szCs w:val="24"/>
        </w:rPr>
        <w:t>matter, the</w:t>
      </w:r>
      <w:r>
        <w:rPr>
          <w:rFonts w:ascii="Times New Roman" w:eastAsia="Calibri" w:hAnsi="Times New Roman" w:cs="Times New Roman"/>
          <w:sz w:val="24"/>
          <w:szCs w:val="24"/>
        </w:rPr>
        <w:t xml:space="preserve"> convenience of the </w:t>
      </w:r>
      <w:r w:rsidR="00AD575E">
        <w:rPr>
          <w:rFonts w:ascii="Times New Roman" w:eastAsia="Calibri" w:hAnsi="Times New Roman" w:cs="Times New Roman"/>
          <w:sz w:val="24"/>
          <w:szCs w:val="24"/>
        </w:rPr>
        <w:t>court</w:t>
      </w:r>
      <w:r w:rsidR="00E732B9">
        <w:rPr>
          <w:rFonts w:ascii="Times New Roman" w:eastAsia="Calibri" w:hAnsi="Times New Roman" w:cs="Times New Roman"/>
          <w:sz w:val="24"/>
          <w:szCs w:val="24"/>
        </w:rPr>
        <w:t xml:space="preserve"> and that </w:t>
      </w:r>
      <w:r w:rsidR="00AD575E">
        <w:rPr>
          <w:rFonts w:ascii="Times New Roman" w:eastAsia="Calibri" w:hAnsi="Times New Roman" w:cs="Times New Roman"/>
          <w:sz w:val="24"/>
          <w:szCs w:val="24"/>
        </w:rPr>
        <w:t>the administration of justice is not unnecessarily delayed</w:t>
      </w:r>
      <w:r w:rsidR="00AD575E">
        <w:rPr>
          <w:rStyle w:val="FootnoteReference"/>
          <w:rFonts w:ascii="Times New Roman" w:eastAsia="Calibri" w:hAnsi="Times New Roman"/>
          <w:sz w:val="24"/>
          <w:szCs w:val="24"/>
        </w:rPr>
        <w:footnoteReference w:id="2"/>
      </w:r>
      <w:r w:rsidR="00AD575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300E9CCF" w14:textId="4822DFF2" w:rsidR="000E67D4" w:rsidRDefault="000F3743" w:rsidP="006B199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one factor is decisive, the factors are taken cumulatively. By applying for condonation, the applicant is asking the court to exercise its discretion </w:t>
      </w:r>
      <w:r w:rsidR="00E732B9">
        <w:rPr>
          <w:rFonts w:ascii="Times New Roman" w:eastAsia="Calibri" w:hAnsi="Times New Roman" w:cs="Times New Roman"/>
          <w:sz w:val="24"/>
          <w:szCs w:val="24"/>
        </w:rPr>
        <w:t xml:space="preserve">on a </w:t>
      </w:r>
      <w:r w:rsidR="0068111B">
        <w:rPr>
          <w:rFonts w:ascii="Times New Roman" w:eastAsia="Calibri" w:hAnsi="Times New Roman" w:cs="Times New Roman"/>
          <w:sz w:val="24"/>
          <w:szCs w:val="24"/>
        </w:rPr>
        <w:t>consideration of</w:t>
      </w:r>
      <w:r>
        <w:rPr>
          <w:rFonts w:ascii="Times New Roman" w:eastAsia="Calibri" w:hAnsi="Times New Roman" w:cs="Times New Roman"/>
          <w:sz w:val="24"/>
          <w:szCs w:val="24"/>
        </w:rPr>
        <w:t xml:space="preserve"> the said factors. </w:t>
      </w:r>
      <w:r w:rsidR="000E67D4" w:rsidRPr="000E67D4">
        <w:rPr>
          <w:rFonts w:ascii="Times New Roman" w:eastAsia="Calibri" w:hAnsi="Times New Roman" w:cs="Times New Roman"/>
          <w:sz w:val="24"/>
          <w:szCs w:val="24"/>
        </w:rPr>
        <w:t>The grant</w:t>
      </w:r>
      <w:r>
        <w:rPr>
          <w:rFonts w:ascii="Times New Roman" w:eastAsia="Calibri" w:hAnsi="Times New Roman" w:cs="Times New Roman"/>
          <w:sz w:val="24"/>
          <w:szCs w:val="24"/>
        </w:rPr>
        <w:t>ing</w:t>
      </w:r>
      <w:r w:rsidR="000E67D4" w:rsidRPr="000E67D4">
        <w:rPr>
          <w:rFonts w:ascii="Times New Roman" w:eastAsia="Calibri" w:hAnsi="Times New Roman" w:cs="Times New Roman"/>
          <w:sz w:val="24"/>
          <w:szCs w:val="24"/>
        </w:rPr>
        <w:t xml:space="preserve"> of condonation being entirely in the discretion of the court, these factors merely guide the court to exercise its discretion in a manner that balances the interests of the applicant, the respondent, the court and the administration of justice. </w:t>
      </w:r>
    </w:p>
    <w:p w14:paraId="3BA27E14" w14:textId="77777777" w:rsidR="000F3743" w:rsidRDefault="000F3743" w:rsidP="006B199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degree of non-compliance and explanation thereof</w:t>
      </w:r>
    </w:p>
    <w:p w14:paraId="38E1C902" w14:textId="44637159" w:rsidR="00B9045C" w:rsidRDefault="00B9045C" w:rsidP="006B199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applicants’ explanation for the </w:t>
      </w:r>
      <w:r w:rsidR="00AF307A">
        <w:rPr>
          <w:rFonts w:ascii="Times New Roman" w:eastAsia="Calibri" w:hAnsi="Times New Roman" w:cs="Times New Roman"/>
          <w:sz w:val="24"/>
          <w:szCs w:val="24"/>
        </w:rPr>
        <w:t>delay</w:t>
      </w:r>
      <w:r>
        <w:rPr>
          <w:rFonts w:ascii="Times New Roman" w:eastAsia="Calibri" w:hAnsi="Times New Roman" w:cs="Times New Roman"/>
          <w:sz w:val="24"/>
          <w:szCs w:val="24"/>
        </w:rPr>
        <w:t xml:space="preserve"> is that after their legal practitioners of choice renounced agency, their contact person could not get in touch with them promptly as they were working in </w:t>
      </w:r>
      <w:r w:rsidR="00AF307A">
        <w:rPr>
          <w:rFonts w:ascii="Times New Roman" w:eastAsia="Calibri" w:hAnsi="Times New Roman" w:cs="Times New Roman"/>
          <w:sz w:val="24"/>
          <w:szCs w:val="24"/>
        </w:rPr>
        <w:t>Mozambique</w:t>
      </w:r>
      <w:r>
        <w:rPr>
          <w:rFonts w:ascii="Times New Roman" w:eastAsia="Calibri" w:hAnsi="Times New Roman" w:cs="Times New Roman"/>
          <w:sz w:val="24"/>
          <w:szCs w:val="24"/>
        </w:rPr>
        <w:t>.</w:t>
      </w:r>
      <w:r w:rsidR="00AF307A">
        <w:rPr>
          <w:rFonts w:ascii="Times New Roman" w:eastAsia="Calibri" w:hAnsi="Times New Roman" w:cs="Times New Roman"/>
          <w:sz w:val="24"/>
          <w:szCs w:val="24"/>
        </w:rPr>
        <w:t xml:space="preserve"> </w:t>
      </w:r>
      <w:r>
        <w:rPr>
          <w:rFonts w:ascii="Times New Roman" w:eastAsia="Calibri" w:hAnsi="Times New Roman" w:cs="Times New Roman"/>
          <w:sz w:val="24"/>
          <w:szCs w:val="24"/>
        </w:rPr>
        <w:t>When they were eventually advised of the service of the 1</w:t>
      </w:r>
      <w:r w:rsidRPr="00B9045C">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respondent’s heads of </w:t>
      </w:r>
      <w:r w:rsidR="000E12F9">
        <w:rPr>
          <w:rFonts w:ascii="Times New Roman" w:eastAsia="Calibri" w:hAnsi="Times New Roman" w:cs="Times New Roman"/>
          <w:sz w:val="24"/>
          <w:szCs w:val="24"/>
        </w:rPr>
        <w:t>argument,</w:t>
      </w:r>
      <w:r>
        <w:rPr>
          <w:rFonts w:ascii="Times New Roman" w:eastAsia="Calibri" w:hAnsi="Times New Roman" w:cs="Times New Roman"/>
          <w:sz w:val="24"/>
          <w:szCs w:val="24"/>
        </w:rPr>
        <w:t xml:space="preserve"> they instructed counsel to file heads of </w:t>
      </w:r>
      <w:r w:rsidR="000E12F9">
        <w:rPr>
          <w:rFonts w:ascii="Times New Roman" w:eastAsia="Calibri" w:hAnsi="Times New Roman" w:cs="Times New Roman"/>
          <w:sz w:val="24"/>
          <w:szCs w:val="24"/>
        </w:rPr>
        <w:t>argument. The</w:t>
      </w:r>
      <w:r>
        <w:rPr>
          <w:rFonts w:ascii="Times New Roman" w:eastAsia="Calibri" w:hAnsi="Times New Roman" w:cs="Times New Roman"/>
          <w:sz w:val="24"/>
          <w:szCs w:val="24"/>
        </w:rPr>
        <w:t xml:space="preserve"> delay was also exacerbated by the national lockdown during which period the High Court’s work was limited to urgent matters.</w:t>
      </w:r>
    </w:p>
    <w:p w14:paraId="1EA2DFDA" w14:textId="6E13C934" w:rsidR="001C7894" w:rsidRDefault="00B9045C" w:rsidP="006B199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find the explanation very </w:t>
      </w:r>
      <w:r w:rsidR="00EF5DB6">
        <w:rPr>
          <w:rFonts w:ascii="Times New Roman" w:eastAsia="Calibri" w:hAnsi="Times New Roman" w:cs="Times New Roman"/>
          <w:sz w:val="24"/>
          <w:szCs w:val="24"/>
        </w:rPr>
        <w:t>porous</w:t>
      </w:r>
      <w:r w:rsidR="00C36F61">
        <w:rPr>
          <w:rFonts w:ascii="Times New Roman" w:eastAsia="Calibri" w:hAnsi="Times New Roman" w:cs="Times New Roman"/>
          <w:sz w:val="24"/>
          <w:szCs w:val="24"/>
        </w:rPr>
        <w:t xml:space="preserve"> and </w:t>
      </w:r>
      <w:r w:rsidR="007B4CEC">
        <w:rPr>
          <w:rFonts w:ascii="Times New Roman" w:eastAsia="Calibri" w:hAnsi="Times New Roman" w:cs="Times New Roman"/>
          <w:sz w:val="24"/>
          <w:szCs w:val="24"/>
        </w:rPr>
        <w:t>lacking in detail</w:t>
      </w:r>
      <w:r w:rsidR="000A08B0">
        <w:rPr>
          <w:rFonts w:ascii="Times New Roman" w:eastAsia="Calibri" w:hAnsi="Times New Roman" w:cs="Times New Roman"/>
          <w:sz w:val="24"/>
          <w:szCs w:val="24"/>
        </w:rPr>
        <w:t>.</w:t>
      </w:r>
      <w:r>
        <w:rPr>
          <w:rFonts w:ascii="Times New Roman" w:eastAsia="Calibri" w:hAnsi="Times New Roman" w:cs="Times New Roman"/>
          <w:sz w:val="24"/>
          <w:szCs w:val="24"/>
        </w:rPr>
        <w:t xml:space="preserve"> It has no dates. For </w:t>
      </w:r>
      <w:r w:rsidR="007B4CEC">
        <w:rPr>
          <w:rFonts w:ascii="Times New Roman" w:eastAsia="Calibri" w:hAnsi="Times New Roman" w:cs="Times New Roman"/>
          <w:sz w:val="24"/>
          <w:szCs w:val="24"/>
        </w:rPr>
        <w:t>instance,</w:t>
      </w:r>
      <w:r>
        <w:rPr>
          <w:rFonts w:ascii="Times New Roman" w:eastAsia="Calibri" w:hAnsi="Times New Roman" w:cs="Times New Roman"/>
          <w:sz w:val="24"/>
          <w:szCs w:val="24"/>
        </w:rPr>
        <w:t xml:space="preserve"> the court is not told when the erstwhile legal practitioners renounced agency, neither is it told when the </w:t>
      </w:r>
      <w:r w:rsidR="00EF5DB6">
        <w:rPr>
          <w:rFonts w:ascii="Times New Roman" w:eastAsia="Calibri" w:hAnsi="Times New Roman" w:cs="Times New Roman"/>
          <w:sz w:val="24"/>
          <w:szCs w:val="24"/>
        </w:rPr>
        <w:t>applicants</w:t>
      </w:r>
      <w:r w:rsidR="0051156D">
        <w:rPr>
          <w:rFonts w:ascii="Times New Roman" w:eastAsia="Calibri" w:hAnsi="Times New Roman" w:cs="Times New Roman"/>
          <w:sz w:val="24"/>
          <w:szCs w:val="24"/>
        </w:rPr>
        <w:t>’ contact person was served with the 1</w:t>
      </w:r>
      <w:r w:rsidR="0051156D" w:rsidRPr="0051156D">
        <w:rPr>
          <w:rFonts w:ascii="Times New Roman" w:eastAsia="Calibri" w:hAnsi="Times New Roman" w:cs="Times New Roman"/>
          <w:sz w:val="24"/>
          <w:szCs w:val="24"/>
          <w:vertAlign w:val="superscript"/>
        </w:rPr>
        <w:t>st</w:t>
      </w:r>
      <w:r w:rsidR="0051156D">
        <w:rPr>
          <w:rFonts w:ascii="Times New Roman" w:eastAsia="Calibri" w:hAnsi="Times New Roman" w:cs="Times New Roman"/>
          <w:sz w:val="24"/>
          <w:szCs w:val="24"/>
        </w:rPr>
        <w:t xml:space="preserve"> respondent’s heads of argument and when the contact person eventually advised the applicants of such </w:t>
      </w:r>
      <w:r w:rsidR="007B4CEC">
        <w:rPr>
          <w:rFonts w:ascii="Times New Roman" w:eastAsia="Calibri" w:hAnsi="Times New Roman" w:cs="Times New Roman"/>
          <w:sz w:val="24"/>
          <w:szCs w:val="24"/>
        </w:rPr>
        <w:t>service. I</w:t>
      </w:r>
      <w:r w:rsidR="00D57757">
        <w:rPr>
          <w:rFonts w:ascii="Times New Roman" w:eastAsia="Calibri" w:hAnsi="Times New Roman" w:cs="Times New Roman"/>
          <w:sz w:val="24"/>
          <w:szCs w:val="24"/>
        </w:rPr>
        <w:t xml:space="preserve"> </w:t>
      </w:r>
      <w:r w:rsidR="007B4CEC">
        <w:rPr>
          <w:rFonts w:ascii="Times New Roman" w:eastAsia="Calibri" w:hAnsi="Times New Roman" w:cs="Times New Roman"/>
          <w:sz w:val="24"/>
          <w:szCs w:val="24"/>
        </w:rPr>
        <w:t>perused</w:t>
      </w:r>
      <w:r w:rsidR="00D57757">
        <w:rPr>
          <w:rFonts w:ascii="Times New Roman" w:eastAsia="Calibri" w:hAnsi="Times New Roman" w:cs="Times New Roman"/>
          <w:sz w:val="24"/>
          <w:szCs w:val="24"/>
        </w:rPr>
        <w:t xml:space="preserve"> the main matter and noted that t</w:t>
      </w:r>
      <w:r w:rsidR="00EF5DB6">
        <w:rPr>
          <w:rFonts w:ascii="Times New Roman" w:eastAsia="Calibri" w:hAnsi="Times New Roman" w:cs="Times New Roman"/>
          <w:sz w:val="24"/>
          <w:szCs w:val="24"/>
        </w:rPr>
        <w:t xml:space="preserve">he applicants’ erstwhile legal practitioners renounced agency on 22 June 2018. Thereafter the applicants were </w:t>
      </w:r>
      <w:r w:rsidR="007B4CEC">
        <w:rPr>
          <w:rFonts w:ascii="Times New Roman" w:eastAsia="Calibri" w:hAnsi="Times New Roman" w:cs="Times New Roman"/>
          <w:sz w:val="24"/>
          <w:szCs w:val="24"/>
        </w:rPr>
        <w:t>self-</w:t>
      </w:r>
      <w:r w:rsidR="00650FEE">
        <w:rPr>
          <w:rFonts w:ascii="Times New Roman" w:eastAsia="Calibri" w:hAnsi="Times New Roman" w:cs="Times New Roman"/>
          <w:sz w:val="24"/>
          <w:szCs w:val="24"/>
        </w:rPr>
        <w:t>actors,</w:t>
      </w:r>
      <w:r w:rsidR="00EF5DB6">
        <w:rPr>
          <w:rFonts w:ascii="Times New Roman" w:eastAsia="Calibri" w:hAnsi="Times New Roman" w:cs="Times New Roman"/>
          <w:sz w:val="24"/>
          <w:szCs w:val="24"/>
        </w:rPr>
        <w:t xml:space="preserve"> and their address of service was care of Citizens </w:t>
      </w:r>
      <w:r w:rsidR="00650FEE">
        <w:rPr>
          <w:rFonts w:ascii="Times New Roman" w:eastAsia="Calibri" w:hAnsi="Times New Roman" w:cs="Times New Roman"/>
          <w:sz w:val="24"/>
          <w:szCs w:val="24"/>
        </w:rPr>
        <w:t>Legal</w:t>
      </w:r>
      <w:r w:rsidR="00EF5DB6">
        <w:rPr>
          <w:rFonts w:ascii="Times New Roman" w:eastAsia="Calibri" w:hAnsi="Times New Roman" w:cs="Times New Roman"/>
          <w:sz w:val="24"/>
          <w:szCs w:val="24"/>
        </w:rPr>
        <w:t xml:space="preserve"> Aid and Advisory Services.</w:t>
      </w:r>
      <w:r w:rsidR="00650FEE">
        <w:rPr>
          <w:rFonts w:ascii="Times New Roman" w:eastAsia="Calibri" w:hAnsi="Times New Roman" w:cs="Times New Roman"/>
          <w:sz w:val="24"/>
          <w:szCs w:val="24"/>
        </w:rPr>
        <w:t xml:space="preserve"> </w:t>
      </w:r>
      <w:r w:rsidR="00EF5DB6">
        <w:rPr>
          <w:rFonts w:ascii="Times New Roman" w:eastAsia="Calibri" w:hAnsi="Times New Roman" w:cs="Times New Roman"/>
          <w:sz w:val="24"/>
          <w:szCs w:val="24"/>
        </w:rPr>
        <w:t>Toindei</w:t>
      </w:r>
      <w:r w:rsidR="00650FEE">
        <w:rPr>
          <w:rFonts w:ascii="Times New Roman" w:eastAsia="Calibri" w:hAnsi="Times New Roman" w:cs="Times New Roman"/>
          <w:sz w:val="24"/>
          <w:szCs w:val="24"/>
        </w:rPr>
        <w:t>pi</w:t>
      </w:r>
      <w:r w:rsidR="00EF5DB6">
        <w:rPr>
          <w:rFonts w:ascii="Times New Roman" w:eastAsia="Calibri" w:hAnsi="Times New Roman" w:cs="Times New Roman"/>
          <w:sz w:val="24"/>
          <w:szCs w:val="24"/>
        </w:rPr>
        <w:t xml:space="preserve"> Mahaso from Citizens </w:t>
      </w:r>
      <w:r w:rsidR="00650FEE">
        <w:rPr>
          <w:rFonts w:ascii="Times New Roman" w:eastAsia="Calibri" w:hAnsi="Times New Roman" w:cs="Times New Roman"/>
          <w:sz w:val="24"/>
          <w:szCs w:val="24"/>
        </w:rPr>
        <w:t>Legal</w:t>
      </w:r>
      <w:r w:rsidR="00EF5DB6">
        <w:rPr>
          <w:rFonts w:ascii="Times New Roman" w:eastAsia="Calibri" w:hAnsi="Times New Roman" w:cs="Times New Roman"/>
          <w:sz w:val="24"/>
          <w:szCs w:val="24"/>
        </w:rPr>
        <w:t xml:space="preserve"> Aid and Advisory Services filed a supporting affidavit </w:t>
      </w:r>
      <w:r w:rsidR="00F22629">
        <w:rPr>
          <w:rFonts w:ascii="Times New Roman" w:eastAsia="Calibri" w:hAnsi="Times New Roman" w:cs="Times New Roman"/>
          <w:sz w:val="24"/>
          <w:szCs w:val="24"/>
        </w:rPr>
        <w:t>confirming receipt of</w:t>
      </w:r>
      <w:r w:rsidR="009650C9">
        <w:rPr>
          <w:rFonts w:ascii="Times New Roman" w:eastAsia="Calibri" w:hAnsi="Times New Roman" w:cs="Times New Roman"/>
          <w:sz w:val="24"/>
          <w:szCs w:val="24"/>
        </w:rPr>
        <w:t xml:space="preserve"> </w:t>
      </w:r>
      <w:r w:rsidR="00F22629">
        <w:rPr>
          <w:rFonts w:ascii="Times New Roman" w:eastAsia="Calibri" w:hAnsi="Times New Roman" w:cs="Times New Roman"/>
          <w:sz w:val="24"/>
          <w:szCs w:val="24"/>
        </w:rPr>
        <w:t>the1st respondent’s heads of argument and what he did thereafter.</w:t>
      </w:r>
      <w:r w:rsidR="001C7894">
        <w:rPr>
          <w:rFonts w:ascii="Times New Roman" w:eastAsia="Calibri" w:hAnsi="Times New Roman" w:cs="Times New Roman"/>
          <w:sz w:val="24"/>
          <w:szCs w:val="24"/>
        </w:rPr>
        <w:t xml:space="preserve"> Hi</w:t>
      </w:r>
      <w:r w:rsidR="00F22629">
        <w:rPr>
          <w:rFonts w:ascii="Times New Roman" w:eastAsia="Calibri" w:hAnsi="Times New Roman" w:cs="Times New Roman"/>
          <w:sz w:val="24"/>
          <w:szCs w:val="24"/>
        </w:rPr>
        <w:t>s</w:t>
      </w:r>
      <w:r w:rsidR="001C7894">
        <w:rPr>
          <w:rFonts w:ascii="Times New Roman" w:eastAsia="Calibri" w:hAnsi="Times New Roman" w:cs="Times New Roman"/>
          <w:sz w:val="24"/>
          <w:szCs w:val="24"/>
        </w:rPr>
        <w:t xml:space="preserve"> affidavit is bereft of the relevant </w:t>
      </w:r>
      <w:r w:rsidR="00F22629">
        <w:rPr>
          <w:rFonts w:ascii="Times New Roman" w:eastAsia="Calibri" w:hAnsi="Times New Roman" w:cs="Times New Roman"/>
          <w:sz w:val="24"/>
          <w:szCs w:val="24"/>
        </w:rPr>
        <w:t>information. He</w:t>
      </w:r>
      <w:r w:rsidR="001C7894">
        <w:rPr>
          <w:rFonts w:ascii="Times New Roman" w:eastAsia="Calibri" w:hAnsi="Times New Roman" w:cs="Times New Roman"/>
          <w:sz w:val="24"/>
          <w:szCs w:val="24"/>
        </w:rPr>
        <w:t xml:space="preserve"> does not state when he contacted the </w:t>
      </w:r>
      <w:r w:rsidR="00F22629">
        <w:rPr>
          <w:rFonts w:ascii="Times New Roman" w:eastAsia="Calibri" w:hAnsi="Times New Roman" w:cs="Times New Roman"/>
          <w:sz w:val="24"/>
          <w:szCs w:val="24"/>
        </w:rPr>
        <w:t>applicants neither</w:t>
      </w:r>
      <w:r w:rsidR="001C7894">
        <w:rPr>
          <w:rFonts w:ascii="Times New Roman" w:eastAsia="Calibri" w:hAnsi="Times New Roman" w:cs="Times New Roman"/>
          <w:sz w:val="24"/>
          <w:szCs w:val="24"/>
        </w:rPr>
        <w:t xml:space="preserve"> does he advise the court when he forwarded the heads of argument to the applicants’ legal practitioners of </w:t>
      </w:r>
      <w:r w:rsidR="00F22629">
        <w:rPr>
          <w:rFonts w:ascii="Times New Roman" w:eastAsia="Calibri" w:hAnsi="Times New Roman" w:cs="Times New Roman"/>
          <w:sz w:val="24"/>
          <w:szCs w:val="24"/>
        </w:rPr>
        <w:t>choice. The</w:t>
      </w:r>
      <w:r w:rsidR="001C7894">
        <w:rPr>
          <w:rFonts w:ascii="Times New Roman" w:eastAsia="Calibri" w:hAnsi="Times New Roman" w:cs="Times New Roman"/>
          <w:sz w:val="24"/>
          <w:szCs w:val="24"/>
        </w:rPr>
        <w:t xml:space="preserve"> applicants refer to the national lockdown which affected the High Court </w:t>
      </w:r>
      <w:r w:rsidR="00AB0071">
        <w:rPr>
          <w:rFonts w:ascii="Times New Roman" w:eastAsia="Calibri" w:hAnsi="Times New Roman" w:cs="Times New Roman"/>
          <w:sz w:val="24"/>
          <w:szCs w:val="24"/>
        </w:rPr>
        <w:t>work. They</w:t>
      </w:r>
      <w:r w:rsidR="001C7894">
        <w:rPr>
          <w:rFonts w:ascii="Times New Roman" w:eastAsia="Calibri" w:hAnsi="Times New Roman" w:cs="Times New Roman"/>
          <w:sz w:val="24"/>
          <w:szCs w:val="24"/>
        </w:rPr>
        <w:t xml:space="preserve"> </w:t>
      </w:r>
      <w:r w:rsidR="002A1822">
        <w:rPr>
          <w:rFonts w:ascii="Times New Roman" w:eastAsia="Calibri" w:hAnsi="Times New Roman" w:cs="Times New Roman"/>
          <w:sz w:val="24"/>
          <w:szCs w:val="24"/>
        </w:rPr>
        <w:t>do not</w:t>
      </w:r>
      <w:r w:rsidR="001C7894">
        <w:rPr>
          <w:rFonts w:ascii="Times New Roman" w:eastAsia="Calibri" w:hAnsi="Times New Roman" w:cs="Times New Roman"/>
          <w:sz w:val="24"/>
          <w:szCs w:val="24"/>
        </w:rPr>
        <w:t xml:space="preserve"> refer to the practice direction that specifically limited their access to the </w:t>
      </w:r>
      <w:r w:rsidR="008F1688">
        <w:rPr>
          <w:rFonts w:ascii="Times New Roman" w:eastAsia="Calibri" w:hAnsi="Times New Roman" w:cs="Times New Roman"/>
          <w:sz w:val="24"/>
          <w:szCs w:val="24"/>
        </w:rPr>
        <w:t>court. To</w:t>
      </w:r>
      <w:r w:rsidR="0027551E">
        <w:rPr>
          <w:rFonts w:ascii="Times New Roman" w:eastAsia="Calibri" w:hAnsi="Times New Roman" w:cs="Times New Roman"/>
          <w:sz w:val="24"/>
          <w:szCs w:val="24"/>
        </w:rPr>
        <w:t xml:space="preserve"> simply refer to the national lockdown is not </w:t>
      </w:r>
      <w:r w:rsidR="008F1688">
        <w:rPr>
          <w:rFonts w:ascii="Times New Roman" w:eastAsia="Calibri" w:hAnsi="Times New Roman" w:cs="Times New Roman"/>
          <w:sz w:val="24"/>
          <w:szCs w:val="24"/>
        </w:rPr>
        <w:t>enough. It</w:t>
      </w:r>
      <w:r w:rsidR="00AC6464">
        <w:rPr>
          <w:rFonts w:ascii="Times New Roman" w:eastAsia="Calibri" w:hAnsi="Times New Roman" w:cs="Times New Roman"/>
          <w:sz w:val="24"/>
          <w:szCs w:val="24"/>
        </w:rPr>
        <w:t xml:space="preserve"> </w:t>
      </w:r>
      <w:r w:rsidR="00DF0F55">
        <w:rPr>
          <w:rFonts w:ascii="Times New Roman" w:eastAsia="Calibri" w:hAnsi="Times New Roman" w:cs="Times New Roman"/>
          <w:sz w:val="24"/>
          <w:szCs w:val="24"/>
        </w:rPr>
        <w:t>is common</w:t>
      </w:r>
      <w:r w:rsidR="00AC6464">
        <w:rPr>
          <w:rFonts w:ascii="Times New Roman" w:eastAsia="Calibri" w:hAnsi="Times New Roman" w:cs="Times New Roman"/>
          <w:sz w:val="24"/>
          <w:szCs w:val="24"/>
        </w:rPr>
        <w:t xml:space="preserve"> cause that</w:t>
      </w:r>
      <w:r w:rsidR="00550266">
        <w:rPr>
          <w:rFonts w:ascii="Times New Roman" w:eastAsia="Calibri" w:hAnsi="Times New Roman" w:cs="Times New Roman"/>
          <w:sz w:val="24"/>
          <w:szCs w:val="24"/>
        </w:rPr>
        <w:t xml:space="preserve"> during national lockdown, the office of the Chief Justice issued Practice Directions </w:t>
      </w:r>
      <w:r w:rsidR="00AC7B6B">
        <w:rPr>
          <w:rFonts w:ascii="Times New Roman" w:eastAsia="Calibri" w:hAnsi="Times New Roman" w:cs="Times New Roman"/>
          <w:sz w:val="24"/>
          <w:szCs w:val="24"/>
        </w:rPr>
        <w:t xml:space="preserve">regulating the conduct of </w:t>
      </w:r>
      <w:r w:rsidR="00DE7E23">
        <w:rPr>
          <w:rFonts w:ascii="Times New Roman" w:eastAsia="Calibri" w:hAnsi="Times New Roman" w:cs="Times New Roman"/>
          <w:sz w:val="24"/>
          <w:szCs w:val="24"/>
        </w:rPr>
        <w:t>courts</w:t>
      </w:r>
      <w:r w:rsidR="00AC7B6B">
        <w:rPr>
          <w:rFonts w:ascii="Times New Roman" w:eastAsia="Calibri" w:hAnsi="Times New Roman" w:cs="Times New Roman"/>
          <w:sz w:val="24"/>
          <w:szCs w:val="24"/>
        </w:rPr>
        <w:t xml:space="preserve"> during the </w:t>
      </w:r>
      <w:r w:rsidR="002A1822">
        <w:rPr>
          <w:rFonts w:ascii="Times New Roman" w:eastAsia="Calibri" w:hAnsi="Times New Roman" w:cs="Times New Roman"/>
          <w:sz w:val="24"/>
          <w:szCs w:val="24"/>
        </w:rPr>
        <w:t>period. In</w:t>
      </w:r>
      <w:r w:rsidR="000E2901">
        <w:rPr>
          <w:rFonts w:ascii="Times New Roman" w:eastAsia="Calibri" w:hAnsi="Times New Roman" w:cs="Times New Roman"/>
          <w:sz w:val="24"/>
          <w:szCs w:val="24"/>
        </w:rPr>
        <w:t xml:space="preserve"> the absence of </w:t>
      </w:r>
      <w:r w:rsidR="00234DB3">
        <w:rPr>
          <w:rFonts w:ascii="Times New Roman" w:eastAsia="Calibri" w:hAnsi="Times New Roman" w:cs="Times New Roman"/>
          <w:sz w:val="24"/>
          <w:szCs w:val="24"/>
        </w:rPr>
        <w:t xml:space="preserve">reference to the relevant Practice </w:t>
      </w:r>
      <w:r w:rsidR="002A1822">
        <w:rPr>
          <w:rFonts w:ascii="Times New Roman" w:eastAsia="Calibri" w:hAnsi="Times New Roman" w:cs="Times New Roman"/>
          <w:sz w:val="24"/>
          <w:szCs w:val="24"/>
        </w:rPr>
        <w:t>Direction, the</w:t>
      </w:r>
      <w:r w:rsidR="00234DB3">
        <w:rPr>
          <w:rFonts w:ascii="Times New Roman" w:eastAsia="Calibri" w:hAnsi="Times New Roman" w:cs="Times New Roman"/>
          <w:sz w:val="24"/>
          <w:szCs w:val="24"/>
        </w:rPr>
        <w:t xml:space="preserve"> point taken for the </w:t>
      </w:r>
      <w:r w:rsidR="00137A1F">
        <w:rPr>
          <w:rFonts w:ascii="Times New Roman" w:eastAsia="Calibri" w:hAnsi="Times New Roman" w:cs="Times New Roman"/>
          <w:sz w:val="24"/>
          <w:szCs w:val="24"/>
        </w:rPr>
        <w:t xml:space="preserve">applicants </w:t>
      </w:r>
      <w:r w:rsidR="00234DB3">
        <w:rPr>
          <w:rFonts w:ascii="Times New Roman" w:eastAsia="Calibri" w:hAnsi="Times New Roman" w:cs="Times New Roman"/>
          <w:sz w:val="24"/>
          <w:szCs w:val="24"/>
        </w:rPr>
        <w:t>would not</w:t>
      </w:r>
      <w:r w:rsidR="00137A1F">
        <w:rPr>
          <w:rFonts w:ascii="Times New Roman" w:eastAsia="Calibri" w:hAnsi="Times New Roman" w:cs="Times New Roman"/>
          <w:sz w:val="24"/>
          <w:szCs w:val="24"/>
        </w:rPr>
        <w:t xml:space="preserve"> advance their</w:t>
      </w:r>
      <w:r w:rsidR="00DF0F55">
        <w:rPr>
          <w:rFonts w:ascii="Times New Roman" w:eastAsia="Calibri" w:hAnsi="Times New Roman" w:cs="Times New Roman"/>
          <w:sz w:val="24"/>
          <w:szCs w:val="24"/>
        </w:rPr>
        <w:t xml:space="preserve"> cause. </w:t>
      </w:r>
      <w:r w:rsidR="002A1822">
        <w:rPr>
          <w:rFonts w:ascii="Times New Roman" w:eastAsia="Calibri" w:hAnsi="Times New Roman" w:cs="Times New Roman"/>
          <w:sz w:val="24"/>
          <w:szCs w:val="24"/>
        </w:rPr>
        <w:t>The applicants</w:t>
      </w:r>
      <w:r w:rsidR="00E93E24">
        <w:rPr>
          <w:rFonts w:ascii="Times New Roman" w:eastAsia="Calibri" w:hAnsi="Times New Roman" w:cs="Times New Roman"/>
          <w:sz w:val="24"/>
          <w:szCs w:val="24"/>
        </w:rPr>
        <w:t xml:space="preserve"> also indicated that </w:t>
      </w:r>
      <w:r w:rsidR="002A1822">
        <w:rPr>
          <w:rFonts w:ascii="Times New Roman" w:eastAsia="Calibri" w:hAnsi="Times New Roman" w:cs="Times New Roman"/>
          <w:sz w:val="24"/>
          <w:szCs w:val="24"/>
        </w:rPr>
        <w:t>they instructed</w:t>
      </w:r>
      <w:r w:rsidR="001C7894">
        <w:rPr>
          <w:rFonts w:ascii="Times New Roman" w:eastAsia="Calibri" w:hAnsi="Times New Roman" w:cs="Times New Roman"/>
          <w:sz w:val="24"/>
          <w:szCs w:val="24"/>
        </w:rPr>
        <w:t xml:space="preserve"> counsel to file heads of argument yet by then they were already </w:t>
      </w:r>
      <w:r w:rsidR="003D1D76">
        <w:rPr>
          <w:rFonts w:ascii="Times New Roman" w:eastAsia="Calibri" w:hAnsi="Times New Roman" w:cs="Times New Roman"/>
          <w:sz w:val="24"/>
          <w:szCs w:val="24"/>
        </w:rPr>
        <w:t>barred. They</w:t>
      </w:r>
      <w:r w:rsidR="002F75FE">
        <w:rPr>
          <w:rFonts w:ascii="Times New Roman" w:eastAsia="Calibri" w:hAnsi="Times New Roman" w:cs="Times New Roman"/>
          <w:sz w:val="24"/>
          <w:szCs w:val="24"/>
        </w:rPr>
        <w:t xml:space="preserve"> did not apply for condonation.</w:t>
      </w:r>
      <w:r w:rsidR="001C7894">
        <w:rPr>
          <w:rFonts w:ascii="Times New Roman" w:eastAsia="Calibri" w:hAnsi="Times New Roman" w:cs="Times New Roman"/>
          <w:sz w:val="24"/>
          <w:szCs w:val="24"/>
        </w:rPr>
        <w:t xml:space="preserve"> There is no explanation why the application for condonation was </w:t>
      </w:r>
      <w:r w:rsidR="00DF0F55">
        <w:rPr>
          <w:rFonts w:ascii="Times New Roman" w:eastAsia="Calibri" w:hAnsi="Times New Roman" w:cs="Times New Roman"/>
          <w:sz w:val="24"/>
          <w:szCs w:val="24"/>
        </w:rPr>
        <w:t>not filed</w:t>
      </w:r>
      <w:r w:rsidR="001C7894">
        <w:rPr>
          <w:rFonts w:ascii="Times New Roman" w:eastAsia="Calibri" w:hAnsi="Times New Roman" w:cs="Times New Roman"/>
          <w:sz w:val="24"/>
          <w:szCs w:val="24"/>
        </w:rPr>
        <w:t xml:space="preserve"> as soon as </w:t>
      </w:r>
      <w:r w:rsidR="00DF0F55">
        <w:rPr>
          <w:rFonts w:ascii="Times New Roman" w:eastAsia="Calibri" w:hAnsi="Times New Roman" w:cs="Times New Roman"/>
          <w:sz w:val="24"/>
          <w:szCs w:val="24"/>
        </w:rPr>
        <w:t>possible. There</w:t>
      </w:r>
      <w:r w:rsidR="001C7894">
        <w:rPr>
          <w:rFonts w:ascii="Times New Roman" w:eastAsia="Calibri" w:hAnsi="Times New Roman" w:cs="Times New Roman"/>
          <w:sz w:val="24"/>
          <w:szCs w:val="24"/>
        </w:rPr>
        <w:t xml:space="preserve"> is no reasonable explanation for the delay.</w:t>
      </w:r>
    </w:p>
    <w:p w14:paraId="07B1BDE4" w14:textId="74F1CFF0" w:rsidR="001C7894" w:rsidRDefault="001C7894" w:rsidP="006B199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Condonation for the </w:t>
      </w:r>
      <w:r w:rsidRPr="001C7894">
        <w:rPr>
          <w:rFonts w:ascii="Times New Roman" w:eastAsia="Calibri" w:hAnsi="Times New Roman" w:cs="Times New Roman"/>
          <w:sz w:val="24"/>
          <w:szCs w:val="24"/>
        </w:rPr>
        <w:t xml:space="preserve">non-observance of the rules is not just there for the asking.  </w:t>
      </w:r>
      <w:r>
        <w:rPr>
          <w:rFonts w:ascii="Times New Roman" w:eastAsia="Calibri" w:hAnsi="Times New Roman" w:cs="Times New Roman"/>
          <w:sz w:val="24"/>
          <w:szCs w:val="24"/>
        </w:rPr>
        <w:t>Where a</w:t>
      </w:r>
      <w:r w:rsidRPr="001C7894">
        <w:rPr>
          <w:rFonts w:ascii="Times New Roman" w:eastAsia="Calibri" w:hAnsi="Times New Roman" w:cs="Times New Roman"/>
          <w:sz w:val="24"/>
          <w:szCs w:val="24"/>
        </w:rPr>
        <w:t xml:space="preserve"> litigant realises that he or she has fallen foul of the rules of court, </w:t>
      </w:r>
      <w:r>
        <w:rPr>
          <w:rFonts w:ascii="Times New Roman" w:eastAsia="Calibri" w:hAnsi="Times New Roman" w:cs="Times New Roman"/>
          <w:sz w:val="24"/>
          <w:szCs w:val="24"/>
        </w:rPr>
        <w:t xml:space="preserve">an application for </w:t>
      </w:r>
      <w:r w:rsidR="004421D5" w:rsidRPr="001C7894">
        <w:rPr>
          <w:rFonts w:ascii="Times New Roman" w:eastAsia="Calibri" w:hAnsi="Times New Roman" w:cs="Times New Roman"/>
          <w:sz w:val="24"/>
          <w:szCs w:val="24"/>
        </w:rPr>
        <w:t xml:space="preserve">condonation </w:t>
      </w:r>
      <w:r w:rsidR="004421D5">
        <w:rPr>
          <w:rFonts w:ascii="Times New Roman" w:eastAsia="Calibri" w:hAnsi="Times New Roman" w:cs="Times New Roman"/>
          <w:sz w:val="24"/>
          <w:szCs w:val="24"/>
        </w:rPr>
        <w:t>must</w:t>
      </w:r>
      <w:r>
        <w:rPr>
          <w:rFonts w:ascii="Times New Roman" w:eastAsia="Calibri" w:hAnsi="Times New Roman" w:cs="Times New Roman"/>
          <w:sz w:val="24"/>
          <w:szCs w:val="24"/>
        </w:rPr>
        <w:t xml:space="preserve"> be made </w:t>
      </w:r>
      <w:r w:rsidRPr="001C7894">
        <w:rPr>
          <w:rFonts w:ascii="Times New Roman" w:eastAsia="Calibri" w:hAnsi="Times New Roman" w:cs="Times New Roman"/>
          <w:sz w:val="24"/>
          <w:szCs w:val="24"/>
        </w:rPr>
        <w:t>without delay.  If the litigant does not make the application without delay, he or she should give an acceptable explanation, not only for the delay in filing the</w:t>
      </w:r>
      <w:r>
        <w:rPr>
          <w:rFonts w:ascii="Times New Roman" w:eastAsia="Calibri" w:hAnsi="Times New Roman" w:cs="Times New Roman"/>
          <w:sz w:val="24"/>
          <w:szCs w:val="24"/>
        </w:rPr>
        <w:t xml:space="preserve"> heads of </w:t>
      </w:r>
      <w:r w:rsidR="003D1D76">
        <w:rPr>
          <w:rFonts w:ascii="Times New Roman" w:eastAsia="Calibri" w:hAnsi="Times New Roman" w:cs="Times New Roman"/>
          <w:sz w:val="24"/>
          <w:szCs w:val="24"/>
        </w:rPr>
        <w:t>argument,</w:t>
      </w:r>
      <w:r w:rsidRPr="001C7894">
        <w:rPr>
          <w:rFonts w:ascii="Times New Roman" w:eastAsia="Calibri" w:hAnsi="Times New Roman" w:cs="Times New Roman"/>
          <w:sz w:val="24"/>
          <w:szCs w:val="24"/>
        </w:rPr>
        <w:t xml:space="preserve"> but also for the delay in seeking condonation.  See </w:t>
      </w:r>
      <w:r w:rsidRPr="001C7894">
        <w:rPr>
          <w:rFonts w:ascii="Times New Roman" w:eastAsia="Calibri" w:hAnsi="Times New Roman" w:cs="Times New Roman"/>
          <w:i/>
          <w:sz w:val="24"/>
          <w:szCs w:val="24"/>
        </w:rPr>
        <w:t xml:space="preserve">Viking Woodwork (Private) Limited </w:t>
      </w:r>
      <w:r w:rsidRPr="004F0876">
        <w:rPr>
          <w:rFonts w:ascii="Times New Roman" w:eastAsia="Calibri" w:hAnsi="Times New Roman" w:cs="Times New Roman"/>
          <w:sz w:val="24"/>
          <w:szCs w:val="24"/>
        </w:rPr>
        <w:t xml:space="preserve">v </w:t>
      </w:r>
      <w:r w:rsidRPr="001C7894">
        <w:rPr>
          <w:rFonts w:ascii="Times New Roman" w:eastAsia="Calibri" w:hAnsi="Times New Roman" w:cs="Times New Roman"/>
          <w:i/>
          <w:sz w:val="24"/>
          <w:szCs w:val="24"/>
        </w:rPr>
        <w:t>Blue Bells Enterprises (Private) Limited</w:t>
      </w:r>
      <w:r w:rsidRPr="001C7894">
        <w:rPr>
          <w:rFonts w:ascii="Times New Roman" w:eastAsia="Calibri" w:hAnsi="Times New Roman" w:cs="Times New Roman"/>
          <w:sz w:val="24"/>
          <w:szCs w:val="24"/>
        </w:rPr>
        <w:t xml:space="preserve"> </w:t>
      </w:r>
      <w:r w:rsidR="004421D5">
        <w:rPr>
          <w:rStyle w:val="FootnoteReference"/>
          <w:rFonts w:ascii="Times New Roman" w:eastAsia="Calibri" w:hAnsi="Times New Roman"/>
          <w:sz w:val="24"/>
          <w:szCs w:val="24"/>
        </w:rPr>
        <w:footnoteReference w:id="3"/>
      </w:r>
      <w:r w:rsidR="004421D5">
        <w:rPr>
          <w:rFonts w:ascii="Times New Roman" w:eastAsia="Calibri" w:hAnsi="Times New Roman" w:cs="Times New Roman"/>
          <w:sz w:val="24"/>
          <w:szCs w:val="24"/>
        </w:rPr>
        <w:t>.</w:t>
      </w:r>
    </w:p>
    <w:p w14:paraId="424F34DF" w14:textId="77777777" w:rsidR="00087534" w:rsidRDefault="00087534" w:rsidP="006B1993">
      <w:pPr>
        <w:spacing w:after="0" w:line="360" w:lineRule="auto"/>
        <w:jc w:val="both"/>
        <w:rPr>
          <w:rFonts w:ascii="Times New Roman" w:eastAsia="Calibri" w:hAnsi="Times New Roman" w:cs="Times New Roman"/>
          <w:sz w:val="24"/>
          <w:szCs w:val="24"/>
        </w:rPr>
      </w:pPr>
    </w:p>
    <w:p w14:paraId="73AC1E6F" w14:textId="77777777" w:rsidR="00087534" w:rsidRDefault="00087534" w:rsidP="006B1993">
      <w:pPr>
        <w:spacing w:after="0" w:line="360" w:lineRule="auto"/>
        <w:jc w:val="both"/>
        <w:rPr>
          <w:rFonts w:ascii="Times New Roman" w:eastAsia="Calibri" w:hAnsi="Times New Roman" w:cs="Times New Roman"/>
          <w:sz w:val="24"/>
          <w:szCs w:val="24"/>
        </w:rPr>
      </w:pPr>
    </w:p>
    <w:p w14:paraId="1BE93268" w14:textId="77777777" w:rsidR="00087534" w:rsidRPr="00087534" w:rsidRDefault="00087534" w:rsidP="00087534">
      <w:pPr>
        <w:spacing w:after="0" w:line="360" w:lineRule="auto"/>
        <w:jc w:val="both"/>
        <w:rPr>
          <w:rFonts w:ascii="Times New Roman" w:eastAsia="Calibri" w:hAnsi="Times New Roman" w:cs="Times New Roman"/>
          <w:sz w:val="24"/>
          <w:szCs w:val="24"/>
        </w:rPr>
      </w:pPr>
      <w:r w:rsidRPr="00087534">
        <w:rPr>
          <w:rFonts w:ascii="Times New Roman" w:eastAsia="Calibri" w:hAnsi="Times New Roman" w:cs="Times New Roman"/>
          <w:sz w:val="24"/>
          <w:szCs w:val="24"/>
        </w:rPr>
        <w:lastRenderedPageBreak/>
        <w:t>The prospects of success</w:t>
      </w:r>
    </w:p>
    <w:p w14:paraId="5C3F7DD2" w14:textId="77777777" w:rsidR="00087534" w:rsidRPr="00087534" w:rsidRDefault="00087534" w:rsidP="00087534">
      <w:pPr>
        <w:spacing w:after="0" w:line="360" w:lineRule="auto"/>
        <w:ind w:firstLine="720"/>
        <w:jc w:val="both"/>
        <w:rPr>
          <w:rFonts w:ascii="Times New Roman" w:eastAsia="Calibri" w:hAnsi="Times New Roman" w:cs="Times New Roman"/>
          <w:sz w:val="24"/>
          <w:szCs w:val="24"/>
        </w:rPr>
      </w:pPr>
      <w:r w:rsidRPr="00087534">
        <w:rPr>
          <w:rFonts w:ascii="Times New Roman" w:eastAsia="Calibri" w:hAnsi="Times New Roman" w:cs="Times New Roman"/>
          <w:sz w:val="24"/>
          <w:szCs w:val="24"/>
        </w:rPr>
        <w:t xml:space="preserve">There is authority that where the explanation for non-compliance with the rules is not acceptable, the applicant must show very good prospects of success in the main matter.  See </w:t>
      </w:r>
      <w:r w:rsidRPr="00087534">
        <w:rPr>
          <w:rFonts w:ascii="Times New Roman" w:eastAsia="Calibri" w:hAnsi="Times New Roman" w:cs="Times New Roman"/>
          <w:i/>
          <w:sz w:val="24"/>
          <w:szCs w:val="24"/>
        </w:rPr>
        <w:t xml:space="preserve">Mahachi </w:t>
      </w:r>
      <w:r w:rsidRPr="0050284D">
        <w:rPr>
          <w:rFonts w:ascii="Times New Roman" w:eastAsia="Calibri" w:hAnsi="Times New Roman" w:cs="Times New Roman"/>
          <w:sz w:val="24"/>
          <w:szCs w:val="24"/>
        </w:rPr>
        <w:t>v</w:t>
      </w:r>
      <w:r w:rsidRPr="00087534">
        <w:rPr>
          <w:rFonts w:ascii="Times New Roman" w:eastAsia="Calibri" w:hAnsi="Times New Roman" w:cs="Times New Roman"/>
          <w:i/>
          <w:sz w:val="24"/>
          <w:szCs w:val="24"/>
        </w:rPr>
        <w:t xml:space="preserve"> Barclays Bank of Zimbabwe</w:t>
      </w:r>
      <w:r w:rsidRPr="00087534">
        <w:rPr>
          <w:rFonts w:ascii="Times New Roman" w:eastAsia="Calibri" w:hAnsi="Times New Roman" w:cs="Times New Roman"/>
          <w:i/>
          <w:sz w:val="24"/>
          <w:szCs w:val="24"/>
          <w:vertAlign w:val="superscript"/>
        </w:rPr>
        <w:footnoteReference w:id="4"/>
      </w:r>
      <w:r w:rsidRPr="00087534">
        <w:rPr>
          <w:rFonts w:ascii="Times New Roman" w:eastAsia="Calibri" w:hAnsi="Times New Roman" w:cs="Times New Roman"/>
          <w:i/>
          <w:sz w:val="24"/>
          <w:szCs w:val="24"/>
        </w:rPr>
        <w:t>.</w:t>
      </w:r>
      <w:r w:rsidRPr="00087534">
        <w:rPr>
          <w:rFonts w:ascii="Times New Roman" w:eastAsia="Calibri" w:hAnsi="Times New Roman" w:cs="Times New Roman"/>
          <w:sz w:val="24"/>
          <w:szCs w:val="24"/>
        </w:rPr>
        <w:t xml:space="preserve"> </w:t>
      </w:r>
    </w:p>
    <w:p w14:paraId="0ACACA6B" w14:textId="1F2ADEC9" w:rsidR="00087534" w:rsidRPr="00087534" w:rsidRDefault="00087534" w:rsidP="00087534">
      <w:pPr>
        <w:spacing w:after="0" w:line="360" w:lineRule="auto"/>
        <w:jc w:val="both"/>
        <w:rPr>
          <w:rFonts w:ascii="Times New Roman" w:eastAsia="Calibri" w:hAnsi="Times New Roman" w:cs="Times New Roman"/>
          <w:sz w:val="24"/>
          <w:szCs w:val="24"/>
        </w:rPr>
      </w:pPr>
      <w:r w:rsidRPr="00087534">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087534">
        <w:rPr>
          <w:rFonts w:ascii="Times New Roman" w:eastAsia="Calibri" w:hAnsi="Times New Roman" w:cs="Times New Roman"/>
          <w:sz w:val="24"/>
          <w:szCs w:val="24"/>
        </w:rPr>
        <w:t xml:space="preserve"> I find no prospects of success in the main matter for the following reasons,</w:t>
      </w:r>
    </w:p>
    <w:p w14:paraId="20C41848" w14:textId="77777777" w:rsidR="00087534" w:rsidRPr="00087534" w:rsidRDefault="00087534" w:rsidP="00087534">
      <w:pPr>
        <w:spacing w:after="0" w:line="360" w:lineRule="auto"/>
        <w:jc w:val="both"/>
        <w:rPr>
          <w:rFonts w:ascii="Times New Roman" w:eastAsia="Calibri" w:hAnsi="Times New Roman" w:cs="Times New Roman"/>
          <w:sz w:val="24"/>
          <w:szCs w:val="24"/>
        </w:rPr>
      </w:pPr>
      <w:r w:rsidRPr="00087534">
        <w:rPr>
          <w:rFonts w:ascii="Times New Roman" w:eastAsia="Calibri" w:hAnsi="Times New Roman" w:cs="Times New Roman"/>
          <w:sz w:val="24"/>
          <w:szCs w:val="24"/>
        </w:rPr>
        <w:t>I comment at the outset that the application is unclear which paragraph(s) the applicants rely on in their application. This is evident from the terminology used in the founding affidavit. At one point there is reference to a patent error, in another paragraph reference is made to a mistake common to the parties and lastly that the judgment was entered in the applicants’ absence. In such an application it must clear which paragraph the applicant relies on since the issues for consideration are different. A convoluted approach such as this may point to an applicant who is trying all options just in case one of them rescues him. The application does not indicate that it was made in the alternative.</w:t>
      </w:r>
    </w:p>
    <w:p w14:paraId="1DE4387B" w14:textId="77777777" w:rsidR="00087534" w:rsidRPr="00087534" w:rsidRDefault="00087534" w:rsidP="00087534">
      <w:pPr>
        <w:spacing w:after="0" w:line="360" w:lineRule="auto"/>
        <w:ind w:firstLine="720"/>
        <w:jc w:val="both"/>
        <w:rPr>
          <w:rFonts w:ascii="Times New Roman" w:eastAsia="Calibri" w:hAnsi="Times New Roman" w:cs="Times New Roman"/>
          <w:sz w:val="24"/>
          <w:szCs w:val="24"/>
        </w:rPr>
      </w:pPr>
      <w:r w:rsidRPr="00087534">
        <w:rPr>
          <w:rFonts w:ascii="Times New Roman" w:eastAsia="Calibri" w:hAnsi="Times New Roman" w:cs="Times New Roman"/>
          <w:sz w:val="24"/>
          <w:szCs w:val="24"/>
        </w:rPr>
        <w:t xml:space="preserve">The order that the applicants seek to set aside was granted by consent in 2002.The application is made in terms of r449. Although the rule does not provide for the period within which the application must be made, it is accepted that it should be made within a reasonable time. What constitutes a reasonable period depends on the circumstances of each case. Where there has been a delay the applicant must explain why he or she could not approach the court as soon as possible. In this case the applicants filed the application in June 2018 some 16 years after the order by consent was entered and 14 years after the application for the setting aside of the consent order was dismissed. Either way the period is unreasonably long. In </w:t>
      </w:r>
      <w:r w:rsidRPr="00087534">
        <w:rPr>
          <w:rFonts w:ascii="Times New Roman" w:eastAsia="Calibri" w:hAnsi="Times New Roman" w:cs="Times New Roman"/>
          <w:i/>
          <w:sz w:val="24"/>
          <w:szCs w:val="24"/>
        </w:rPr>
        <w:t xml:space="preserve">Grantully (Pvt) Ltd and Another </w:t>
      </w:r>
      <w:r w:rsidRPr="0050284D">
        <w:rPr>
          <w:rFonts w:ascii="Times New Roman" w:eastAsia="Calibri" w:hAnsi="Times New Roman" w:cs="Times New Roman"/>
          <w:sz w:val="24"/>
          <w:szCs w:val="24"/>
        </w:rPr>
        <w:t>v</w:t>
      </w:r>
      <w:r w:rsidRPr="00087534">
        <w:rPr>
          <w:rFonts w:ascii="Times New Roman" w:eastAsia="Calibri" w:hAnsi="Times New Roman" w:cs="Times New Roman"/>
          <w:i/>
          <w:sz w:val="24"/>
          <w:szCs w:val="24"/>
        </w:rPr>
        <w:t xml:space="preserve"> UDC Ltd</w:t>
      </w:r>
      <w:r w:rsidRPr="00087534">
        <w:rPr>
          <w:rFonts w:ascii="Times New Roman" w:eastAsia="Calibri" w:hAnsi="Times New Roman" w:cs="Times New Roman"/>
          <w:sz w:val="24"/>
          <w:szCs w:val="24"/>
          <w:vertAlign w:val="superscript"/>
        </w:rPr>
        <w:footnoteReference w:id="5"/>
      </w:r>
      <w:r w:rsidRPr="00087534">
        <w:rPr>
          <w:rFonts w:ascii="Times New Roman" w:eastAsia="Calibri" w:hAnsi="Times New Roman" w:cs="Times New Roman"/>
          <w:sz w:val="24"/>
          <w:szCs w:val="24"/>
        </w:rPr>
        <w:t xml:space="preserve"> the court held that an application for rescission can be dismissed by reason of an inordinate lapse of time. Rule 449 is a procedural step meant to correct expeditiously an obviously wrong judgment or order. In this case the delay of sixteen years is inordinate the court may dismiss the application on that basis alone. The applicants must be taken to have accepted the judgment of the court. It is undesirable to reopen a matter after 16 years unless the interests of justice require so. It has not been shown that the interests of justice demand that this matter be revisited.</w:t>
      </w:r>
    </w:p>
    <w:p w14:paraId="5757949C" w14:textId="77777777" w:rsidR="00087534" w:rsidRPr="00087534" w:rsidRDefault="00087534" w:rsidP="00087534">
      <w:pPr>
        <w:spacing w:after="0" w:line="360" w:lineRule="auto"/>
        <w:ind w:firstLine="720"/>
        <w:jc w:val="both"/>
        <w:rPr>
          <w:rFonts w:ascii="Times New Roman" w:eastAsia="Calibri" w:hAnsi="Times New Roman" w:cs="Times New Roman"/>
          <w:sz w:val="24"/>
          <w:szCs w:val="24"/>
        </w:rPr>
      </w:pPr>
      <w:r w:rsidRPr="00087534">
        <w:rPr>
          <w:rFonts w:ascii="Times New Roman" w:eastAsia="Calibri" w:hAnsi="Times New Roman" w:cs="Times New Roman"/>
          <w:sz w:val="24"/>
          <w:szCs w:val="24"/>
        </w:rPr>
        <w:t xml:space="preserve">Some of the issues raised in the main matter are </w:t>
      </w:r>
      <w:r w:rsidRPr="00087534">
        <w:rPr>
          <w:rFonts w:ascii="Times New Roman" w:eastAsia="Calibri" w:hAnsi="Times New Roman" w:cs="Times New Roman"/>
          <w:i/>
          <w:iCs/>
          <w:sz w:val="24"/>
          <w:szCs w:val="24"/>
        </w:rPr>
        <w:t xml:space="preserve">res judicata. </w:t>
      </w:r>
      <w:r w:rsidRPr="00087534">
        <w:rPr>
          <w:rFonts w:ascii="Times New Roman" w:eastAsia="Calibri" w:hAnsi="Times New Roman" w:cs="Times New Roman"/>
          <w:sz w:val="24"/>
          <w:szCs w:val="24"/>
        </w:rPr>
        <w:t xml:space="preserve">The applicants filed an application to set aside the order by consent in 2003. The application was dismissed under </w:t>
      </w:r>
      <w:r w:rsidRPr="00087534">
        <w:rPr>
          <w:rFonts w:ascii="Times New Roman" w:eastAsia="Calibri" w:hAnsi="Times New Roman" w:cs="Times New Roman"/>
          <w:sz w:val="24"/>
          <w:szCs w:val="24"/>
        </w:rPr>
        <w:lastRenderedPageBreak/>
        <w:t xml:space="preserve">HH123/04. In the main matter on paragraph 15 of the founding affidavit the applicants aver that the judgment was entered in their absence in the sense that the lawyer who entered the consent order had no mandate, that there were patent errors of law committed by the court in granting the consent order for instance the payment in foreign currency. These issues were considered and disposed under HH123/04. In that case the court made a finding that the applicants were taken as not disputing liability. The court also made a finding that the liability was in foreign currency. The judgment was not appealed. The requirements of </w:t>
      </w:r>
      <w:r w:rsidRPr="00087534">
        <w:rPr>
          <w:rFonts w:ascii="Times New Roman" w:eastAsia="Calibri" w:hAnsi="Times New Roman" w:cs="Times New Roman"/>
          <w:i/>
          <w:iCs/>
          <w:sz w:val="24"/>
          <w:szCs w:val="24"/>
        </w:rPr>
        <w:t>res judicata</w:t>
      </w:r>
      <w:r w:rsidRPr="00087534">
        <w:rPr>
          <w:rFonts w:ascii="Times New Roman" w:eastAsia="Calibri" w:hAnsi="Times New Roman" w:cs="Times New Roman"/>
          <w:sz w:val="24"/>
          <w:szCs w:val="24"/>
        </w:rPr>
        <w:t xml:space="preserve"> are satisfied the subject matter, the issues and the parties are the same. The submission made for the applicants that the cause of action in the main matter and HC2000/03(HH123/04) are different is just splitting hairs. As already demonstrated the issues for determination were the same regardless of what the application was termed.  </w:t>
      </w:r>
    </w:p>
    <w:p w14:paraId="55ECFAEA" w14:textId="77777777" w:rsidR="00087534" w:rsidRPr="00087534" w:rsidRDefault="00087534" w:rsidP="00087534">
      <w:pPr>
        <w:spacing w:after="0" w:line="360" w:lineRule="auto"/>
        <w:ind w:firstLine="720"/>
        <w:jc w:val="both"/>
        <w:rPr>
          <w:rFonts w:ascii="Times New Roman" w:eastAsia="Calibri" w:hAnsi="Times New Roman" w:cs="Times New Roman"/>
          <w:sz w:val="24"/>
          <w:szCs w:val="24"/>
        </w:rPr>
      </w:pPr>
      <w:r w:rsidRPr="00087534">
        <w:rPr>
          <w:rFonts w:ascii="Times New Roman" w:eastAsia="Calibri" w:hAnsi="Times New Roman" w:cs="Times New Roman"/>
          <w:sz w:val="24"/>
          <w:szCs w:val="24"/>
        </w:rPr>
        <w:t xml:space="preserve">There are indeed some issues raised in the main matter that were not raised before the court under HH123/04. Even for those the applicants must be barred from raising them in the interest of justice and finality to litigation. It is surprising that the applicants have approached the court again after the terse dictum by the court in HC 123/04 that, </w:t>
      </w:r>
    </w:p>
    <w:p w14:paraId="7F62BF77" w14:textId="784041D2" w:rsidR="00087534" w:rsidRDefault="00087534" w:rsidP="0050284D">
      <w:pPr>
        <w:spacing w:after="0" w:line="276" w:lineRule="auto"/>
        <w:ind w:left="720"/>
        <w:jc w:val="both"/>
        <w:rPr>
          <w:rFonts w:ascii="Times New Roman" w:eastAsia="Calibri" w:hAnsi="Times New Roman" w:cs="Times New Roman"/>
        </w:rPr>
      </w:pPr>
      <w:r w:rsidRPr="00087534">
        <w:rPr>
          <w:rFonts w:ascii="Times New Roman" w:eastAsia="Calibri" w:hAnsi="Times New Roman" w:cs="Times New Roman"/>
        </w:rPr>
        <w:t>‘In light of the above, I do not see any basis upon which the applicants can escape liability for the actions of their agent in settling the matter on their behalf and on their express instructions. In this regard, I am of the firm view that the principle that there must be finality to litigation must take precedence. The applicants have not made out a case why they should be allowed to fight the same battle twice. Simply because they may have come across a new weapon they did not deploy in the lost battle is not sufficient a ground upon to gain the indulgence they seek. In my view, for the applicants to be allowed to re-engage in the lost battle, they must show that their surrender on the battlefield was no surrender at all and not merely that it was an uninformed surrender. The courts would be inundated with reopened cases were litigants allowed to rethink their defences to cases where they would have consented to judgment.’</w:t>
      </w:r>
    </w:p>
    <w:p w14:paraId="542A1351" w14:textId="77777777" w:rsidR="0050284D" w:rsidRPr="00087534" w:rsidRDefault="0050284D" w:rsidP="0050284D">
      <w:pPr>
        <w:spacing w:after="0" w:line="276" w:lineRule="auto"/>
        <w:ind w:left="720"/>
        <w:jc w:val="both"/>
        <w:rPr>
          <w:rFonts w:ascii="Times New Roman" w:eastAsia="Calibri" w:hAnsi="Times New Roman" w:cs="Times New Roman"/>
        </w:rPr>
      </w:pPr>
    </w:p>
    <w:p w14:paraId="0A583DFB" w14:textId="758E83B6" w:rsidR="00087534" w:rsidRPr="00087534" w:rsidRDefault="00087534" w:rsidP="0087693C">
      <w:pPr>
        <w:spacing w:after="0" w:line="360" w:lineRule="auto"/>
        <w:ind w:firstLine="720"/>
        <w:jc w:val="both"/>
        <w:rPr>
          <w:rFonts w:ascii="Times New Roman" w:eastAsia="Calibri" w:hAnsi="Times New Roman" w:cs="Times New Roman"/>
          <w:sz w:val="24"/>
          <w:szCs w:val="24"/>
        </w:rPr>
      </w:pPr>
      <w:r w:rsidRPr="00087534">
        <w:rPr>
          <w:rFonts w:ascii="Times New Roman" w:eastAsia="Calibri" w:hAnsi="Times New Roman" w:cs="Times New Roman"/>
          <w:sz w:val="24"/>
          <w:szCs w:val="24"/>
        </w:rPr>
        <w:t xml:space="preserve">The applicants have approached the court once again with new and fresh thought-out defences. The court cannot allow such an approach to litigation. It seems the applicants have totally disregarded the warnings given to them in the pursuit of their case. I refer to another stern warning made but disregarded in </w:t>
      </w:r>
      <w:r w:rsidRPr="00087534">
        <w:rPr>
          <w:rFonts w:ascii="Times New Roman" w:eastAsia="Calibri" w:hAnsi="Times New Roman" w:cs="Times New Roman"/>
          <w:i/>
          <w:iCs/>
          <w:sz w:val="24"/>
          <w:szCs w:val="24"/>
        </w:rPr>
        <w:t>So</w:t>
      </w:r>
      <w:r w:rsidR="0050284D">
        <w:rPr>
          <w:rFonts w:ascii="Times New Roman" w:eastAsia="Calibri" w:hAnsi="Times New Roman" w:cs="Times New Roman"/>
          <w:i/>
          <w:iCs/>
          <w:sz w:val="24"/>
          <w:szCs w:val="24"/>
        </w:rPr>
        <w:t>uthend Cargo Airlines (Pvt) Ltd</w:t>
      </w:r>
      <w:r w:rsidRPr="00087534">
        <w:rPr>
          <w:rFonts w:ascii="Times New Roman" w:eastAsia="Calibri" w:hAnsi="Times New Roman" w:cs="Times New Roman"/>
          <w:i/>
          <w:iCs/>
          <w:sz w:val="24"/>
          <w:szCs w:val="24"/>
        </w:rPr>
        <w:t xml:space="preserve"> </w:t>
      </w:r>
      <w:r w:rsidRPr="0050284D">
        <w:rPr>
          <w:rFonts w:ascii="Times New Roman" w:eastAsia="Calibri" w:hAnsi="Times New Roman" w:cs="Times New Roman"/>
          <w:iCs/>
          <w:sz w:val="24"/>
          <w:szCs w:val="24"/>
        </w:rPr>
        <w:t xml:space="preserve">v </w:t>
      </w:r>
      <w:r w:rsidRPr="00087534">
        <w:rPr>
          <w:rFonts w:ascii="Times New Roman" w:eastAsia="Calibri" w:hAnsi="Times New Roman" w:cs="Times New Roman"/>
          <w:i/>
          <w:iCs/>
          <w:sz w:val="24"/>
          <w:szCs w:val="24"/>
        </w:rPr>
        <w:t>Chituku &amp; Others</w:t>
      </w:r>
      <w:r w:rsidRPr="00087534">
        <w:rPr>
          <w:rFonts w:ascii="Times New Roman" w:eastAsia="Calibri" w:hAnsi="Times New Roman" w:cs="Times New Roman"/>
          <w:i/>
          <w:iCs/>
          <w:sz w:val="24"/>
          <w:szCs w:val="24"/>
          <w:vertAlign w:val="superscript"/>
        </w:rPr>
        <w:footnoteReference w:id="6"/>
      </w:r>
      <w:r w:rsidRPr="00087534">
        <w:rPr>
          <w:rFonts w:ascii="Times New Roman" w:eastAsia="Calibri" w:hAnsi="Times New Roman" w:cs="Times New Roman"/>
          <w:sz w:val="24"/>
          <w:szCs w:val="24"/>
        </w:rPr>
        <w:t xml:space="preserve"> where the applicants filed what it termed a chamber application for reinstatement of a lapsed appeal. The appeal court marked its displeasure and noted,</w:t>
      </w:r>
    </w:p>
    <w:p w14:paraId="764E827F" w14:textId="77777777" w:rsidR="00087534" w:rsidRPr="0087693C" w:rsidRDefault="00087534" w:rsidP="0050284D">
      <w:pPr>
        <w:spacing w:after="0" w:line="276" w:lineRule="auto"/>
        <w:ind w:left="720"/>
        <w:jc w:val="both"/>
        <w:rPr>
          <w:rFonts w:ascii="Times New Roman" w:eastAsia="Calibri" w:hAnsi="Times New Roman" w:cs="Times New Roman"/>
          <w:lang w:val="en-US"/>
        </w:rPr>
      </w:pPr>
      <w:r w:rsidRPr="0087693C">
        <w:rPr>
          <w:rFonts w:ascii="Times New Roman" w:eastAsia="Calibri" w:hAnsi="Times New Roman" w:cs="Times New Roman"/>
          <w:lang w:val="en-US"/>
        </w:rPr>
        <w:t>‘The applicants’ shoddy attempt to resurrect a dead case eleven years after the event is despicable and deserves censure.  The need to have finality to litigation cannot be over emphasised.  It appears that this application has been filed merely to delay the date of reckoning.  I am unable, and loath, to render assistance in that regard. </w:t>
      </w:r>
    </w:p>
    <w:p w14:paraId="3CF14ACE" w14:textId="45EBD4AE" w:rsidR="00087534" w:rsidRDefault="00087534" w:rsidP="0050284D">
      <w:pPr>
        <w:spacing w:after="0" w:line="276" w:lineRule="auto"/>
        <w:ind w:left="720"/>
        <w:jc w:val="both"/>
        <w:rPr>
          <w:rFonts w:ascii="Times New Roman" w:eastAsia="Calibri" w:hAnsi="Times New Roman" w:cs="Times New Roman"/>
          <w:lang w:val="en-US"/>
        </w:rPr>
      </w:pPr>
      <w:r w:rsidRPr="0087693C">
        <w:rPr>
          <w:rFonts w:ascii="Times New Roman" w:eastAsia="Calibri" w:hAnsi="Times New Roman" w:cs="Times New Roman"/>
          <w:lang w:val="en-US"/>
        </w:rPr>
        <w:lastRenderedPageBreak/>
        <w:t>The courts’ displeasure with the growing tendency among some legal practitioners to handle applications of condonation of failure to comply with the rules with disdain was amply articulated by Ziyambi JA in </w:t>
      </w:r>
      <w:r w:rsidRPr="0087693C">
        <w:rPr>
          <w:rFonts w:ascii="Times New Roman" w:eastAsia="Calibri" w:hAnsi="Times New Roman" w:cs="Times New Roman"/>
          <w:i/>
          <w:iCs/>
          <w:lang w:val="en-US"/>
        </w:rPr>
        <w:t>Apostolic Faith Mission in Zimbabwe and 2 Ors v Titus Innocent Murefu</w:t>
      </w:r>
      <w:r w:rsidRPr="0087693C">
        <w:rPr>
          <w:rFonts w:ascii="Times New Roman" w:eastAsia="Calibri" w:hAnsi="Times New Roman" w:cs="Times New Roman"/>
          <w:lang w:val="en-US"/>
        </w:rPr>
        <w:t> SC 28/03….</w:t>
      </w:r>
    </w:p>
    <w:p w14:paraId="034AF374" w14:textId="77777777" w:rsidR="0050284D" w:rsidRPr="0087693C" w:rsidRDefault="0050284D" w:rsidP="0050284D">
      <w:pPr>
        <w:spacing w:after="0" w:line="276" w:lineRule="auto"/>
        <w:ind w:left="720"/>
        <w:jc w:val="both"/>
        <w:rPr>
          <w:rFonts w:ascii="Times New Roman" w:eastAsia="Calibri" w:hAnsi="Times New Roman" w:cs="Times New Roman"/>
          <w:lang w:val="en-US"/>
        </w:rPr>
      </w:pPr>
    </w:p>
    <w:p w14:paraId="0FCFA6AB" w14:textId="72AD187A" w:rsidR="00087534" w:rsidRDefault="00087534" w:rsidP="0050284D">
      <w:pPr>
        <w:spacing w:after="0" w:line="276" w:lineRule="auto"/>
        <w:ind w:left="720"/>
        <w:jc w:val="both"/>
        <w:rPr>
          <w:rFonts w:ascii="Times New Roman" w:eastAsia="Calibri" w:hAnsi="Times New Roman" w:cs="Times New Roman"/>
          <w:lang w:val="en-US"/>
        </w:rPr>
      </w:pPr>
      <w:r w:rsidRPr="0087693C">
        <w:rPr>
          <w:rFonts w:ascii="Times New Roman" w:eastAsia="Calibri" w:hAnsi="Times New Roman" w:cs="Times New Roman"/>
          <w:lang w:val="en-US"/>
        </w:rPr>
        <w:t>It is needless to say that the applicants have dismally failed to discharge the onus of proving that there is any justifiable reason for excusing them from the natural consequences of their deliberate disdain of the rules of court 11 years after the event.</w:t>
      </w:r>
    </w:p>
    <w:p w14:paraId="7590FCEC" w14:textId="77777777" w:rsidR="0050284D" w:rsidRPr="0087693C" w:rsidRDefault="0050284D" w:rsidP="0050284D">
      <w:pPr>
        <w:spacing w:after="0" w:line="276" w:lineRule="auto"/>
        <w:ind w:left="720"/>
        <w:jc w:val="both"/>
        <w:rPr>
          <w:rFonts w:ascii="Times New Roman" w:eastAsia="Calibri" w:hAnsi="Times New Roman" w:cs="Times New Roman"/>
          <w:lang w:val="en-US"/>
        </w:rPr>
      </w:pPr>
    </w:p>
    <w:p w14:paraId="2C399BD4" w14:textId="77777777" w:rsidR="00087534" w:rsidRPr="0087693C" w:rsidRDefault="00087534" w:rsidP="0050284D">
      <w:pPr>
        <w:spacing w:after="0" w:line="276" w:lineRule="auto"/>
        <w:ind w:left="720"/>
        <w:jc w:val="both"/>
        <w:rPr>
          <w:rFonts w:ascii="Times New Roman" w:eastAsia="Calibri" w:hAnsi="Times New Roman" w:cs="Times New Roman"/>
          <w:lang w:val="en-US"/>
        </w:rPr>
      </w:pPr>
      <w:r w:rsidRPr="0087693C">
        <w:rPr>
          <w:rFonts w:ascii="Times New Roman" w:eastAsia="Calibri" w:hAnsi="Times New Roman" w:cs="Times New Roman"/>
          <w:lang w:val="en-US"/>
        </w:rPr>
        <w:t>The respondent has been put to unnecessary expense long after the matter had been put to rest by the courts.  The application appears to be a delaying tactic in a futile attempt to delay the course of justice.  It is only fair that the respondent should recoup its costs at the highest scale.</w:t>
      </w:r>
    </w:p>
    <w:p w14:paraId="391BE636" w14:textId="264D48D2" w:rsidR="00087534" w:rsidRDefault="00087534" w:rsidP="0050284D">
      <w:pPr>
        <w:spacing w:after="0" w:line="276" w:lineRule="auto"/>
        <w:ind w:left="720"/>
        <w:jc w:val="both"/>
        <w:rPr>
          <w:rFonts w:ascii="Times New Roman" w:eastAsia="Calibri" w:hAnsi="Times New Roman" w:cs="Times New Roman"/>
          <w:lang w:val="en-US"/>
        </w:rPr>
      </w:pPr>
      <w:r w:rsidRPr="0087693C">
        <w:rPr>
          <w:rFonts w:ascii="Times New Roman" w:eastAsia="Calibri" w:hAnsi="Times New Roman" w:cs="Times New Roman"/>
          <w:lang w:val="en-US"/>
        </w:rPr>
        <w:t>It is accordingly ordered that the application be and is hereby dismissed with costs on the attorney client scale.’</w:t>
      </w:r>
    </w:p>
    <w:p w14:paraId="7DEF5AA8" w14:textId="77777777" w:rsidR="0050284D" w:rsidRPr="0087693C" w:rsidRDefault="0050284D" w:rsidP="0050284D">
      <w:pPr>
        <w:spacing w:after="0" w:line="276" w:lineRule="auto"/>
        <w:ind w:left="720"/>
        <w:jc w:val="both"/>
        <w:rPr>
          <w:rFonts w:ascii="Times New Roman" w:eastAsia="Calibri" w:hAnsi="Times New Roman" w:cs="Times New Roman"/>
          <w:lang w:val="en-US"/>
        </w:rPr>
      </w:pPr>
    </w:p>
    <w:p w14:paraId="7E5B896B" w14:textId="77777777" w:rsidR="00087534" w:rsidRPr="00087534" w:rsidRDefault="00087534" w:rsidP="00087534">
      <w:pPr>
        <w:spacing w:after="0" w:line="360" w:lineRule="auto"/>
        <w:ind w:firstLine="720"/>
        <w:jc w:val="both"/>
        <w:rPr>
          <w:rFonts w:ascii="Times New Roman" w:eastAsia="Calibri" w:hAnsi="Times New Roman" w:cs="Times New Roman"/>
          <w:sz w:val="24"/>
          <w:szCs w:val="24"/>
        </w:rPr>
      </w:pPr>
      <w:r w:rsidRPr="00087534">
        <w:rPr>
          <w:rFonts w:ascii="Times New Roman" w:eastAsia="Calibri" w:hAnsi="Times New Roman" w:cs="Times New Roman"/>
          <w:sz w:val="24"/>
          <w:szCs w:val="24"/>
          <w:lang w:val="en-US"/>
        </w:rPr>
        <w:t>The applicants have literally failed at every turn to upset the order granted in 2002 but they continue to approach the court in a trial an error fashion. I associate myself with the sentiments of the court under HH124/04 a litigant must be barred from approaching the court on the same matter every time they come up with a new argument. The court is not surprised that the 1</w:t>
      </w:r>
      <w:r w:rsidRPr="00087534">
        <w:rPr>
          <w:rFonts w:ascii="Times New Roman" w:eastAsia="Calibri" w:hAnsi="Times New Roman" w:cs="Times New Roman"/>
          <w:sz w:val="24"/>
          <w:szCs w:val="24"/>
          <w:vertAlign w:val="superscript"/>
          <w:lang w:val="en-US"/>
        </w:rPr>
        <w:t>st</w:t>
      </w:r>
      <w:r w:rsidRPr="00087534">
        <w:rPr>
          <w:rFonts w:ascii="Times New Roman" w:eastAsia="Calibri" w:hAnsi="Times New Roman" w:cs="Times New Roman"/>
          <w:sz w:val="24"/>
          <w:szCs w:val="24"/>
          <w:lang w:val="en-US"/>
        </w:rPr>
        <w:t xml:space="preserve"> respondent has made a counter application for an order of perpetual silence in the main matter. This court has inherent powers to regulate its processes and it can grant such an order. See </w:t>
      </w:r>
      <w:r w:rsidRPr="0050284D">
        <w:rPr>
          <w:rFonts w:ascii="Times New Roman" w:eastAsia="Calibri" w:hAnsi="Times New Roman" w:cs="Times New Roman"/>
          <w:i/>
          <w:sz w:val="24"/>
          <w:szCs w:val="24"/>
        </w:rPr>
        <w:t>Fuyana</w:t>
      </w:r>
      <w:r w:rsidRPr="00087534">
        <w:rPr>
          <w:rFonts w:ascii="Times New Roman" w:eastAsia="Calibri" w:hAnsi="Times New Roman" w:cs="Times New Roman"/>
          <w:sz w:val="24"/>
          <w:szCs w:val="24"/>
        </w:rPr>
        <w:t xml:space="preserve"> v </w:t>
      </w:r>
      <w:r w:rsidRPr="0050284D">
        <w:rPr>
          <w:rFonts w:ascii="Times New Roman" w:eastAsia="Calibri" w:hAnsi="Times New Roman" w:cs="Times New Roman"/>
          <w:i/>
          <w:sz w:val="24"/>
          <w:szCs w:val="24"/>
        </w:rPr>
        <w:t>Moyo</w:t>
      </w:r>
      <w:r w:rsidRPr="00087534">
        <w:rPr>
          <w:rFonts w:ascii="Times New Roman" w:eastAsia="Calibri" w:hAnsi="Times New Roman" w:cs="Times New Roman"/>
          <w:sz w:val="24"/>
          <w:szCs w:val="24"/>
          <w:vertAlign w:val="superscript"/>
        </w:rPr>
        <w:footnoteReference w:id="7"/>
      </w:r>
      <w:r w:rsidRPr="00087534">
        <w:rPr>
          <w:rFonts w:ascii="Times New Roman" w:eastAsia="Calibri" w:hAnsi="Times New Roman" w:cs="Times New Roman"/>
          <w:sz w:val="24"/>
          <w:szCs w:val="24"/>
        </w:rPr>
        <w:t xml:space="preserve"> .</w:t>
      </w:r>
    </w:p>
    <w:p w14:paraId="18B3CBFA" w14:textId="6BCB1847" w:rsidR="00087534" w:rsidRPr="00087534" w:rsidRDefault="00087534" w:rsidP="00087534">
      <w:pPr>
        <w:spacing w:after="0" w:line="360" w:lineRule="auto"/>
        <w:ind w:firstLine="720"/>
        <w:jc w:val="both"/>
        <w:rPr>
          <w:rFonts w:ascii="Times New Roman" w:eastAsia="Calibri" w:hAnsi="Times New Roman" w:cs="Times New Roman"/>
          <w:sz w:val="24"/>
          <w:szCs w:val="24"/>
        </w:rPr>
      </w:pPr>
      <w:r w:rsidRPr="00087534">
        <w:rPr>
          <w:rFonts w:ascii="Times New Roman" w:eastAsia="Calibri" w:hAnsi="Times New Roman" w:cs="Times New Roman"/>
          <w:sz w:val="24"/>
          <w:szCs w:val="24"/>
        </w:rPr>
        <w:t>As properly submitted for the 1</w:t>
      </w:r>
      <w:r w:rsidRPr="00087534">
        <w:rPr>
          <w:rFonts w:ascii="Times New Roman" w:eastAsia="Calibri" w:hAnsi="Times New Roman" w:cs="Times New Roman"/>
          <w:sz w:val="24"/>
          <w:szCs w:val="24"/>
          <w:vertAlign w:val="superscript"/>
        </w:rPr>
        <w:t>st</w:t>
      </w:r>
      <w:r w:rsidRPr="00087534">
        <w:rPr>
          <w:rFonts w:ascii="Times New Roman" w:eastAsia="Calibri" w:hAnsi="Times New Roman" w:cs="Times New Roman"/>
          <w:sz w:val="24"/>
          <w:szCs w:val="24"/>
        </w:rPr>
        <w:t xml:space="preserve"> respondent, the applicants have accepted the order for execution and the order has been partially executed. The order sought in the main matter is the setting aside of the order by consent and the reversal of the transfer of title from the 1</w:t>
      </w:r>
      <w:r w:rsidRPr="00087534">
        <w:rPr>
          <w:rFonts w:ascii="Times New Roman" w:eastAsia="Calibri" w:hAnsi="Times New Roman" w:cs="Times New Roman"/>
          <w:sz w:val="24"/>
          <w:szCs w:val="24"/>
          <w:vertAlign w:val="superscript"/>
        </w:rPr>
        <w:t>st</w:t>
      </w:r>
      <w:r w:rsidRPr="00087534">
        <w:rPr>
          <w:rFonts w:ascii="Times New Roman" w:eastAsia="Calibri" w:hAnsi="Times New Roman" w:cs="Times New Roman"/>
          <w:sz w:val="24"/>
          <w:szCs w:val="24"/>
        </w:rPr>
        <w:t xml:space="preserve"> respondent. When the order by consent was granted, the 1</w:t>
      </w:r>
      <w:r w:rsidRPr="00087534">
        <w:rPr>
          <w:rFonts w:ascii="Times New Roman" w:eastAsia="Calibri" w:hAnsi="Times New Roman" w:cs="Times New Roman"/>
          <w:sz w:val="24"/>
          <w:szCs w:val="24"/>
          <w:vertAlign w:val="superscript"/>
        </w:rPr>
        <w:t>st</w:t>
      </w:r>
      <w:r w:rsidRPr="00087534">
        <w:rPr>
          <w:rFonts w:ascii="Times New Roman" w:eastAsia="Calibri" w:hAnsi="Times New Roman" w:cs="Times New Roman"/>
          <w:sz w:val="24"/>
          <w:szCs w:val="24"/>
        </w:rPr>
        <w:t xml:space="preserve"> respondent subsequently issued a writ of execution. The applicants approached the court for the setting aside of the writ of execution on the basis that the order by consent had been fully paid under HC</w:t>
      </w:r>
      <w:r w:rsidR="0050284D">
        <w:rPr>
          <w:rFonts w:ascii="Times New Roman" w:eastAsia="Calibri" w:hAnsi="Times New Roman" w:cs="Times New Roman"/>
          <w:sz w:val="24"/>
          <w:szCs w:val="24"/>
        </w:rPr>
        <w:t xml:space="preserve"> </w:t>
      </w:r>
      <w:r w:rsidRPr="00087534">
        <w:rPr>
          <w:rFonts w:ascii="Times New Roman" w:eastAsia="Calibri" w:hAnsi="Times New Roman" w:cs="Times New Roman"/>
          <w:sz w:val="24"/>
          <w:szCs w:val="24"/>
        </w:rPr>
        <w:t>906/09 judgment delivered under HH</w:t>
      </w:r>
      <w:r w:rsidR="0050284D">
        <w:rPr>
          <w:rFonts w:ascii="Times New Roman" w:eastAsia="Calibri" w:hAnsi="Times New Roman" w:cs="Times New Roman"/>
          <w:sz w:val="24"/>
          <w:szCs w:val="24"/>
        </w:rPr>
        <w:t xml:space="preserve"> </w:t>
      </w:r>
      <w:r w:rsidRPr="00087534">
        <w:rPr>
          <w:rFonts w:ascii="Times New Roman" w:eastAsia="Calibri" w:hAnsi="Times New Roman" w:cs="Times New Roman"/>
          <w:sz w:val="24"/>
          <w:szCs w:val="24"/>
        </w:rPr>
        <w:t>225/10. The application was dismissed. The relevance of that case is that, in their founding affidavits the applicants indicated that they had fully discharged their obligations. The statement has two implications that must bar the applicants from reopening this case. Firstly, it shows that the applicants accepted the order by consent as binding on them. Secondly there has been partial execution of the order by consent. Once an order has been executed it is taken that the matter is put to rest. The applicants cannot therefore blow hot and cold. The applicants made their bed when they consented to the granting of the order by consent, they should lie on it no matter how hard it maybe.</w:t>
      </w:r>
    </w:p>
    <w:p w14:paraId="44A50445" w14:textId="77777777" w:rsidR="00087534" w:rsidRPr="00087534" w:rsidRDefault="00087534" w:rsidP="00087534">
      <w:pPr>
        <w:spacing w:after="0" w:line="360" w:lineRule="auto"/>
        <w:jc w:val="both"/>
        <w:rPr>
          <w:rFonts w:ascii="Times New Roman" w:eastAsia="Calibri" w:hAnsi="Times New Roman" w:cs="Times New Roman"/>
          <w:sz w:val="24"/>
          <w:szCs w:val="24"/>
        </w:rPr>
      </w:pPr>
      <w:r w:rsidRPr="00087534">
        <w:rPr>
          <w:rFonts w:ascii="Times New Roman" w:eastAsia="Calibri" w:hAnsi="Times New Roman" w:cs="Times New Roman"/>
          <w:sz w:val="24"/>
          <w:szCs w:val="24"/>
        </w:rPr>
        <w:lastRenderedPageBreak/>
        <w:t>Other considerations</w:t>
      </w:r>
    </w:p>
    <w:p w14:paraId="09A1ABBA" w14:textId="2B240043" w:rsidR="00087534" w:rsidRPr="00087534" w:rsidRDefault="00087534" w:rsidP="00087534">
      <w:pPr>
        <w:spacing w:after="0" w:line="360" w:lineRule="auto"/>
        <w:ind w:firstLine="720"/>
        <w:jc w:val="both"/>
        <w:rPr>
          <w:rFonts w:ascii="Times New Roman" w:eastAsia="Calibri" w:hAnsi="Times New Roman" w:cs="Times New Roman"/>
          <w:sz w:val="24"/>
          <w:szCs w:val="24"/>
        </w:rPr>
      </w:pPr>
      <w:r w:rsidRPr="00087534">
        <w:rPr>
          <w:rFonts w:ascii="Times New Roman" w:eastAsia="Calibri" w:hAnsi="Times New Roman" w:cs="Times New Roman"/>
          <w:sz w:val="24"/>
          <w:szCs w:val="24"/>
        </w:rPr>
        <w:t>In considering the interests of justice, the administration of justice and the convenience of the court, the court would assess the implication of either granting or not granting the order. If the order is granted the court would be saddled with a matter that was determined some decades ago. The main matter would be unnecessarily clogging the system. The issues have been dealt with there is no need for it to remain as a pending matter. Secondly the need for finality to ligation cannot be overemphasised but it rears its head in this case. Granting the order</w:t>
      </w:r>
      <w:r>
        <w:rPr>
          <w:rFonts w:ascii="Times New Roman" w:eastAsia="Calibri" w:hAnsi="Times New Roman" w:cs="Times New Roman"/>
          <w:sz w:val="24"/>
          <w:szCs w:val="24"/>
        </w:rPr>
        <w:t xml:space="preserve"> is certainly</w:t>
      </w:r>
      <w:r w:rsidRPr="00087534">
        <w:rPr>
          <w:rFonts w:ascii="Times New Roman" w:eastAsia="Calibri" w:hAnsi="Times New Roman" w:cs="Times New Roman"/>
          <w:sz w:val="24"/>
          <w:szCs w:val="24"/>
        </w:rPr>
        <w:t xml:space="preserve"> would contradict and negate the public policy principle on finality to litigation. Litigants must have confidence in the system that once matters are finalised they are not re opened over and over again. It is about 16 years after the order by consent was granted. The 1</w:t>
      </w:r>
      <w:r w:rsidRPr="00087534">
        <w:rPr>
          <w:rFonts w:ascii="Times New Roman" w:eastAsia="Calibri" w:hAnsi="Times New Roman" w:cs="Times New Roman"/>
          <w:sz w:val="24"/>
          <w:szCs w:val="24"/>
          <w:vertAlign w:val="superscript"/>
        </w:rPr>
        <w:t>st</w:t>
      </w:r>
      <w:r w:rsidRPr="00087534">
        <w:rPr>
          <w:rFonts w:ascii="Times New Roman" w:eastAsia="Calibri" w:hAnsi="Times New Roman" w:cs="Times New Roman"/>
          <w:sz w:val="24"/>
          <w:szCs w:val="24"/>
        </w:rPr>
        <w:t xml:space="preserve"> respondent has dealt and organised its affairs in tandem with the order. To reopen the matter would certainly result in untold inconveniences to the 1</w:t>
      </w:r>
      <w:r w:rsidRPr="00087534">
        <w:rPr>
          <w:rFonts w:ascii="Times New Roman" w:eastAsia="Calibri" w:hAnsi="Times New Roman" w:cs="Times New Roman"/>
          <w:sz w:val="24"/>
          <w:szCs w:val="24"/>
          <w:vertAlign w:val="superscript"/>
        </w:rPr>
        <w:t>st</w:t>
      </w:r>
      <w:r w:rsidRPr="00087534">
        <w:rPr>
          <w:rFonts w:ascii="Times New Roman" w:eastAsia="Calibri" w:hAnsi="Times New Roman" w:cs="Times New Roman"/>
          <w:sz w:val="24"/>
          <w:szCs w:val="24"/>
        </w:rPr>
        <w:t xml:space="preserve"> respondent including some innocent third parties. Obviously, the 1</w:t>
      </w:r>
      <w:r w:rsidRPr="00087534">
        <w:rPr>
          <w:rFonts w:ascii="Times New Roman" w:eastAsia="Calibri" w:hAnsi="Times New Roman" w:cs="Times New Roman"/>
          <w:sz w:val="24"/>
          <w:szCs w:val="24"/>
          <w:vertAlign w:val="superscript"/>
        </w:rPr>
        <w:t>st</w:t>
      </w:r>
      <w:r w:rsidRPr="00087534">
        <w:rPr>
          <w:rFonts w:ascii="Times New Roman" w:eastAsia="Calibri" w:hAnsi="Times New Roman" w:cs="Times New Roman"/>
          <w:sz w:val="24"/>
          <w:szCs w:val="24"/>
        </w:rPr>
        <w:t xml:space="preserve"> respondent has dealt with the property as it pleases as the owner of the property. In the final analysis the considerations point to the one result that the application cannot succeed.</w:t>
      </w:r>
    </w:p>
    <w:p w14:paraId="1D775480" w14:textId="322512EC" w:rsidR="00087534" w:rsidRDefault="00087534" w:rsidP="0050284D">
      <w:pPr>
        <w:spacing w:after="0" w:line="360" w:lineRule="auto"/>
        <w:ind w:firstLine="720"/>
        <w:jc w:val="both"/>
        <w:rPr>
          <w:rFonts w:ascii="Times New Roman" w:eastAsia="Calibri" w:hAnsi="Times New Roman" w:cs="Times New Roman"/>
          <w:sz w:val="24"/>
          <w:szCs w:val="24"/>
        </w:rPr>
      </w:pPr>
      <w:r w:rsidRPr="00087534">
        <w:rPr>
          <w:rFonts w:ascii="Times New Roman" w:eastAsia="Calibri" w:hAnsi="Times New Roman" w:cs="Times New Roman"/>
          <w:sz w:val="24"/>
          <w:szCs w:val="24"/>
        </w:rPr>
        <w:t>The 1</w:t>
      </w:r>
      <w:r w:rsidRPr="00087534">
        <w:rPr>
          <w:rFonts w:ascii="Times New Roman" w:eastAsia="Calibri" w:hAnsi="Times New Roman" w:cs="Times New Roman"/>
          <w:sz w:val="24"/>
          <w:szCs w:val="24"/>
          <w:vertAlign w:val="superscript"/>
        </w:rPr>
        <w:t>st</w:t>
      </w:r>
      <w:r w:rsidRPr="00087534">
        <w:rPr>
          <w:rFonts w:ascii="Times New Roman" w:eastAsia="Calibri" w:hAnsi="Times New Roman" w:cs="Times New Roman"/>
          <w:sz w:val="24"/>
          <w:szCs w:val="24"/>
        </w:rPr>
        <w:t xml:space="preserve"> respondent requested for costs on a legal practitioner client scale. I agree. The court must mark its displeasure in the way the applicants have conducted themselves in the main matter. They are </w:t>
      </w:r>
      <w:r w:rsidRPr="00087534">
        <w:rPr>
          <w:rFonts w:ascii="Times New Roman" w:eastAsia="Calibri" w:hAnsi="Times New Roman" w:cs="Times New Roman"/>
          <w:i/>
          <w:iCs/>
          <w:sz w:val="24"/>
          <w:szCs w:val="24"/>
        </w:rPr>
        <w:t>dominus litis</w:t>
      </w:r>
      <w:r w:rsidRPr="00087534">
        <w:rPr>
          <w:rFonts w:ascii="Times New Roman" w:eastAsia="Calibri" w:hAnsi="Times New Roman" w:cs="Times New Roman"/>
          <w:sz w:val="24"/>
          <w:szCs w:val="24"/>
        </w:rPr>
        <w:t xml:space="preserve"> in the main matter. They defaulted in filing heads of argument until the 1</w:t>
      </w:r>
      <w:r w:rsidRPr="00087534">
        <w:rPr>
          <w:rFonts w:ascii="Times New Roman" w:eastAsia="Calibri" w:hAnsi="Times New Roman" w:cs="Times New Roman"/>
          <w:sz w:val="24"/>
          <w:szCs w:val="24"/>
          <w:vertAlign w:val="superscript"/>
        </w:rPr>
        <w:t>st</w:t>
      </w:r>
      <w:r w:rsidRPr="00087534">
        <w:rPr>
          <w:rFonts w:ascii="Times New Roman" w:eastAsia="Calibri" w:hAnsi="Times New Roman" w:cs="Times New Roman"/>
          <w:sz w:val="24"/>
          <w:szCs w:val="24"/>
        </w:rPr>
        <w:t xml:space="preserve"> respondent filed its heads of argument and set down the matter. It is only then that the application for condonation for late filing of heads of argument was filed. Besides the unconvincing explanation given for the delay the main matter is devoid of any merit. The court can grant punitive costs where the litigant pursues a hopeless case. I intend to do so in this case.</w:t>
      </w:r>
    </w:p>
    <w:p w14:paraId="46833695" w14:textId="584B610A" w:rsidR="00087534" w:rsidRPr="00087534" w:rsidRDefault="00087534" w:rsidP="0050284D">
      <w:pPr>
        <w:spacing w:after="0" w:line="360" w:lineRule="auto"/>
        <w:ind w:firstLine="720"/>
        <w:jc w:val="both"/>
        <w:rPr>
          <w:rFonts w:ascii="Times New Roman" w:eastAsia="Calibri" w:hAnsi="Times New Roman" w:cs="Times New Roman"/>
          <w:sz w:val="24"/>
          <w:szCs w:val="24"/>
        </w:rPr>
      </w:pPr>
      <w:r w:rsidRPr="00087534">
        <w:rPr>
          <w:rFonts w:ascii="Times New Roman" w:eastAsia="Calibri" w:hAnsi="Times New Roman" w:cs="Times New Roman"/>
          <w:sz w:val="24"/>
          <w:szCs w:val="24"/>
        </w:rPr>
        <w:t>Accordingly, the following order is made.</w:t>
      </w:r>
    </w:p>
    <w:p w14:paraId="32D1D6AF" w14:textId="77777777" w:rsidR="00087534" w:rsidRPr="00087534" w:rsidRDefault="00087534" w:rsidP="0050284D">
      <w:pPr>
        <w:spacing w:after="0" w:line="360" w:lineRule="auto"/>
        <w:ind w:firstLine="720"/>
        <w:jc w:val="both"/>
        <w:rPr>
          <w:rFonts w:ascii="Times New Roman" w:eastAsia="Calibri" w:hAnsi="Times New Roman" w:cs="Times New Roman"/>
          <w:sz w:val="24"/>
          <w:szCs w:val="24"/>
        </w:rPr>
      </w:pPr>
      <w:r w:rsidRPr="00087534">
        <w:rPr>
          <w:rFonts w:ascii="Times New Roman" w:eastAsia="Calibri" w:hAnsi="Times New Roman" w:cs="Times New Roman"/>
          <w:sz w:val="24"/>
          <w:szCs w:val="24"/>
        </w:rPr>
        <w:t>The application is dismissed with costs on a legal practitioner client scale.</w:t>
      </w:r>
    </w:p>
    <w:p w14:paraId="3725D3BD" w14:textId="01C7EB29" w:rsidR="00087534" w:rsidRDefault="00087534" w:rsidP="00087534">
      <w:pPr>
        <w:spacing w:after="0" w:line="360" w:lineRule="auto"/>
        <w:jc w:val="both"/>
        <w:rPr>
          <w:rFonts w:ascii="Times New Roman" w:eastAsia="Calibri" w:hAnsi="Times New Roman" w:cs="Times New Roman"/>
          <w:sz w:val="24"/>
          <w:szCs w:val="24"/>
        </w:rPr>
      </w:pPr>
    </w:p>
    <w:p w14:paraId="6D9547DA" w14:textId="77777777" w:rsidR="0050284D" w:rsidRPr="00087534" w:rsidRDefault="0050284D" w:rsidP="00087534">
      <w:pPr>
        <w:spacing w:after="0" w:line="360" w:lineRule="auto"/>
        <w:jc w:val="both"/>
        <w:rPr>
          <w:rFonts w:ascii="Times New Roman" w:eastAsia="Calibri" w:hAnsi="Times New Roman" w:cs="Times New Roman"/>
          <w:sz w:val="24"/>
          <w:szCs w:val="24"/>
        </w:rPr>
      </w:pPr>
    </w:p>
    <w:p w14:paraId="54968B2A" w14:textId="77777777" w:rsidR="0050284D" w:rsidRDefault="0050284D" w:rsidP="006B1993">
      <w:pPr>
        <w:spacing w:after="0" w:line="360" w:lineRule="auto"/>
        <w:jc w:val="both"/>
        <w:rPr>
          <w:rFonts w:ascii="Times New Roman" w:eastAsia="Calibri" w:hAnsi="Times New Roman" w:cs="Times New Roman"/>
          <w:i/>
        </w:rPr>
      </w:pPr>
    </w:p>
    <w:p w14:paraId="69F431E0" w14:textId="2D48955B" w:rsidR="00D5005B" w:rsidRDefault="00087534" w:rsidP="0050284D">
      <w:pPr>
        <w:spacing w:after="0" w:line="240" w:lineRule="auto"/>
        <w:jc w:val="both"/>
        <w:rPr>
          <w:rFonts w:ascii="Times New Roman" w:eastAsia="Calibri" w:hAnsi="Times New Roman" w:cs="Times New Roman"/>
        </w:rPr>
      </w:pPr>
      <w:r>
        <w:rPr>
          <w:rFonts w:ascii="Times New Roman" w:eastAsia="Calibri" w:hAnsi="Times New Roman" w:cs="Times New Roman"/>
          <w:i/>
        </w:rPr>
        <w:t>Chingeya</w:t>
      </w:r>
      <w:r w:rsidR="001C567F" w:rsidRPr="004F0876">
        <w:rPr>
          <w:rFonts w:ascii="Times New Roman" w:eastAsia="Calibri" w:hAnsi="Times New Roman" w:cs="Times New Roman"/>
          <w:i/>
        </w:rPr>
        <w:t xml:space="preserve">-Mandizira Legal </w:t>
      </w:r>
      <w:r w:rsidR="00F63B09" w:rsidRPr="004F0876">
        <w:rPr>
          <w:rFonts w:ascii="Times New Roman" w:eastAsia="Calibri" w:hAnsi="Times New Roman" w:cs="Times New Roman"/>
          <w:i/>
        </w:rPr>
        <w:t>Practitioners</w:t>
      </w:r>
      <w:r w:rsidR="00F63B09">
        <w:rPr>
          <w:rFonts w:ascii="Times New Roman" w:eastAsia="Calibri" w:hAnsi="Times New Roman" w:cs="Times New Roman"/>
        </w:rPr>
        <w:t>, applicants</w:t>
      </w:r>
      <w:r w:rsidR="00B8087A">
        <w:rPr>
          <w:rFonts w:ascii="Times New Roman" w:eastAsia="Calibri" w:hAnsi="Times New Roman" w:cs="Times New Roman"/>
        </w:rPr>
        <w:t>’ legal practitioners</w:t>
      </w:r>
    </w:p>
    <w:p w14:paraId="768199E7" w14:textId="3F1FF0A7" w:rsidR="008E5631" w:rsidRDefault="00B8087A" w:rsidP="00D97217">
      <w:pPr>
        <w:spacing w:after="0" w:line="240" w:lineRule="auto"/>
        <w:jc w:val="both"/>
        <w:rPr>
          <w:rFonts w:ascii="Times New Roman" w:eastAsia="Calibri" w:hAnsi="Times New Roman" w:cs="Times New Roman"/>
          <w:sz w:val="24"/>
          <w:szCs w:val="24"/>
        </w:rPr>
      </w:pPr>
      <w:r w:rsidRPr="004F0876">
        <w:rPr>
          <w:rFonts w:ascii="Times New Roman" w:eastAsia="Calibri" w:hAnsi="Times New Roman" w:cs="Times New Roman"/>
          <w:i/>
        </w:rPr>
        <w:t>Gill Godlo</w:t>
      </w:r>
      <w:r w:rsidR="009A2137" w:rsidRPr="004F0876">
        <w:rPr>
          <w:rFonts w:ascii="Times New Roman" w:eastAsia="Calibri" w:hAnsi="Times New Roman" w:cs="Times New Roman"/>
          <w:i/>
        </w:rPr>
        <w:t>nton &amp; Gerrans</w:t>
      </w:r>
      <w:r w:rsidR="009A2137">
        <w:rPr>
          <w:rFonts w:ascii="Times New Roman" w:eastAsia="Calibri" w:hAnsi="Times New Roman" w:cs="Times New Roman"/>
        </w:rPr>
        <w:t>,1</w:t>
      </w:r>
      <w:r w:rsidR="009A2137" w:rsidRPr="009A2137">
        <w:rPr>
          <w:rFonts w:ascii="Times New Roman" w:eastAsia="Calibri" w:hAnsi="Times New Roman" w:cs="Times New Roman"/>
          <w:vertAlign w:val="superscript"/>
        </w:rPr>
        <w:t>st</w:t>
      </w:r>
      <w:r w:rsidR="009A2137">
        <w:rPr>
          <w:rFonts w:ascii="Times New Roman" w:eastAsia="Calibri" w:hAnsi="Times New Roman" w:cs="Times New Roman"/>
        </w:rPr>
        <w:t xml:space="preserve"> respondent</w:t>
      </w:r>
      <w:r w:rsidR="00F63B09">
        <w:rPr>
          <w:rFonts w:ascii="Times New Roman" w:eastAsia="Calibri" w:hAnsi="Times New Roman" w:cs="Times New Roman"/>
        </w:rPr>
        <w:t>’s legal practitioners</w:t>
      </w:r>
    </w:p>
    <w:p w14:paraId="53A58FB7" w14:textId="19E749D1" w:rsidR="000F3743" w:rsidRPr="000E67D4" w:rsidRDefault="009248E3" w:rsidP="006B199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1874D07" w14:textId="77777777" w:rsidR="000E67D4" w:rsidRDefault="000E67D4" w:rsidP="006B1993">
      <w:pPr>
        <w:spacing w:after="0" w:line="360" w:lineRule="auto"/>
        <w:jc w:val="both"/>
        <w:rPr>
          <w:rFonts w:ascii="Times New Roman" w:eastAsia="Calibri" w:hAnsi="Times New Roman" w:cs="Times New Roman"/>
          <w:sz w:val="24"/>
          <w:szCs w:val="24"/>
        </w:rPr>
      </w:pPr>
    </w:p>
    <w:p w14:paraId="0EA2CE74" w14:textId="77777777" w:rsidR="000E67D4" w:rsidRDefault="000E67D4" w:rsidP="006B1993">
      <w:pPr>
        <w:spacing w:after="0" w:line="360" w:lineRule="auto"/>
        <w:jc w:val="both"/>
      </w:pPr>
    </w:p>
    <w:sectPr w:rsidR="000E67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D5863" w14:textId="77777777" w:rsidR="00CA72B1" w:rsidRDefault="00CA72B1" w:rsidP="000E67D4">
      <w:pPr>
        <w:spacing w:after="0" w:line="240" w:lineRule="auto"/>
      </w:pPr>
      <w:r>
        <w:separator/>
      </w:r>
    </w:p>
  </w:endnote>
  <w:endnote w:type="continuationSeparator" w:id="0">
    <w:p w14:paraId="46AB11F0" w14:textId="77777777" w:rsidR="00CA72B1" w:rsidRDefault="00CA72B1" w:rsidP="000E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EB842" w14:textId="77777777" w:rsidR="00CA72B1" w:rsidRDefault="00CA72B1" w:rsidP="000E67D4">
      <w:pPr>
        <w:spacing w:after="0" w:line="240" w:lineRule="auto"/>
      </w:pPr>
      <w:r>
        <w:separator/>
      </w:r>
    </w:p>
  </w:footnote>
  <w:footnote w:type="continuationSeparator" w:id="0">
    <w:p w14:paraId="34007FAF" w14:textId="77777777" w:rsidR="00CA72B1" w:rsidRDefault="00CA72B1" w:rsidP="000E67D4">
      <w:pPr>
        <w:spacing w:after="0" w:line="240" w:lineRule="auto"/>
      </w:pPr>
      <w:r>
        <w:continuationSeparator/>
      </w:r>
    </w:p>
  </w:footnote>
  <w:footnote w:id="1">
    <w:p w14:paraId="68E6104B" w14:textId="77777777" w:rsidR="003A286C" w:rsidRPr="003A286C" w:rsidRDefault="003A286C">
      <w:pPr>
        <w:pStyle w:val="FootnoteText"/>
        <w:rPr>
          <w:lang w:val="en-US"/>
        </w:rPr>
      </w:pPr>
      <w:r>
        <w:rPr>
          <w:rStyle w:val="FootnoteReference"/>
        </w:rPr>
        <w:footnoteRef/>
      </w:r>
      <w:r>
        <w:t xml:space="preserve"> </w:t>
      </w:r>
      <w:r>
        <w:rPr>
          <w:lang w:val="en-US"/>
        </w:rPr>
        <w:t xml:space="preserve"> Gariya Safaris (Pvt) Ltd v van Wyk 1996 (2) ZLR 246 (H),Fadzai John v Delta Beverages Limited</w:t>
      </w:r>
    </w:p>
  </w:footnote>
  <w:footnote w:id="2">
    <w:p w14:paraId="5D0C031B" w14:textId="77777777" w:rsidR="00AD575E" w:rsidRPr="00AD575E" w:rsidRDefault="00AD575E">
      <w:pPr>
        <w:pStyle w:val="FootnoteText"/>
        <w:rPr>
          <w:lang w:val="en-US"/>
        </w:rPr>
      </w:pPr>
      <w:r>
        <w:rPr>
          <w:rStyle w:val="FootnoteReference"/>
        </w:rPr>
        <w:footnoteRef/>
      </w:r>
      <w:r>
        <w:t xml:space="preserve"> </w:t>
      </w:r>
      <w:r>
        <w:rPr>
          <w:lang w:val="en-US"/>
        </w:rPr>
        <w:t>Kodzwa v Secretary for Health &amp; Anor 1999 (1) ZLR 313 (SC),</w:t>
      </w:r>
      <w:r w:rsidR="000F3743">
        <w:rPr>
          <w:lang w:val="en-US"/>
        </w:rPr>
        <w:t>KM  Auctions (Pvt) Ltd v Samuel &amp;Anor SC15/12</w:t>
      </w:r>
    </w:p>
  </w:footnote>
  <w:footnote w:id="3">
    <w:p w14:paraId="3C15BCC7" w14:textId="39449FC4" w:rsidR="004421D5" w:rsidRPr="004421D5" w:rsidRDefault="004421D5">
      <w:pPr>
        <w:pStyle w:val="FootnoteText"/>
        <w:rPr>
          <w:lang w:val="en-US"/>
        </w:rPr>
      </w:pPr>
      <w:r>
        <w:rPr>
          <w:rStyle w:val="FootnoteReference"/>
        </w:rPr>
        <w:footnoteRef/>
      </w:r>
      <w:r>
        <w:t xml:space="preserve"> </w:t>
      </w:r>
      <w:r w:rsidRPr="004421D5">
        <w:t xml:space="preserve">1998 (2) ZLR 249 (S) </w:t>
      </w:r>
      <w:r>
        <w:t>@</w:t>
      </w:r>
      <w:r w:rsidRPr="004421D5">
        <w:t xml:space="preserve"> 251</w:t>
      </w:r>
      <w:r>
        <w:t xml:space="preserve"> C-D,</w:t>
      </w:r>
      <w:r w:rsidRPr="004421D5">
        <w:rPr>
          <w:rFonts w:ascii="Times New Roman" w:eastAsia="Calibri" w:hAnsi="Times New Roman" w:cs="Times New Roman"/>
          <w:sz w:val="24"/>
          <w:szCs w:val="24"/>
        </w:rPr>
        <w:t xml:space="preserve"> </w:t>
      </w:r>
      <w:r w:rsidRPr="001C7894">
        <w:t xml:space="preserve">Herbstein &amp; Van Winsen’s.  </w:t>
      </w:r>
      <w:r w:rsidRPr="001C7894">
        <w:rPr>
          <w:i/>
        </w:rPr>
        <w:t xml:space="preserve">The Civil Practice of the Supreme Court of South Africa </w:t>
      </w:r>
      <w:r w:rsidRPr="001C7894">
        <w:t>4 ed at pp 897-898:</w:t>
      </w:r>
    </w:p>
  </w:footnote>
  <w:footnote w:id="4">
    <w:p w14:paraId="5BC19B52" w14:textId="77777777" w:rsidR="00087534" w:rsidRPr="004421D5" w:rsidRDefault="00087534" w:rsidP="00087534">
      <w:pPr>
        <w:pStyle w:val="FootnoteText"/>
      </w:pPr>
      <w:r>
        <w:rPr>
          <w:rStyle w:val="FootnoteReference"/>
        </w:rPr>
        <w:footnoteRef/>
      </w:r>
      <w:r>
        <w:t xml:space="preserve"> </w:t>
      </w:r>
      <w:r w:rsidRPr="004421D5">
        <w:t xml:space="preserve">SC 6/06. </w:t>
      </w:r>
    </w:p>
    <w:p w14:paraId="2D707A1F" w14:textId="77777777" w:rsidR="00087534" w:rsidRPr="004421D5" w:rsidRDefault="00087534" w:rsidP="00087534">
      <w:pPr>
        <w:pStyle w:val="FootnoteText"/>
        <w:rPr>
          <w:lang w:val="en-US"/>
        </w:rPr>
      </w:pPr>
    </w:p>
  </w:footnote>
  <w:footnote w:id="5">
    <w:p w14:paraId="4F09CF3A" w14:textId="77777777" w:rsidR="00087534" w:rsidRDefault="00087534" w:rsidP="00087534">
      <w:pPr>
        <w:pStyle w:val="FootnoteText"/>
      </w:pPr>
      <w:r>
        <w:rPr>
          <w:rStyle w:val="FootnoteReference"/>
        </w:rPr>
        <w:footnoteRef/>
      </w:r>
      <w:r>
        <w:t xml:space="preserve"> 2000(1) ZLR 361 (SC)</w:t>
      </w:r>
    </w:p>
  </w:footnote>
  <w:footnote w:id="6">
    <w:p w14:paraId="465FC75A" w14:textId="77777777" w:rsidR="00087534" w:rsidRPr="00BD4D90" w:rsidRDefault="00087534" w:rsidP="00087534">
      <w:pPr>
        <w:pStyle w:val="FootnoteText"/>
        <w:rPr>
          <w:lang w:val="en-US"/>
        </w:rPr>
      </w:pPr>
      <w:r>
        <w:rPr>
          <w:rStyle w:val="FootnoteReference"/>
        </w:rPr>
        <w:footnoteRef/>
      </w:r>
      <w:r>
        <w:t xml:space="preserve"> </w:t>
      </w:r>
      <w:r>
        <w:rPr>
          <w:lang w:val="en-US"/>
        </w:rPr>
        <w:t>SC 42/16</w:t>
      </w:r>
    </w:p>
  </w:footnote>
  <w:footnote w:id="7">
    <w:p w14:paraId="636F9505" w14:textId="77777777" w:rsidR="00087534" w:rsidRPr="00744DE9" w:rsidRDefault="00087534" w:rsidP="00087534">
      <w:pPr>
        <w:pStyle w:val="FootnoteText"/>
        <w:rPr>
          <w:lang w:val="en-US"/>
        </w:rPr>
      </w:pPr>
      <w:r>
        <w:rPr>
          <w:rStyle w:val="FootnoteReference"/>
        </w:rPr>
        <w:footnoteRef/>
      </w:r>
      <w:r>
        <w:t xml:space="preserve"> </w:t>
      </w:r>
      <w:r>
        <w:rPr>
          <w:lang w:val="en-US"/>
        </w:rPr>
        <w:t>SC 24/06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233399"/>
      <w:docPartObj>
        <w:docPartGallery w:val="Page Numbers (Top of Page)"/>
        <w:docPartUnique/>
      </w:docPartObj>
    </w:sdtPr>
    <w:sdtEndPr>
      <w:rPr>
        <w:noProof/>
      </w:rPr>
    </w:sdtEndPr>
    <w:sdtContent>
      <w:p w14:paraId="3F03A1C4" w14:textId="2E2DFA09" w:rsidR="006B1993" w:rsidRDefault="006B1993">
        <w:pPr>
          <w:pStyle w:val="Header"/>
          <w:jc w:val="right"/>
          <w:rPr>
            <w:noProof/>
          </w:rPr>
        </w:pPr>
        <w:r>
          <w:fldChar w:fldCharType="begin"/>
        </w:r>
        <w:r>
          <w:instrText xml:space="preserve"> PAGE   \* MERGEFORMAT </w:instrText>
        </w:r>
        <w:r>
          <w:fldChar w:fldCharType="separate"/>
        </w:r>
        <w:r w:rsidR="00ED450F">
          <w:rPr>
            <w:noProof/>
          </w:rPr>
          <w:t>8</w:t>
        </w:r>
        <w:r>
          <w:rPr>
            <w:noProof/>
          </w:rPr>
          <w:fldChar w:fldCharType="end"/>
        </w:r>
      </w:p>
      <w:p w14:paraId="3F73926C" w14:textId="57E64B8B" w:rsidR="006B1993" w:rsidRDefault="006B1993">
        <w:pPr>
          <w:pStyle w:val="Header"/>
          <w:jc w:val="right"/>
          <w:rPr>
            <w:noProof/>
          </w:rPr>
        </w:pPr>
        <w:r>
          <w:rPr>
            <w:noProof/>
          </w:rPr>
          <w:t>HH</w:t>
        </w:r>
        <w:r w:rsidR="0050284D">
          <w:rPr>
            <w:noProof/>
          </w:rPr>
          <w:t xml:space="preserve"> 414-21</w:t>
        </w:r>
      </w:p>
      <w:p w14:paraId="7450FC5A" w14:textId="37D83C44" w:rsidR="006B1993" w:rsidRDefault="006B1993">
        <w:pPr>
          <w:pStyle w:val="Header"/>
          <w:jc w:val="right"/>
        </w:pPr>
        <w:r>
          <w:rPr>
            <w:noProof/>
          </w:rPr>
          <w:t>HC 4011/20</w:t>
        </w:r>
      </w:p>
    </w:sdtContent>
  </w:sdt>
  <w:p w14:paraId="41E1D7E0" w14:textId="77777777" w:rsidR="006B1993" w:rsidRDefault="006B19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C004D"/>
    <w:multiLevelType w:val="hybridMultilevel"/>
    <w:tmpl w:val="C95690E6"/>
    <w:lvl w:ilvl="0" w:tplc="DE8C279A">
      <w:start w:val="1"/>
      <w:numFmt w:val="decimal"/>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96"/>
    <w:rsid w:val="00006D87"/>
    <w:rsid w:val="00007D74"/>
    <w:rsid w:val="00011ADE"/>
    <w:rsid w:val="00030B97"/>
    <w:rsid w:val="00040031"/>
    <w:rsid w:val="0004590F"/>
    <w:rsid w:val="00047F07"/>
    <w:rsid w:val="00051E97"/>
    <w:rsid w:val="00066CAD"/>
    <w:rsid w:val="00087534"/>
    <w:rsid w:val="000917A2"/>
    <w:rsid w:val="000A08B0"/>
    <w:rsid w:val="000A2B4B"/>
    <w:rsid w:val="000A38D4"/>
    <w:rsid w:val="000A5FE3"/>
    <w:rsid w:val="000B7848"/>
    <w:rsid w:val="000C51AF"/>
    <w:rsid w:val="000D2FA5"/>
    <w:rsid w:val="000D5745"/>
    <w:rsid w:val="000E12F6"/>
    <w:rsid w:val="000E12F9"/>
    <w:rsid w:val="000E2901"/>
    <w:rsid w:val="000E67D4"/>
    <w:rsid w:val="000E7614"/>
    <w:rsid w:val="000F1FD8"/>
    <w:rsid w:val="000F3743"/>
    <w:rsid w:val="001105DA"/>
    <w:rsid w:val="00137A1F"/>
    <w:rsid w:val="0014362F"/>
    <w:rsid w:val="00153FAF"/>
    <w:rsid w:val="00154928"/>
    <w:rsid w:val="00155510"/>
    <w:rsid w:val="00191346"/>
    <w:rsid w:val="001C567F"/>
    <w:rsid w:val="001C7894"/>
    <w:rsid w:val="00202C85"/>
    <w:rsid w:val="00222AA8"/>
    <w:rsid w:val="00225A83"/>
    <w:rsid w:val="00232B14"/>
    <w:rsid w:val="00234DB3"/>
    <w:rsid w:val="00253BAB"/>
    <w:rsid w:val="00265783"/>
    <w:rsid w:val="00270596"/>
    <w:rsid w:val="0027551E"/>
    <w:rsid w:val="002903A6"/>
    <w:rsid w:val="002960B1"/>
    <w:rsid w:val="002A1822"/>
    <w:rsid w:val="002B407F"/>
    <w:rsid w:val="002D24A2"/>
    <w:rsid w:val="002E4DCE"/>
    <w:rsid w:val="002E6643"/>
    <w:rsid w:val="002F4A27"/>
    <w:rsid w:val="002F75FE"/>
    <w:rsid w:val="00315037"/>
    <w:rsid w:val="003478ED"/>
    <w:rsid w:val="0035099B"/>
    <w:rsid w:val="00350A84"/>
    <w:rsid w:val="0035784E"/>
    <w:rsid w:val="00362C5E"/>
    <w:rsid w:val="0038624A"/>
    <w:rsid w:val="00391856"/>
    <w:rsid w:val="0039721B"/>
    <w:rsid w:val="003A286C"/>
    <w:rsid w:val="003A73F9"/>
    <w:rsid w:val="003B0059"/>
    <w:rsid w:val="003B6DF6"/>
    <w:rsid w:val="003C158C"/>
    <w:rsid w:val="003D1D76"/>
    <w:rsid w:val="003D56BD"/>
    <w:rsid w:val="003D72C2"/>
    <w:rsid w:val="004016BF"/>
    <w:rsid w:val="00426E76"/>
    <w:rsid w:val="004313A0"/>
    <w:rsid w:val="004421D5"/>
    <w:rsid w:val="00446E15"/>
    <w:rsid w:val="00455E4D"/>
    <w:rsid w:val="0046202A"/>
    <w:rsid w:val="00462EBE"/>
    <w:rsid w:val="00466377"/>
    <w:rsid w:val="004B06E5"/>
    <w:rsid w:val="004C5E54"/>
    <w:rsid w:val="004E0A54"/>
    <w:rsid w:val="004F0876"/>
    <w:rsid w:val="004F2541"/>
    <w:rsid w:val="004F3223"/>
    <w:rsid w:val="004F7558"/>
    <w:rsid w:val="0050284D"/>
    <w:rsid w:val="0051156D"/>
    <w:rsid w:val="00514819"/>
    <w:rsid w:val="00523601"/>
    <w:rsid w:val="0053038A"/>
    <w:rsid w:val="00530A13"/>
    <w:rsid w:val="0053298E"/>
    <w:rsid w:val="00550266"/>
    <w:rsid w:val="00562A9B"/>
    <w:rsid w:val="00572162"/>
    <w:rsid w:val="00573D25"/>
    <w:rsid w:val="00574754"/>
    <w:rsid w:val="00585AAB"/>
    <w:rsid w:val="00585E4D"/>
    <w:rsid w:val="0059469C"/>
    <w:rsid w:val="005A0198"/>
    <w:rsid w:val="005C204B"/>
    <w:rsid w:val="005D206A"/>
    <w:rsid w:val="005D2414"/>
    <w:rsid w:val="005D4E67"/>
    <w:rsid w:val="005F2728"/>
    <w:rsid w:val="006005B8"/>
    <w:rsid w:val="0060429C"/>
    <w:rsid w:val="00624C71"/>
    <w:rsid w:val="00632065"/>
    <w:rsid w:val="00635A62"/>
    <w:rsid w:val="006421EA"/>
    <w:rsid w:val="00650FEE"/>
    <w:rsid w:val="0066170F"/>
    <w:rsid w:val="0068111B"/>
    <w:rsid w:val="00684870"/>
    <w:rsid w:val="006B1993"/>
    <w:rsid w:val="006B3A9D"/>
    <w:rsid w:val="006C6DAE"/>
    <w:rsid w:val="006D569B"/>
    <w:rsid w:val="0070449D"/>
    <w:rsid w:val="00714C63"/>
    <w:rsid w:val="0071552F"/>
    <w:rsid w:val="00721DCE"/>
    <w:rsid w:val="00744DE9"/>
    <w:rsid w:val="00775D76"/>
    <w:rsid w:val="007814FB"/>
    <w:rsid w:val="007872EA"/>
    <w:rsid w:val="00791CCB"/>
    <w:rsid w:val="007A7B69"/>
    <w:rsid w:val="007B4CEC"/>
    <w:rsid w:val="007B57E5"/>
    <w:rsid w:val="007C55A3"/>
    <w:rsid w:val="00802230"/>
    <w:rsid w:val="00804A8C"/>
    <w:rsid w:val="00812C7F"/>
    <w:rsid w:val="00861178"/>
    <w:rsid w:val="0086261D"/>
    <w:rsid w:val="00872D75"/>
    <w:rsid w:val="0087693C"/>
    <w:rsid w:val="008A3E21"/>
    <w:rsid w:val="008A611C"/>
    <w:rsid w:val="008A73AE"/>
    <w:rsid w:val="008B66FA"/>
    <w:rsid w:val="008C5DB6"/>
    <w:rsid w:val="008C6620"/>
    <w:rsid w:val="008C66B9"/>
    <w:rsid w:val="008E5631"/>
    <w:rsid w:val="008F134A"/>
    <w:rsid w:val="008F1688"/>
    <w:rsid w:val="008F6839"/>
    <w:rsid w:val="00910CCE"/>
    <w:rsid w:val="009248E3"/>
    <w:rsid w:val="00925CF9"/>
    <w:rsid w:val="009351BD"/>
    <w:rsid w:val="0094277D"/>
    <w:rsid w:val="00953727"/>
    <w:rsid w:val="00955E0B"/>
    <w:rsid w:val="009626D4"/>
    <w:rsid w:val="009650C9"/>
    <w:rsid w:val="00975196"/>
    <w:rsid w:val="009A2137"/>
    <w:rsid w:val="009F2072"/>
    <w:rsid w:val="009F739D"/>
    <w:rsid w:val="00A12FE7"/>
    <w:rsid w:val="00A141A8"/>
    <w:rsid w:val="00A3532C"/>
    <w:rsid w:val="00A47351"/>
    <w:rsid w:val="00A50B03"/>
    <w:rsid w:val="00A5528C"/>
    <w:rsid w:val="00A60E5B"/>
    <w:rsid w:val="00A65E47"/>
    <w:rsid w:val="00AB0071"/>
    <w:rsid w:val="00AB04C9"/>
    <w:rsid w:val="00AB143C"/>
    <w:rsid w:val="00AB2A00"/>
    <w:rsid w:val="00AC631F"/>
    <w:rsid w:val="00AC6464"/>
    <w:rsid w:val="00AC7B6B"/>
    <w:rsid w:val="00AD575E"/>
    <w:rsid w:val="00AF292F"/>
    <w:rsid w:val="00AF307A"/>
    <w:rsid w:val="00AF4C03"/>
    <w:rsid w:val="00AF6B2B"/>
    <w:rsid w:val="00B00847"/>
    <w:rsid w:val="00B05539"/>
    <w:rsid w:val="00B21C96"/>
    <w:rsid w:val="00B33FB4"/>
    <w:rsid w:val="00B34AAB"/>
    <w:rsid w:val="00B42813"/>
    <w:rsid w:val="00B662BC"/>
    <w:rsid w:val="00B77DEC"/>
    <w:rsid w:val="00B8087A"/>
    <w:rsid w:val="00B9045C"/>
    <w:rsid w:val="00B96D7D"/>
    <w:rsid w:val="00BB1612"/>
    <w:rsid w:val="00BD4D90"/>
    <w:rsid w:val="00BF4208"/>
    <w:rsid w:val="00C02E83"/>
    <w:rsid w:val="00C05EFF"/>
    <w:rsid w:val="00C06E78"/>
    <w:rsid w:val="00C174DF"/>
    <w:rsid w:val="00C21DE6"/>
    <w:rsid w:val="00C24D58"/>
    <w:rsid w:val="00C355DB"/>
    <w:rsid w:val="00C36F61"/>
    <w:rsid w:val="00C3705B"/>
    <w:rsid w:val="00C401CD"/>
    <w:rsid w:val="00C465DA"/>
    <w:rsid w:val="00C6489D"/>
    <w:rsid w:val="00C91A49"/>
    <w:rsid w:val="00C96397"/>
    <w:rsid w:val="00CA00AE"/>
    <w:rsid w:val="00CA72B1"/>
    <w:rsid w:val="00CC68E5"/>
    <w:rsid w:val="00D07523"/>
    <w:rsid w:val="00D1209D"/>
    <w:rsid w:val="00D13714"/>
    <w:rsid w:val="00D15313"/>
    <w:rsid w:val="00D15D8C"/>
    <w:rsid w:val="00D16CB7"/>
    <w:rsid w:val="00D30B11"/>
    <w:rsid w:val="00D42720"/>
    <w:rsid w:val="00D47ACC"/>
    <w:rsid w:val="00D5005B"/>
    <w:rsid w:val="00D57757"/>
    <w:rsid w:val="00D73135"/>
    <w:rsid w:val="00D742CC"/>
    <w:rsid w:val="00D82281"/>
    <w:rsid w:val="00D940E2"/>
    <w:rsid w:val="00D97217"/>
    <w:rsid w:val="00D975D3"/>
    <w:rsid w:val="00DA60E5"/>
    <w:rsid w:val="00DE4372"/>
    <w:rsid w:val="00DE7E23"/>
    <w:rsid w:val="00DF0B74"/>
    <w:rsid w:val="00DF0F55"/>
    <w:rsid w:val="00E01BF3"/>
    <w:rsid w:val="00E0324A"/>
    <w:rsid w:val="00E20BE0"/>
    <w:rsid w:val="00E222DB"/>
    <w:rsid w:val="00E46602"/>
    <w:rsid w:val="00E65134"/>
    <w:rsid w:val="00E732B9"/>
    <w:rsid w:val="00E93E24"/>
    <w:rsid w:val="00EB477B"/>
    <w:rsid w:val="00EC7752"/>
    <w:rsid w:val="00EC7ECF"/>
    <w:rsid w:val="00ED450F"/>
    <w:rsid w:val="00EF04F0"/>
    <w:rsid w:val="00EF5DB6"/>
    <w:rsid w:val="00F13842"/>
    <w:rsid w:val="00F22629"/>
    <w:rsid w:val="00F343F7"/>
    <w:rsid w:val="00F61FEF"/>
    <w:rsid w:val="00F63B09"/>
    <w:rsid w:val="00F65CB1"/>
    <w:rsid w:val="00F6685B"/>
    <w:rsid w:val="00F72CBF"/>
    <w:rsid w:val="00F7589D"/>
    <w:rsid w:val="00F86098"/>
    <w:rsid w:val="00FA0921"/>
    <w:rsid w:val="00FA1CE9"/>
    <w:rsid w:val="00FA3309"/>
    <w:rsid w:val="00FA5E25"/>
    <w:rsid w:val="00FD3F50"/>
    <w:rsid w:val="00FD4ACA"/>
    <w:rsid w:val="00FE0090"/>
    <w:rsid w:val="00FE0C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1ADD"/>
  <w15:chartTrackingRefBased/>
  <w15:docId w15:val="{0D65F4CB-2B79-46F5-B80F-C87B1020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59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67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7D4"/>
    <w:rPr>
      <w:sz w:val="20"/>
      <w:szCs w:val="20"/>
    </w:rPr>
  </w:style>
  <w:style w:type="character" w:styleId="FootnoteReference">
    <w:name w:val="footnote reference"/>
    <w:basedOn w:val="DefaultParagraphFont"/>
    <w:uiPriority w:val="99"/>
    <w:rsid w:val="000E67D4"/>
    <w:rPr>
      <w:rFonts w:cs="Times New Roman"/>
      <w:vertAlign w:val="superscript"/>
    </w:rPr>
  </w:style>
  <w:style w:type="paragraph" w:styleId="BalloonText">
    <w:name w:val="Balloon Text"/>
    <w:basedOn w:val="Normal"/>
    <w:link w:val="BalloonTextChar"/>
    <w:uiPriority w:val="99"/>
    <w:semiHidden/>
    <w:unhideWhenUsed/>
    <w:rsid w:val="00791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CCB"/>
    <w:rPr>
      <w:rFonts w:ascii="Segoe UI" w:hAnsi="Segoe UI" w:cs="Segoe UI"/>
      <w:sz w:val="18"/>
      <w:szCs w:val="18"/>
    </w:rPr>
  </w:style>
  <w:style w:type="paragraph" w:styleId="Header">
    <w:name w:val="header"/>
    <w:basedOn w:val="Normal"/>
    <w:link w:val="HeaderChar"/>
    <w:uiPriority w:val="99"/>
    <w:unhideWhenUsed/>
    <w:rsid w:val="006B1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993"/>
  </w:style>
  <w:style w:type="paragraph" w:styleId="Footer">
    <w:name w:val="footer"/>
    <w:basedOn w:val="Normal"/>
    <w:link w:val="FooterChar"/>
    <w:uiPriority w:val="99"/>
    <w:unhideWhenUsed/>
    <w:rsid w:val="006B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72672">
      <w:bodyDiv w:val="1"/>
      <w:marLeft w:val="0"/>
      <w:marRight w:val="0"/>
      <w:marTop w:val="0"/>
      <w:marBottom w:val="0"/>
      <w:divBdr>
        <w:top w:val="none" w:sz="0" w:space="0" w:color="auto"/>
        <w:left w:val="none" w:sz="0" w:space="0" w:color="auto"/>
        <w:bottom w:val="none" w:sz="0" w:space="0" w:color="auto"/>
        <w:right w:val="none" w:sz="0" w:space="0" w:color="auto"/>
      </w:divBdr>
    </w:div>
    <w:div w:id="9218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BDD03-40C5-485B-80BA-3E0030D6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JSC</cp:lastModifiedBy>
  <cp:revision>3</cp:revision>
  <cp:lastPrinted>2021-08-12T07:21:00Z</cp:lastPrinted>
  <dcterms:created xsi:type="dcterms:W3CDTF">2021-08-13T07:00:00Z</dcterms:created>
  <dcterms:modified xsi:type="dcterms:W3CDTF">2021-08-13T07:03:00Z</dcterms:modified>
</cp:coreProperties>
</file>