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9D0E0" w14:textId="169837EC" w:rsidR="00B85EDC" w:rsidRDefault="00C2796A" w:rsidP="00B85ED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CHATUKUTA</w:t>
      </w:r>
    </w:p>
    <w:p w14:paraId="2B5F2A32" w14:textId="77777777" w:rsidR="00B85EDC" w:rsidRDefault="00B85EDC"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6155EBD" w14:textId="0136B32E" w:rsidR="00B85EDC" w:rsidRDefault="00C2796A"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 CHICHENA N.O</w:t>
      </w:r>
    </w:p>
    <w:p w14:paraId="3BFE7012" w14:textId="61CA90C0" w:rsidR="00C2796A" w:rsidRDefault="00C2796A"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A9AC314" w14:textId="7AC51078" w:rsidR="00C2796A" w:rsidRDefault="00C2796A"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CE0641C" w14:textId="77777777" w:rsidR="00B85EDC" w:rsidRDefault="00B85EDC" w:rsidP="00B85EDC">
      <w:pPr>
        <w:spacing w:line="240" w:lineRule="auto"/>
        <w:jc w:val="both"/>
        <w:rPr>
          <w:rFonts w:ascii="Times New Roman" w:hAnsi="Times New Roman" w:cs="Times New Roman"/>
          <w:sz w:val="24"/>
          <w:szCs w:val="24"/>
        </w:rPr>
      </w:pPr>
    </w:p>
    <w:p w14:paraId="376D4BEE" w14:textId="77777777" w:rsidR="00B85EDC" w:rsidRDefault="00B85EDC" w:rsidP="00B85EDC">
      <w:pPr>
        <w:spacing w:line="240" w:lineRule="auto"/>
        <w:jc w:val="both"/>
        <w:rPr>
          <w:rFonts w:ascii="Times New Roman" w:hAnsi="Times New Roman" w:cs="Times New Roman"/>
          <w:sz w:val="24"/>
          <w:szCs w:val="24"/>
        </w:rPr>
      </w:pPr>
    </w:p>
    <w:p w14:paraId="7706C76B" w14:textId="77777777" w:rsidR="00B85EDC" w:rsidRDefault="00B85EDC"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A1D4B88" w14:textId="77777777" w:rsidR="00B85EDC" w:rsidRPr="00291C41" w:rsidRDefault="00B85EDC" w:rsidP="00B85EDC">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 xml:space="preserve">TAKUVA </w:t>
      </w:r>
      <w:r>
        <w:rPr>
          <w:rFonts w:ascii="Times New Roman" w:hAnsi="Times New Roman" w:cs="Times New Roman"/>
          <w:b/>
          <w:bCs/>
          <w:sz w:val="24"/>
          <w:szCs w:val="24"/>
        </w:rPr>
        <w:t>J</w:t>
      </w:r>
    </w:p>
    <w:p w14:paraId="30E77D65" w14:textId="7E65E03F" w:rsidR="00B85EDC" w:rsidRDefault="00B85EDC" w:rsidP="00B8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2796A">
        <w:rPr>
          <w:rFonts w:ascii="Times New Roman" w:hAnsi="Times New Roman" w:cs="Times New Roman"/>
          <w:sz w:val="24"/>
          <w:szCs w:val="24"/>
        </w:rPr>
        <w:t xml:space="preserve">21 May 2024 and </w:t>
      </w:r>
      <w:r w:rsidR="005E09B0">
        <w:rPr>
          <w:rFonts w:ascii="Times New Roman" w:hAnsi="Times New Roman" w:cs="Times New Roman"/>
          <w:sz w:val="24"/>
          <w:szCs w:val="24"/>
        </w:rPr>
        <w:t>14 February</w:t>
      </w:r>
      <w:r w:rsidR="00C2796A">
        <w:rPr>
          <w:rFonts w:ascii="Times New Roman" w:hAnsi="Times New Roman" w:cs="Times New Roman"/>
          <w:sz w:val="24"/>
          <w:szCs w:val="24"/>
        </w:rPr>
        <w:t xml:space="preserve"> 2025</w:t>
      </w:r>
    </w:p>
    <w:p w14:paraId="3BC24F21" w14:textId="77777777" w:rsidR="00B85EDC" w:rsidRDefault="00B85EDC" w:rsidP="00B85EDC">
      <w:pPr>
        <w:spacing w:after="0" w:line="240" w:lineRule="auto"/>
        <w:jc w:val="both"/>
        <w:rPr>
          <w:rFonts w:ascii="Times New Roman" w:hAnsi="Times New Roman" w:cs="Times New Roman"/>
          <w:sz w:val="24"/>
          <w:szCs w:val="24"/>
        </w:rPr>
      </w:pPr>
    </w:p>
    <w:p w14:paraId="28626AC0" w14:textId="77777777" w:rsidR="00B85EDC" w:rsidRDefault="00B85EDC" w:rsidP="00B85EDC">
      <w:pPr>
        <w:spacing w:line="240" w:lineRule="auto"/>
        <w:jc w:val="both"/>
        <w:rPr>
          <w:rFonts w:ascii="Times New Roman" w:hAnsi="Times New Roman" w:cs="Times New Roman"/>
          <w:sz w:val="24"/>
          <w:szCs w:val="24"/>
        </w:rPr>
      </w:pPr>
    </w:p>
    <w:p w14:paraId="62A5FF58" w14:textId="1FF180E2" w:rsidR="00B85EDC" w:rsidRDefault="00B85EDC" w:rsidP="00B85EDC">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Court Application</w:t>
      </w:r>
      <w:r w:rsidR="00C2796A">
        <w:rPr>
          <w:rFonts w:ascii="Times New Roman" w:hAnsi="Times New Roman" w:cs="Times New Roman"/>
          <w:b/>
          <w:sz w:val="24"/>
          <w:szCs w:val="24"/>
        </w:rPr>
        <w:t xml:space="preserve"> For Review</w:t>
      </w:r>
    </w:p>
    <w:p w14:paraId="1541CAA2" w14:textId="77777777" w:rsidR="00B85EDC" w:rsidRDefault="00B85EDC" w:rsidP="00B85EDC">
      <w:pPr>
        <w:spacing w:line="240" w:lineRule="auto"/>
        <w:jc w:val="both"/>
        <w:rPr>
          <w:rFonts w:ascii="Times New Roman" w:hAnsi="Times New Roman" w:cs="Times New Roman"/>
          <w:b/>
          <w:sz w:val="24"/>
          <w:szCs w:val="24"/>
        </w:rPr>
      </w:pPr>
    </w:p>
    <w:p w14:paraId="58C4B925" w14:textId="214441D2" w:rsidR="00B85EDC" w:rsidRDefault="00F71136" w:rsidP="00B85ED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 Ma</w:t>
      </w:r>
      <w:r w:rsidR="00947AA2">
        <w:rPr>
          <w:rFonts w:ascii="Times New Roman" w:hAnsi="Times New Roman" w:cs="Times New Roman"/>
          <w:i/>
          <w:sz w:val="24"/>
          <w:szCs w:val="24"/>
        </w:rPr>
        <w:t>v</w:t>
      </w:r>
      <w:r>
        <w:rPr>
          <w:rFonts w:ascii="Times New Roman" w:hAnsi="Times New Roman" w:cs="Times New Roman"/>
          <w:i/>
          <w:sz w:val="24"/>
          <w:szCs w:val="24"/>
        </w:rPr>
        <w:t xml:space="preserve">uto, </w:t>
      </w:r>
      <w:r w:rsidRPr="00F71136">
        <w:rPr>
          <w:rFonts w:ascii="Times New Roman" w:hAnsi="Times New Roman" w:cs="Times New Roman"/>
          <w:iCs/>
          <w:sz w:val="24"/>
          <w:szCs w:val="24"/>
        </w:rPr>
        <w:t>for the applicant</w:t>
      </w:r>
      <w:r>
        <w:rPr>
          <w:rFonts w:ascii="Times New Roman" w:hAnsi="Times New Roman" w:cs="Times New Roman"/>
          <w:i/>
          <w:sz w:val="24"/>
          <w:szCs w:val="24"/>
        </w:rPr>
        <w:t xml:space="preserve"> </w:t>
      </w:r>
    </w:p>
    <w:p w14:paraId="0107E39A" w14:textId="5A650838" w:rsidR="00F71136" w:rsidRPr="00F71136" w:rsidRDefault="00F71136" w:rsidP="00B85EDC">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R Chikosha, </w:t>
      </w:r>
      <w:r w:rsidRPr="00F71136">
        <w:rPr>
          <w:rFonts w:ascii="Times New Roman" w:hAnsi="Times New Roman" w:cs="Times New Roman"/>
          <w:iCs/>
          <w:sz w:val="24"/>
          <w:szCs w:val="24"/>
        </w:rPr>
        <w:t>for the 1</w:t>
      </w:r>
      <w:r w:rsidRPr="00F71136">
        <w:rPr>
          <w:rFonts w:ascii="Times New Roman" w:hAnsi="Times New Roman" w:cs="Times New Roman"/>
          <w:iCs/>
          <w:sz w:val="24"/>
          <w:szCs w:val="24"/>
          <w:vertAlign w:val="superscript"/>
        </w:rPr>
        <w:t>st</w:t>
      </w:r>
      <w:r w:rsidRPr="00F71136">
        <w:rPr>
          <w:rFonts w:ascii="Times New Roman" w:hAnsi="Times New Roman" w:cs="Times New Roman"/>
          <w:iCs/>
          <w:sz w:val="24"/>
          <w:szCs w:val="24"/>
        </w:rPr>
        <w:t xml:space="preserve"> and 2</w:t>
      </w:r>
      <w:r w:rsidRPr="00F71136">
        <w:rPr>
          <w:rFonts w:ascii="Times New Roman" w:hAnsi="Times New Roman" w:cs="Times New Roman"/>
          <w:iCs/>
          <w:sz w:val="24"/>
          <w:szCs w:val="24"/>
          <w:vertAlign w:val="superscript"/>
        </w:rPr>
        <w:t>nd</w:t>
      </w:r>
      <w:r w:rsidRPr="00F71136">
        <w:rPr>
          <w:rFonts w:ascii="Times New Roman" w:hAnsi="Times New Roman" w:cs="Times New Roman"/>
          <w:iCs/>
          <w:sz w:val="24"/>
          <w:szCs w:val="24"/>
        </w:rPr>
        <w:t xml:space="preserve"> respondent</w:t>
      </w:r>
    </w:p>
    <w:p w14:paraId="0DFFA9B8" w14:textId="77777777" w:rsidR="00B85EDC" w:rsidRDefault="00B85EDC" w:rsidP="00B85EDC">
      <w:pPr>
        <w:spacing w:after="0" w:line="240" w:lineRule="auto"/>
        <w:jc w:val="both"/>
        <w:rPr>
          <w:rFonts w:ascii="Times New Roman" w:hAnsi="Times New Roman" w:cs="Times New Roman"/>
          <w:sz w:val="24"/>
          <w:szCs w:val="24"/>
        </w:rPr>
      </w:pPr>
    </w:p>
    <w:p w14:paraId="241EB330" w14:textId="77777777" w:rsidR="00B85EDC" w:rsidRDefault="00B85EDC" w:rsidP="00B85EDC">
      <w:pPr>
        <w:spacing w:after="0" w:line="240" w:lineRule="auto"/>
        <w:jc w:val="both"/>
        <w:rPr>
          <w:rFonts w:ascii="Times New Roman" w:hAnsi="Times New Roman" w:cs="Times New Roman"/>
          <w:sz w:val="24"/>
          <w:szCs w:val="24"/>
        </w:rPr>
      </w:pPr>
    </w:p>
    <w:p w14:paraId="48CD0CE2" w14:textId="77777777" w:rsidR="00B85EDC" w:rsidRDefault="00B85EDC" w:rsidP="00B85EDC">
      <w:pPr>
        <w:spacing w:after="0" w:line="240" w:lineRule="auto"/>
        <w:jc w:val="both"/>
        <w:rPr>
          <w:rFonts w:ascii="Times New Roman" w:hAnsi="Times New Roman" w:cs="Times New Roman"/>
          <w:sz w:val="24"/>
          <w:szCs w:val="24"/>
        </w:rPr>
      </w:pPr>
    </w:p>
    <w:p w14:paraId="6E1D8500" w14:textId="0F50F227" w:rsidR="00B85EDC" w:rsidRDefault="00B85EDC" w:rsidP="00A84FF0">
      <w:pPr>
        <w:spacing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Pr>
          <w:rFonts w:ascii="Times New Roman" w:hAnsi="Times New Roman" w:cs="Times New Roman"/>
          <w:sz w:val="24"/>
          <w:szCs w:val="24"/>
        </w:rPr>
        <w:t xml:space="preserve">   </w:t>
      </w:r>
      <w:r w:rsidR="00A84FF0">
        <w:rPr>
          <w:rFonts w:ascii="Times New Roman" w:hAnsi="Times New Roman" w:cs="Times New Roman"/>
          <w:sz w:val="24"/>
          <w:szCs w:val="24"/>
        </w:rPr>
        <w:t>This is a court application for review in terms of Rule 59(1) of he High Court Rules 2021 SI 202/2021 as read with s 27(1)(c) of the High Court Act [</w:t>
      </w:r>
      <w:r w:rsidR="00A84FF0" w:rsidRPr="00A26C40">
        <w:rPr>
          <w:rFonts w:ascii="Times New Roman" w:hAnsi="Times New Roman" w:cs="Times New Roman"/>
          <w:i/>
          <w:iCs/>
          <w:sz w:val="24"/>
          <w:szCs w:val="24"/>
        </w:rPr>
        <w:t>Chapter 7:06</w:t>
      </w:r>
      <w:r w:rsidR="00A84FF0">
        <w:rPr>
          <w:rFonts w:ascii="Times New Roman" w:hAnsi="Times New Roman" w:cs="Times New Roman"/>
          <w:sz w:val="24"/>
          <w:szCs w:val="24"/>
        </w:rPr>
        <w:t>].</w:t>
      </w:r>
    </w:p>
    <w:p w14:paraId="0B7F2CCD" w14:textId="1B92F318" w:rsidR="00A84FF0" w:rsidRPr="00A84FF0" w:rsidRDefault="00A84FF0" w:rsidP="00F71136">
      <w:pPr>
        <w:ind w:firstLine="720"/>
        <w:rPr>
          <w:rFonts w:ascii="Times New Roman" w:hAnsi="Times New Roman" w:cs="Times New Roman"/>
          <w:sz w:val="24"/>
          <w:szCs w:val="24"/>
          <w:u w:val="single"/>
        </w:rPr>
      </w:pPr>
      <w:r w:rsidRPr="00A84FF0">
        <w:rPr>
          <w:rFonts w:ascii="Times New Roman" w:hAnsi="Times New Roman" w:cs="Times New Roman"/>
          <w:sz w:val="24"/>
          <w:szCs w:val="24"/>
          <w:u w:val="single"/>
        </w:rPr>
        <w:t xml:space="preserve">BACKGROUND FACTS </w:t>
      </w:r>
    </w:p>
    <w:p w14:paraId="5FD47470" w14:textId="4A35DACD" w:rsidR="005C5861" w:rsidRDefault="00A84FF0" w:rsidP="005C58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73A57">
        <w:rPr>
          <w:rFonts w:ascii="Times New Roman" w:hAnsi="Times New Roman" w:cs="Times New Roman"/>
          <w:sz w:val="24"/>
          <w:szCs w:val="24"/>
        </w:rPr>
        <w:t>applicant was arraigned before the first respondent on 8 August 2023 on charge on Frand as defined in s 136 of the Criminal Law (Codification and Reform) Act [</w:t>
      </w:r>
      <w:r w:rsidR="00B73A57" w:rsidRPr="006F3072">
        <w:rPr>
          <w:rFonts w:ascii="Times New Roman" w:hAnsi="Times New Roman" w:cs="Times New Roman"/>
          <w:i/>
          <w:iCs/>
          <w:sz w:val="24"/>
          <w:szCs w:val="24"/>
        </w:rPr>
        <w:t>Chapter 9:23</w:t>
      </w:r>
      <w:r w:rsidR="00B73A57">
        <w:rPr>
          <w:rFonts w:ascii="Times New Roman" w:hAnsi="Times New Roman" w:cs="Times New Roman"/>
          <w:sz w:val="24"/>
          <w:szCs w:val="24"/>
        </w:rPr>
        <w:t>].  Applicant pleaded not guilty and the matter proceeded to trial with the second</w:t>
      </w:r>
      <w:r w:rsidR="004B1292">
        <w:rPr>
          <w:rFonts w:ascii="Times New Roman" w:hAnsi="Times New Roman" w:cs="Times New Roman"/>
          <w:sz w:val="24"/>
          <w:szCs w:val="24"/>
        </w:rPr>
        <w:t xml:space="preserve"> respondent leading its evidence in a bid to prove its case.  There after the second respondent closed its case and the applicant </w:t>
      </w:r>
      <w:r w:rsidR="00DA680E">
        <w:rPr>
          <w:rFonts w:ascii="Times New Roman" w:hAnsi="Times New Roman" w:cs="Times New Roman"/>
          <w:sz w:val="24"/>
          <w:szCs w:val="24"/>
        </w:rPr>
        <w:t>proceeded to apply for discharge in terms of s 198(3) of the Criminal Procedure and Evidence Act [</w:t>
      </w:r>
      <w:r w:rsidR="00DA680E" w:rsidRPr="00DA680E">
        <w:rPr>
          <w:rFonts w:ascii="Times New Roman" w:hAnsi="Times New Roman" w:cs="Times New Roman"/>
          <w:i/>
          <w:iCs/>
          <w:sz w:val="24"/>
          <w:szCs w:val="24"/>
        </w:rPr>
        <w:t>Chapter 9:07</w:t>
      </w:r>
      <w:r w:rsidR="00DA680E">
        <w:rPr>
          <w:rFonts w:ascii="Times New Roman" w:hAnsi="Times New Roman" w:cs="Times New Roman"/>
          <w:sz w:val="24"/>
          <w:szCs w:val="24"/>
        </w:rPr>
        <w:t xml:space="preserve">] (The Act). The application was opposed by the second respondent. </w:t>
      </w:r>
      <w:r w:rsidR="00B73A57">
        <w:rPr>
          <w:rFonts w:ascii="Times New Roman" w:hAnsi="Times New Roman" w:cs="Times New Roman"/>
          <w:sz w:val="24"/>
          <w:szCs w:val="24"/>
        </w:rPr>
        <w:t xml:space="preserve"> </w:t>
      </w:r>
      <w:r w:rsidR="005C5861">
        <w:rPr>
          <w:rFonts w:ascii="Times New Roman" w:hAnsi="Times New Roman" w:cs="Times New Roman"/>
          <w:sz w:val="24"/>
          <w:szCs w:val="24"/>
        </w:rPr>
        <w:t xml:space="preserve">The first respondent made a finding that the second respondent had established a </w:t>
      </w:r>
      <w:r w:rsidR="005C5861" w:rsidRPr="005C5861">
        <w:rPr>
          <w:rFonts w:ascii="Times New Roman" w:hAnsi="Times New Roman" w:cs="Times New Roman"/>
          <w:i/>
          <w:iCs/>
          <w:sz w:val="24"/>
          <w:szCs w:val="24"/>
        </w:rPr>
        <w:t>prima facie</w:t>
      </w:r>
      <w:r w:rsidR="005C5861">
        <w:rPr>
          <w:rFonts w:ascii="Times New Roman" w:hAnsi="Times New Roman" w:cs="Times New Roman"/>
          <w:sz w:val="24"/>
          <w:szCs w:val="24"/>
        </w:rPr>
        <w:t xml:space="preserve"> case against the applicant</w:t>
      </w:r>
      <w:r w:rsidR="00A230FC">
        <w:rPr>
          <w:rFonts w:ascii="Times New Roman" w:hAnsi="Times New Roman" w:cs="Times New Roman"/>
          <w:sz w:val="24"/>
          <w:szCs w:val="24"/>
        </w:rPr>
        <w:t>.</w:t>
      </w:r>
      <w:r w:rsidR="005C5861">
        <w:rPr>
          <w:rFonts w:ascii="Times New Roman" w:hAnsi="Times New Roman" w:cs="Times New Roman"/>
          <w:sz w:val="24"/>
          <w:szCs w:val="24"/>
        </w:rPr>
        <w:t xml:space="preserve"> </w:t>
      </w:r>
    </w:p>
    <w:p w14:paraId="01AC21D9" w14:textId="0F17D76C" w:rsidR="005C5861" w:rsidRDefault="005C5861" w:rsidP="005C58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decision</w:t>
      </w:r>
      <w:r w:rsidR="00A230FC">
        <w:rPr>
          <w:rFonts w:ascii="Times New Roman" w:hAnsi="Times New Roman" w:cs="Times New Roman"/>
          <w:sz w:val="24"/>
          <w:szCs w:val="24"/>
        </w:rPr>
        <w:t>,</w:t>
      </w:r>
      <w:r>
        <w:rPr>
          <w:rFonts w:ascii="Times New Roman" w:hAnsi="Times New Roman" w:cs="Times New Roman"/>
          <w:sz w:val="24"/>
          <w:szCs w:val="24"/>
        </w:rPr>
        <w:t xml:space="preserve"> applicant filed this review application in terms of s 27(1)(c) of the High Court Act [</w:t>
      </w:r>
      <w:r w:rsidRPr="005C5861">
        <w:rPr>
          <w:rFonts w:ascii="Times New Roman" w:hAnsi="Times New Roman" w:cs="Times New Roman"/>
          <w:i/>
          <w:iCs/>
          <w:sz w:val="24"/>
          <w:szCs w:val="24"/>
        </w:rPr>
        <w:t>Chapter 7:06</w:t>
      </w:r>
      <w:r>
        <w:rPr>
          <w:rFonts w:ascii="Times New Roman" w:hAnsi="Times New Roman" w:cs="Times New Roman"/>
          <w:sz w:val="24"/>
          <w:szCs w:val="24"/>
        </w:rPr>
        <w:t>] seeking the following relief.</w:t>
      </w:r>
    </w:p>
    <w:p w14:paraId="5AF11853" w14:textId="14A69C3A" w:rsidR="005C5861" w:rsidRPr="00775692" w:rsidRDefault="005C5861" w:rsidP="00775692">
      <w:pPr>
        <w:spacing w:after="0" w:line="240" w:lineRule="auto"/>
        <w:ind w:left="720"/>
        <w:jc w:val="both"/>
        <w:rPr>
          <w:rFonts w:ascii="Times New Roman" w:hAnsi="Times New Roman" w:cs="Times New Roman"/>
        </w:rPr>
      </w:pPr>
      <w:r w:rsidRPr="00775692">
        <w:rPr>
          <w:rFonts w:ascii="Times New Roman" w:hAnsi="Times New Roman" w:cs="Times New Roman"/>
        </w:rPr>
        <w:t>“1. The decision of the first respondent dismissing the applicants application for discharge at the close of the state case under case no CRB HRE P 1149/21 be and is hereby set aside.</w:t>
      </w:r>
    </w:p>
    <w:p w14:paraId="3DDD9873" w14:textId="1B4039CF" w:rsidR="005C5861" w:rsidRPr="00775692" w:rsidRDefault="005C5861" w:rsidP="00775692">
      <w:pPr>
        <w:spacing w:after="0" w:line="240" w:lineRule="auto"/>
        <w:ind w:left="720" w:firstLine="60"/>
        <w:jc w:val="both"/>
        <w:rPr>
          <w:rFonts w:ascii="Times New Roman" w:hAnsi="Times New Roman" w:cs="Times New Roman"/>
        </w:rPr>
      </w:pPr>
      <w:r w:rsidRPr="00775692">
        <w:rPr>
          <w:rFonts w:ascii="Times New Roman" w:hAnsi="Times New Roman" w:cs="Times New Roman"/>
        </w:rPr>
        <w:lastRenderedPageBreak/>
        <w:t xml:space="preserve">2. Applicant be and is hereby discharged and Acquitted at the close of the </w:t>
      </w:r>
      <w:r w:rsidR="00A230FC">
        <w:rPr>
          <w:rFonts w:ascii="Times New Roman" w:hAnsi="Times New Roman" w:cs="Times New Roman"/>
        </w:rPr>
        <w:t>S</w:t>
      </w:r>
      <w:r w:rsidRPr="00775692">
        <w:rPr>
          <w:rFonts w:ascii="Times New Roman" w:hAnsi="Times New Roman" w:cs="Times New Roman"/>
        </w:rPr>
        <w:t xml:space="preserve">tate case under case Number CRB HRE P 1149/21.  Alternatively, that a trial </w:t>
      </w:r>
      <w:r w:rsidRPr="00A230FC">
        <w:rPr>
          <w:rFonts w:ascii="Times New Roman" w:hAnsi="Times New Roman" w:cs="Times New Roman"/>
          <w:i/>
          <w:iCs/>
        </w:rPr>
        <w:t>de novo</w:t>
      </w:r>
      <w:r w:rsidRPr="00775692">
        <w:rPr>
          <w:rFonts w:ascii="Times New Roman" w:hAnsi="Times New Roman" w:cs="Times New Roman"/>
        </w:rPr>
        <w:t xml:space="preserve"> be conducted before a different magistrate.</w:t>
      </w:r>
    </w:p>
    <w:p w14:paraId="1FC25498" w14:textId="64C21EAF" w:rsidR="005C5861" w:rsidRDefault="005C5861" w:rsidP="00775692">
      <w:pPr>
        <w:spacing w:after="0" w:line="240" w:lineRule="auto"/>
        <w:ind w:firstLine="720"/>
        <w:jc w:val="both"/>
        <w:rPr>
          <w:rFonts w:ascii="Times New Roman" w:hAnsi="Times New Roman" w:cs="Times New Roman"/>
        </w:rPr>
      </w:pPr>
      <w:r w:rsidRPr="00775692">
        <w:rPr>
          <w:rFonts w:ascii="Times New Roman" w:hAnsi="Times New Roman" w:cs="Times New Roman"/>
        </w:rPr>
        <w:t xml:space="preserve"> 3. Each party to bear its own costs.”</w:t>
      </w:r>
    </w:p>
    <w:p w14:paraId="20A2A25D" w14:textId="77777777" w:rsidR="00775692" w:rsidRPr="00775692" w:rsidRDefault="00775692" w:rsidP="00775692">
      <w:pPr>
        <w:spacing w:after="0" w:line="240" w:lineRule="auto"/>
        <w:ind w:firstLine="720"/>
        <w:jc w:val="both"/>
        <w:rPr>
          <w:rFonts w:ascii="Times New Roman" w:hAnsi="Times New Roman" w:cs="Times New Roman"/>
        </w:rPr>
      </w:pPr>
    </w:p>
    <w:p w14:paraId="14CF9C40" w14:textId="52BBD3DF" w:rsidR="005C5861" w:rsidRPr="005C5861" w:rsidRDefault="005C5861" w:rsidP="005C5861">
      <w:pPr>
        <w:spacing w:after="0" w:line="360" w:lineRule="auto"/>
        <w:ind w:firstLine="720"/>
        <w:jc w:val="both"/>
        <w:rPr>
          <w:rFonts w:ascii="Times New Roman" w:hAnsi="Times New Roman" w:cs="Times New Roman"/>
          <w:sz w:val="24"/>
          <w:szCs w:val="24"/>
          <w:u w:val="single"/>
        </w:rPr>
      </w:pPr>
      <w:r w:rsidRPr="005C5861">
        <w:rPr>
          <w:rFonts w:ascii="Times New Roman" w:hAnsi="Times New Roman" w:cs="Times New Roman"/>
          <w:sz w:val="24"/>
          <w:szCs w:val="24"/>
          <w:u w:val="single"/>
        </w:rPr>
        <w:t>THE LAW</w:t>
      </w:r>
    </w:p>
    <w:p w14:paraId="4B5D30C4" w14:textId="77777777" w:rsidR="00506F88" w:rsidRDefault="005C5861" w:rsidP="005C58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being asked to in</w:t>
      </w:r>
      <w:r w:rsidR="00752B60">
        <w:rPr>
          <w:rFonts w:ascii="Times New Roman" w:hAnsi="Times New Roman" w:cs="Times New Roman"/>
          <w:sz w:val="24"/>
          <w:szCs w:val="24"/>
        </w:rPr>
        <w:t>ter</w:t>
      </w:r>
      <w:r>
        <w:rPr>
          <w:rFonts w:ascii="Times New Roman" w:hAnsi="Times New Roman" w:cs="Times New Roman"/>
          <w:sz w:val="24"/>
          <w:szCs w:val="24"/>
        </w:rPr>
        <w:t>fere with</w:t>
      </w:r>
      <w:r w:rsidR="00B1628B">
        <w:rPr>
          <w:rFonts w:ascii="Times New Roman" w:hAnsi="Times New Roman" w:cs="Times New Roman"/>
          <w:sz w:val="24"/>
          <w:szCs w:val="24"/>
        </w:rPr>
        <w:t xml:space="preserve"> unterminated proceedings in the court </w:t>
      </w:r>
      <w:r w:rsidR="00B1628B" w:rsidRPr="00B1628B">
        <w:rPr>
          <w:rFonts w:ascii="Times New Roman" w:hAnsi="Times New Roman" w:cs="Times New Roman"/>
          <w:i/>
          <w:iCs/>
          <w:sz w:val="24"/>
          <w:szCs w:val="24"/>
        </w:rPr>
        <w:t>a quo</w:t>
      </w:r>
      <w:r w:rsidR="00B1628B">
        <w:rPr>
          <w:rFonts w:ascii="Times New Roman" w:hAnsi="Times New Roman" w:cs="Times New Roman"/>
          <w:sz w:val="24"/>
          <w:szCs w:val="24"/>
        </w:rPr>
        <w:t xml:space="preserve"> on the ground that the magistrate committed a gross irregularity </w:t>
      </w:r>
      <w:r w:rsidR="00506F88">
        <w:rPr>
          <w:rFonts w:ascii="Times New Roman" w:hAnsi="Times New Roman" w:cs="Times New Roman"/>
          <w:sz w:val="24"/>
          <w:szCs w:val="24"/>
        </w:rPr>
        <w:t>warranting interference by this court to prevent a miscarriage of justice.</w:t>
      </w:r>
    </w:p>
    <w:p w14:paraId="09E9CA2D" w14:textId="09F674DF" w:rsidR="00775692" w:rsidRDefault="00506F88" w:rsidP="007756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principles governing interference by a superior court with the proceedings of a subordinate court are well established.  In </w:t>
      </w:r>
      <w:r w:rsidRPr="00775692">
        <w:rPr>
          <w:rFonts w:ascii="Times New Roman" w:hAnsi="Times New Roman" w:cs="Times New Roman"/>
          <w:i/>
          <w:iCs/>
          <w:sz w:val="24"/>
          <w:szCs w:val="24"/>
        </w:rPr>
        <w:t>P</w:t>
      </w:r>
      <w:r w:rsidR="00775692" w:rsidRPr="00775692">
        <w:rPr>
          <w:rFonts w:ascii="Times New Roman" w:hAnsi="Times New Roman" w:cs="Times New Roman"/>
          <w:i/>
          <w:iCs/>
          <w:sz w:val="24"/>
          <w:szCs w:val="24"/>
        </w:rPr>
        <w:t>rosecutor</w:t>
      </w:r>
      <w:r w:rsidRPr="00775692">
        <w:rPr>
          <w:rFonts w:ascii="Times New Roman" w:hAnsi="Times New Roman" w:cs="Times New Roman"/>
          <w:i/>
          <w:iCs/>
          <w:sz w:val="24"/>
          <w:szCs w:val="24"/>
        </w:rPr>
        <w:t xml:space="preserve"> G</w:t>
      </w:r>
      <w:r w:rsidR="00775692" w:rsidRPr="00775692">
        <w:rPr>
          <w:rFonts w:ascii="Times New Roman" w:hAnsi="Times New Roman" w:cs="Times New Roman"/>
          <w:i/>
          <w:iCs/>
          <w:sz w:val="24"/>
          <w:szCs w:val="24"/>
        </w:rPr>
        <w:t xml:space="preserve">eneral of </w:t>
      </w:r>
      <w:r w:rsidRPr="00775692">
        <w:rPr>
          <w:rFonts w:ascii="Times New Roman" w:hAnsi="Times New Roman" w:cs="Times New Roman"/>
          <w:i/>
          <w:iCs/>
          <w:sz w:val="24"/>
          <w:szCs w:val="24"/>
        </w:rPr>
        <w:t>Z</w:t>
      </w:r>
      <w:r w:rsidR="00775692" w:rsidRPr="00775692">
        <w:rPr>
          <w:rFonts w:ascii="Times New Roman" w:hAnsi="Times New Roman" w:cs="Times New Roman"/>
          <w:i/>
          <w:iCs/>
          <w:sz w:val="24"/>
          <w:szCs w:val="24"/>
        </w:rPr>
        <w:t xml:space="preserve">imbabwe </w:t>
      </w:r>
      <w:r w:rsidR="00775692" w:rsidRPr="00775692">
        <w:rPr>
          <w:rFonts w:ascii="Times New Roman" w:hAnsi="Times New Roman" w:cs="Times New Roman"/>
          <w:sz w:val="24"/>
          <w:szCs w:val="24"/>
        </w:rPr>
        <w:t>v</w:t>
      </w:r>
      <w:r w:rsidR="00775692" w:rsidRPr="00775692">
        <w:rPr>
          <w:rFonts w:ascii="Times New Roman" w:hAnsi="Times New Roman" w:cs="Times New Roman"/>
          <w:i/>
          <w:iCs/>
          <w:sz w:val="24"/>
          <w:szCs w:val="24"/>
        </w:rPr>
        <w:t xml:space="preserve"> Intratrek Zimbabwe (Pvt) Ltd (2) Wicknell Munodaani Chivayo (3) L Ncube N.O</w:t>
      </w:r>
      <w:r w:rsidR="00775692">
        <w:rPr>
          <w:rFonts w:ascii="Times New Roman" w:hAnsi="Times New Roman" w:cs="Times New Roman"/>
          <w:sz w:val="24"/>
          <w:szCs w:val="24"/>
        </w:rPr>
        <w:t xml:space="preserve"> SC 59/2019, </w:t>
      </w:r>
      <w:r w:rsidR="00775692" w:rsidRPr="00775692">
        <w:rPr>
          <w:rFonts w:ascii="Times New Roman" w:hAnsi="Times New Roman" w:cs="Times New Roman"/>
          <w:smallCaps/>
          <w:sz w:val="24"/>
          <w:szCs w:val="24"/>
        </w:rPr>
        <w:t>Patel</w:t>
      </w:r>
      <w:r w:rsidR="00775692">
        <w:rPr>
          <w:rFonts w:ascii="Times New Roman" w:hAnsi="Times New Roman" w:cs="Times New Roman"/>
          <w:sz w:val="24"/>
          <w:szCs w:val="24"/>
        </w:rPr>
        <w:t xml:space="preserve"> JA (as he then was) quoted with approval the following passages per </w:t>
      </w:r>
      <w:r w:rsidR="00775692" w:rsidRPr="00775692">
        <w:rPr>
          <w:rFonts w:ascii="Times New Roman" w:hAnsi="Times New Roman" w:cs="Times New Roman"/>
          <w:smallCaps/>
          <w:sz w:val="24"/>
          <w:szCs w:val="24"/>
        </w:rPr>
        <w:t>Ogilivie</w:t>
      </w:r>
      <w:r w:rsidR="00775692">
        <w:rPr>
          <w:rFonts w:ascii="Times New Roman" w:hAnsi="Times New Roman" w:cs="Times New Roman"/>
          <w:sz w:val="24"/>
          <w:szCs w:val="24"/>
        </w:rPr>
        <w:t xml:space="preserve"> </w:t>
      </w:r>
      <w:r w:rsidR="00775692" w:rsidRPr="00775692">
        <w:rPr>
          <w:rFonts w:ascii="Times New Roman" w:hAnsi="Times New Roman" w:cs="Times New Roman"/>
          <w:smallCaps/>
          <w:sz w:val="24"/>
          <w:szCs w:val="24"/>
        </w:rPr>
        <w:t>Thomapson</w:t>
      </w:r>
      <w:r w:rsidR="00775692">
        <w:rPr>
          <w:rFonts w:ascii="Times New Roman" w:hAnsi="Times New Roman" w:cs="Times New Roman"/>
          <w:sz w:val="24"/>
          <w:szCs w:val="24"/>
        </w:rPr>
        <w:t xml:space="preserve"> JA in </w:t>
      </w:r>
      <w:r w:rsidR="00775692" w:rsidRPr="00775692">
        <w:rPr>
          <w:rFonts w:ascii="Times New Roman" w:hAnsi="Times New Roman" w:cs="Times New Roman"/>
          <w:i/>
          <w:iCs/>
          <w:sz w:val="24"/>
          <w:szCs w:val="24"/>
        </w:rPr>
        <w:t xml:space="preserve">Walhaus &amp; Ors </w:t>
      </w:r>
      <w:r w:rsidR="00775692" w:rsidRPr="00775692">
        <w:rPr>
          <w:rFonts w:ascii="Times New Roman" w:hAnsi="Times New Roman" w:cs="Times New Roman"/>
          <w:sz w:val="24"/>
          <w:szCs w:val="24"/>
        </w:rPr>
        <w:t>v</w:t>
      </w:r>
      <w:r w:rsidR="00775692" w:rsidRPr="00775692">
        <w:rPr>
          <w:rFonts w:ascii="Times New Roman" w:hAnsi="Times New Roman" w:cs="Times New Roman"/>
          <w:i/>
          <w:iCs/>
          <w:sz w:val="24"/>
          <w:szCs w:val="24"/>
        </w:rPr>
        <w:t xml:space="preserve"> Additional Magistrate, Johannesburg &amp; Anor </w:t>
      </w:r>
      <w:r w:rsidR="00775692">
        <w:rPr>
          <w:rFonts w:ascii="Times New Roman" w:hAnsi="Times New Roman" w:cs="Times New Roman"/>
          <w:sz w:val="24"/>
          <w:szCs w:val="24"/>
        </w:rPr>
        <w:t>1959(3) SA 113(AD);</w:t>
      </w:r>
    </w:p>
    <w:p w14:paraId="5D0E3EBE" w14:textId="4BE19B72" w:rsidR="00CC3540" w:rsidRDefault="00775692" w:rsidP="007756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as appellants contend, the magistrate erred in dismissing their exception and objection </w:t>
      </w:r>
      <w:r w:rsidR="00A230FC">
        <w:rPr>
          <w:rFonts w:ascii="Times New Roman" w:hAnsi="Times New Roman" w:cs="Times New Roman"/>
          <w:sz w:val="24"/>
          <w:szCs w:val="24"/>
        </w:rPr>
        <w:t>t</w:t>
      </w:r>
      <w:r>
        <w:rPr>
          <w:rFonts w:ascii="Times New Roman" w:hAnsi="Times New Roman" w:cs="Times New Roman"/>
          <w:sz w:val="24"/>
          <w:szCs w:val="24"/>
        </w:rPr>
        <w:t xml:space="preserve">o the charge, his error was that, in the performance of his statutory </w:t>
      </w:r>
      <w:r w:rsidR="00210823">
        <w:rPr>
          <w:rFonts w:ascii="Times New Roman" w:hAnsi="Times New Roman" w:cs="Times New Roman"/>
          <w:sz w:val="24"/>
          <w:szCs w:val="24"/>
        </w:rPr>
        <w:t xml:space="preserve">functions, he gave a wrong decision.  The </w:t>
      </w:r>
      <w:r w:rsidR="00E77E54">
        <w:rPr>
          <w:rFonts w:ascii="Times New Roman" w:hAnsi="Times New Roman" w:cs="Times New Roman"/>
          <w:sz w:val="24"/>
          <w:szCs w:val="24"/>
        </w:rPr>
        <w:t>normal remedy against a wrong decision of that kind is to appeal after conviction.  The practical effect of entertaining applicant</w:t>
      </w:r>
      <w:r w:rsidR="00871048">
        <w:rPr>
          <w:rFonts w:ascii="Times New Roman" w:hAnsi="Times New Roman" w:cs="Times New Roman"/>
          <w:sz w:val="24"/>
          <w:szCs w:val="24"/>
        </w:rPr>
        <w:t xml:space="preserve">’s position would be to bring the magistrate’s decision under appeal at the present, unconcluded, stage of the criminal proceedings against them in the </w:t>
      </w:r>
      <w:r w:rsidR="007057D6">
        <w:rPr>
          <w:rFonts w:ascii="Times New Roman" w:hAnsi="Times New Roman" w:cs="Times New Roman"/>
          <w:sz w:val="24"/>
          <w:szCs w:val="24"/>
        </w:rPr>
        <w:t xml:space="preserve">magistrate’s court.  No statutory provision exists directly sanctioning </w:t>
      </w:r>
      <w:r w:rsidR="006857D6">
        <w:rPr>
          <w:rFonts w:ascii="Times New Roman" w:hAnsi="Times New Roman" w:cs="Times New Roman"/>
          <w:sz w:val="24"/>
          <w:szCs w:val="24"/>
        </w:rPr>
        <w:t xml:space="preserve">such a course.  It is true that by virtue of its inherent power to restrain illegalities in inferior </w:t>
      </w:r>
      <w:r w:rsidR="003C3D10">
        <w:rPr>
          <w:rFonts w:ascii="Times New Roman" w:hAnsi="Times New Roman" w:cs="Times New Roman"/>
          <w:sz w:val="24"/>
          <w:szCs w:val="24"/>
        </w:rPr>
        <w:t xml:space="preserve">courts, the Supreme Court may in a proper case, grant </w:t>
      </w:r>
      <w:r w:rsidR="0043517F">
        <w:rPr>
          <w:rFonts w:ascii="Times New Roman" w:hAnsi="Times New Roman" w:cs="Times New Roman"/>
          <w:sz w:val="24"/>
          <w:szCs w:val="24"/>
        </w:rPr>
        <w:t xml:space="preserve">relief by way of review, interdict or </w:t>
      </w:r>
      <w:r w:rsidR="0043517F" w:rsidRPr="0043517F">
        <w:rPr>
          <w:rFonts w:ascii="Times New Roman" w:hAnsi="Times New Roman" w:cs="Times New Roman"/>
          <w:i/>
          <w:iCs/>
          <w:sz w:val="24"/>
          <w:szCs w:val="24"/>
        </w:rPr>
        <w:t>mandamus</w:t>
      </w:r>
      <w:r w:rsidR="0043517F">
        <w:rPr>
          <w:rFonts w:ascii="Times New Roman" w:hAnsi="Times New Roman" w:cs="Times New Roman"/>
          <w:sz w:val="24"/>
          <w:szCs w:val="24"/>
        </w:rPr>
        <w:t xml:space="preserve"> – against </w:t>
      </w:r>
      <w:r w:rsidR="00CC3540">
        <w:rPr>
          <w:rFonts w:ascii="Times New Roman" w:hAnsi="Times New Roman" w:cs="Times New Roman"/>
          <w:sz w:val="24"/>
          <w:szCs w:val="24"/>
        </w:rPr>
        <w:t>the decision of a magistrate’s court given before conviction …This, however, is a power which is to be sparingly exercised.  It is impracticable to attempt any precise definition of the ambit of this power, for each case must depend upon its own circumstances.  The learned authors of GARDINER AND LANSDOWN (6</w:t>
      </w:r>
      <w:r w:rsidR="00CC3540" w:rsidRPr="00CC3540">
        <w:rPr>
          <w:rFonts w:ascii="Times New Roman" w:hAnsi="Times New Roman" w:cs="Times New Roman"/>
          <w:sz w:val="24"/>
          <w:szCs w:val="24"/>
          <w:vertAlign w:val="superscript"/>
        </w:rPr>
        <w:t>th</w:t>
      </w:r>
      <w:r w:rsidR="00CC3540">
        <w:rPr>
          <w:rFonts w:ascii="Times New Roman" w:hAnsi="Times New Roman" w:cs="Times New Roman"/>
          <w:sz w:val="24"/>
          <w:szCs w:val="24"/>
        </w:rPr>
        <w:t xml:space="preserve"> ed. Vol. 1p750) state;</w:t>
      </w:r>
    </w:p>
    <w:p w14:paraId="0A1D144A" w14:textId="73242DE6" w:rsidR="00681CFA" w:rsidRDefault="00CC3540" w:rsidP="00681CFA">
      <w:pPr>
        <w:spacing w:after="0" w:line="240" w:lineRule="auto"/>
        <w:ind w:left="720"/>
        <w:jc w:val="both"/>
        <w:rPr>
          <w:rFonts w:ascii="Times New Roman" w:hAnsi="Times New Roman" w:cs="Times New Roman"/>
        </w:rPr>
      </w:pPr>
      <w:r w:rsidRPr="00681CFA">
        <w:rPr>
          <w:rFonts w:ascii="Times New Roman" w:hAnsi="Times New Roman" w:cs="Times New Roman"/>
        </w:rPr>
        <w:t xml:space="preserve">“While a superior court on review or appeal will be slow to exercise any power, whether by </w:t>
      </w:r>
      <w:r w:rsidRPr="00681CFA">
        <w:rPr>
          <w:rFonts w:ascii="Times New Roman" w:hAnsi="Times New Roman" w:cs="Times New Roman"/>
          <w:i/>
          <w:iCs/>
        </w:rPr>
        <w:t>mandamus</w:t>
      </w:r>
      <w:r w:rsidRPr="00681CFA">
        <w:rPr>
          <w:rFonts w:ascii="Times New Roman" w:hAnsi="Times New Roman" w:cs="Times New Roman"/>
        </w:rPr>
        <w:t xml:space="preserve"> or otherwise, upon the unterminated course of proceedings in a court below, it certainly </w:t>
      </w:r>
      <w:r w:rsidR="00681CFA" w:rsidRPr="00681CFA">
        <w:rPr>
          <w:rFonts w:ascii="Times New Roman" w:hAnsi="Times New Roman" w:cs="Times New Roman"/>
        </w:rPr>
        <w:t xml:space="preserve">has the power to do so, and will do so in </w:t>
      </w:r>
      <w:r w:rsidR="00681CFA" w:rsidRPr="00681CFA">
        <w:rPr>
          <w:rFonts w:ascii="Times New Roman" w:hAnsi="Times New Roman" w:cs="Times New Roman"/>
          <w:u w:val="single"/>
        </w:rPr>
        <w:t>rare cases where grave injustice might otherwise result or justice might not by other means be attained</w:t>
      </w:r>
      <w:r w:rsidR="00681CFA" w:rsidRPr="00681CFA">
        <w:rPr>
          <w:rFonts w:ascii="Times New Roman" w:hAnsi="Times New Roman" w:cs="Times New Roman"/>
        </w:rPr>
        <w:t xml:space="preserve"> …In general, however, it </w:t>
      </w:r>
      <w:r w:rsidR="00681CFA" w:rsidRPr="00681CFA">
        <w:rPr>
          <w:rFonts w:ascii="Times New Roman" w:hAnsi="Times New Roman" w:cs="Times New Roman"/>
          <w:i/>
          <w:iCs/>
        </w:rPr>
        <w:t>will hesitate to intervene,</w:t>
      </w:r>
      <w:r w:rsidR="00681CFA" w:rsidRPr="00681CFA">
        <w:rPr>
          <w:rFonts w:ascii="Times New Roman" w:hAnsi="Times New Roman" w:cs="Times New Roman"/>
        </w:rPr>
        <w:t xml:space="preserve"> especially having regard to the effect of such a procedure upon the continuity </w:t>
      </w:r>
      <w:r w:rsidR="00A230FC">
        <w:rPr>
          <w:rFonts w:ascii="Times New Roman" w:hAnsi="Times New Roman" w:cs="Times New Roman"/>
        </w:rPr>
        <w:t xml:space="preserve">of </w:t>
      </w:r>
      <w:r w:rsidR="00681CFA" w:rsidRPr="00681CFA">
        <w:rPr>
          <w:rFonts w:ascii="Times New Roman" w:hAnsi="Times New Roman" w:cs="Times New Roman"/>
        </w:rPr>
        <w:t>proceedings in the court below and to the fact th</w:t>
      </w:r>
      <w:r w:rsidR="00A230FC">
        <w:rPr>
          <w:rFonts w:ascii="Times New Roman" w:hAnsi="Times New Roman" w:cs="Times New Roman"/>
        </w:rPr>
        <w:t>at</w:t>
      </w:r>
      <w:r w:rsidR="00681CFA" w:rsidRPr="00681CFA">
        <w:rPr>
          <w:rFonts w:ascii="Times New Roman" w:hAnsi="Times New Roman" w:cs="Times New Roman"/>
        </w:rPr>
        <w:t xml:space="preserve"> redress by means </w:t>
      </w:r>
      <w:r w:rsidR="00A230FC">
        <w:rPr>
          <w:rFonts w:ascii="Times New Roman" w:hAnsi="Times New Roman" w:cs="Times New Roman"/>
        </w:rPr>
        <w:t>of</w:t>
      </w:r>
      <w:r w:rsidR="00681CFA" w:rsidRPr="00681CFA">
        <w:rPr>
          <w:rFonts w:ascii="Times New Roman" w:hAnsi="Times New Roman" w:cs="Times New Roman"/>
        </w:rPr>
        <w:t xml:space="preserve"> review or appeal would ordinarily be available.”</w:t>
      </w:r>
    </w:p>
    <w:p w14:paraId="5C4D5D9C" w14:textId="77777777" w:rsidR="00681CFA" w:rsidRPr="00681CFA" w:rsidRDefault="00681CFA" w:rsidP="00681CFA">
      <w:pPr>
        <w:spacing w:after="0" w:line="240" w:lineRule="auto"/>
        <w:ind w:left="720"/>
        <w:jc w:val="both"/>
        <w:rPr>
          <w:rFonts w:ascii="Times New Roman" w:hAnsi="Times New Roman" w:cs="Times New Roman"/>
        </w:rPr>
      </w:pPr>
    </w:p>
    <w:p w14:paraId="4B44B7F5" w14:textId="46D800AD" w:rsidR="005F1400" w:rsidRDefault="00681CFA"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judgment that statement correctly reflects </w:t>
      </w:r>
      <w:r w:rsidR="0049076A">
        <w:rPr>
          <w:rFonts w:ascii="Times New Roman" w:hAnsi="Times New Roman" w:cs="Times New Roman"/>
          <w:sz w:val="24"/>
          <w:szCs w:val="24"/>
        </w:rPr>
        <w:t>the position in relation to unconcluded criminal proceedings in the magistrate’s courts</w:t>
      </w:r>
      <w:r w:rsidR="0049076A" w:rsidRPr="005F1400">
        <w:rPr>
          <w:rFonts w:ascii="Times New Roman" w:hAnsi="Times New Roman" w:cs="Times New Roman"/>
          <w:sz w:val="24"/>
          <w:szCs w:val="24"/>
          <w:u w:val="single"/>
        </w:rPr>
        <w:t xml:space="preserve">…[The] prejudice, inherent in an accused’s being </w:t>
      </w:r>
      <w:r w:rsidR="005F1400" w:rsidRPr="005F1400">
        <w:rPr>
          <w:rFonts w:ascii="Times New Roman" w:hAnsi="Times New Roman" w:cs="Times New Roman"/>
          <w:sz w:val="24"/>
          <w:szCs w:val="24"/>
          <w:u w:val="single"/>
        </w:rPr>
        <w:t>obliged to proceed to trial, and possible conviction in a magistrate’s court before he is accorded an opportunity of testing in the Supreme Court the correctness of the magistrate’s decision overruling a preliminary and perhaps fundamental contention raised by the accused, does not per se necessarily justify the Supreme Court in granting relief before conviction.”</w:t>
      </w:r>
      <w:r w:rsidR="005F1400">
        <w:rPr>
          <w:rFonts w:ascii="Times New Roman" w:hAnsi="Times New Roman" w:cs="Times New Roman"/>
          <w:sz w:val="24"/>
          <w:szCs w:val="24"/>
          <w:u w:val="single"/>
        </w:rPr>
        <w:t xml:space="preserve"> </w:t>
      </w:r>
      <w:r w:rsidR="005F1400">
        <w:rPr>
          <w:rFonts w:ascii="Times New Roman" w:hAnsi="Times New Roman" w:cs="Times New Roman"/>
          <w:sz w:val="24"/>
          <w:szCs w:val="24"/>
        </w:rPr>
        <w:t>(the underlining is mine).</w:t>
      </w:r>
    </w:p>
    <w:p w14:paraId="53FC3FCB" w14:textId="4E01D6AD" w:rsidR="005F1400" w:rsidRDefault="00182313"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w:t>
      </w:r>
      <w:r w:rsidR="00037D48">
        <w:rPr>
          <w:rFonts w:ascii="Times New Roman" w:hAnsi="Times New Roman" w:cs="Times New Roman"/>
          <w:sz w:val="24"/>
          <w:szCs w:val="24"/>
        </w:rPr>
        <w:t xml:space="preserve">jurisdiction the position is no different and has been adopted by our courts for exactly the same reasons.  See </w:t>
      </w:r>
      <w:r w:rsidR="00037D48" w:rsidRPr="00037D48">
        <w:rPr>
          <w:rFonts w:ascii="Times New Roman" w:hAnsi="Times New Roman" w:cs="Times New Roman"/>
          <w:i/>
          <w:iCs/>
          <w:sz w:val="24"/>
          <w:szCs w:val="24"/>
        </w:rPr>
        <w:t xml:space="preserve">Levy </w:t>
      </w:r>
      <w:r w:rsidR="00037D48" w:rsidRPr="00037D48">
        <w:rPr>
          <w:rFonts w:ascii="Times New Roman" w:hAnsi="Times New Roman" w:cs="Times New Roman"/>
          <w:sz w:val="24"/>
          <w:szCs w:val="24"/>
        </w:rPr>
        <w:t>v</w:t>
      </w:r>
      <w:r w:rsidR="00037D48" w:rsidRPr="00037D48">
        <w:rPr>
          <w:rFonts w:ascii="Times New Roman" w:hAnsi="Times New Roman" w:cs="Times New Roman"/>
          <w:i/>
          <w:iCs/>
          <w:sz w:val="24"/>
          <w:szCs w:val="24"/>
        </w:rPr>
        <w:t xml:space="preserve"> Benator</w:t>
      </w:r>
      <w:r w:rsidR="00037D48">
        <w:rPr>
          <w:rFonts w:ascii="Times New Roman" w:hAnsi="Times New Roman" w:cs="Times New Roman"/>
          <w:sz w:val="24"/>
          <w:szCs w:val="24"/>
        </w:rPr>
        <w:t xml:space="preserve"> 1987(1) ZLR 120 (SC) at 123-124,” </w:t>
      </w:r>
      <w:r w:rsidR="00037D48" w:rsidRPr="00037D48">
        <w:rPr>
          <w:rFonts w:ascii="Times New Roman" w:hAnsi="Times New Roman" w:cs="Times New Roman"/>
          <w:i/>
          <w:iCs/>
          <w:sz w:val="24"/>
          <w:szCs w:val="24"/>
        </w:rPr>
        <w:t xml:space="preserve">Ndlovu </w:t>
      </w:r>
      <w:r w:rsidR="00037D48" w:rsidRPr="00037D48">
        <w:rPr>
          <w:rFonts w:ascii="Times New Roman" w:hAnsi="Times New Roman" w:cs="Times New Roman"/>
          <w:sz w:val="24"/>
          <w:szCs w:val="24"/>
        </w:rPr>
        <w:t xml:space="preserve">v </w:t>
      </w:r>
      <w:r w:rsidR="00037D48" w:rsidRPr="00037D48">
        <w:rPr>
          <w:rFonts w:ascii="Times New Roman" w:hAnsi="Times New Roman" w:cs="Times New Roman"/>
          <w:i/>
          <w:iCs/>
          <w:sz w:val="24"/>
          <w:szCs w:val="24"/>
        </w:rPr>
        <w:t>Regional Magistrate Eastern Division and Anor</w:t>
      </w:r>
      <w:r w:rsidR="00037D48">
        <w:rPr>
          <w:rFonts w:ascii="Times New Roman" w:hAnsi="Times New Roman" w:cs="Times New Roman"/>
          <w:sz w:val="24"/>
          <w:szCs w:val="24"/>
        </w:rPr>
        <w:t xml:space="preserve"> 1989(1) ZLR 264(HC).</w:t>
      </w:r>
    </w:p>
    <w:p w14:paraId="326280F9" w14:textId="10A8E0B5" w:rsidR="00900037" w:rsidRDefault="00900037"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900037">
        <w:rPr>
          <w:rFonts w:ascii="Times New Roman" w:hAnsi="Times New Roman" w:cs="Times New Roman"/>
          <w:i/>
          <w:iCs/>
          <w:sz w:val="24"/>
          <w:szCs w:val="24"/>
        </w:rPr>
        <w:t xml:space="preserve">Lee-Waverly John </w:t>
      </w:r>
      <w:r w:rsidRPr="00900037">
        <w:rPr>
          <w:rFonts w:ascii="Times New Roman" w:hAnsi="Times New Roman" w:cs="Times New Roman"/>
          <w:sz w:val="24"/>
          <w:szCs w:val="24"/>
        </w:rPr>
        <w:t>v</w:t>
      </w:r>
      <w:r w:rsidRPr="00900037">
        <w:rPr>
          <w:rFonts w:ascii="Times New Roman" w:hAnsi="Times New Roman" w:cs="Times New Roman"/>
          <w:i/>
          <w:iCs/>
          <w:sz w:val="24"/>
          <w:szCs w:val="24"/>
        </w:rPr>
        <w:t xml:space="preserve"> The State and Anor</w:t>
      </w:r>
      <w:r>
        <w:rPr>
          <w:rFonts w:ascii="Times New Roman" w:hAnsi="Times New Roman" w:cs="Times New Roman"/>
          <w:sz w:val="24"/>
          <w:szCs w:val="24"/>
        </w:rPr>
        <w:t xml:space="preserve"> HH 117-14 at p 3 where it was observed that the High Court should only interfere where actual and permanent prejudice will be occasioned to the accused. </w:t>
      </w:r>
    </w:p>
    <w:p w14:paraId="35461206" w14:textId="7C4B088C" w:rsidR="00F364FB" w:rsidRDefault="004E3A37"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E3A37">
        <w:rPr>
          <w:rFonts w:ascii="Times New Roman" w:hAnsi="Times New Roman" w:cs="Times New Roman"/>
          <w:i/>
          <w:iCs/>
          <w:sz w:val="24"/>
          <w:szCs w:val="24"/>
        </w:rPr>
        <w:t>casu</w:t>
      </w:r>
      <w:r>
        <w:rPr>
          <w:rFonts w:ascii="Times New Roman" w:hAnsi="Times New Roman" w:cs="Times New Roman"/>
          <w:sz w:val="24"/>
          <w:szCs w:val="24"/>
        </w:rPr>
        <w:t>, the applicant</w:t>
      </w:r>
      <w:r w:rsidR="004D51D0">
        <w:rPr>
          <w:rFonts w:ascii="Times New Roman" w:hAnsi="Times New Roman" w:cs="Times New Roman"/>
          <w:sz w:val="24"/>
          <w:szCs w:val="24"/>
        </w:rPr>
        <w:t xml:space="preserve"> has complained about the magistrate’s approach to the assessment </w:t>
      </w:r>
      <w:r w:rsidR="00106CFA">
        <w:rPr>
          <w:rFonts w:ascii="Times New Roman" w:hAnsi="Times New Roman" w:cs="Times New Roman"/>
          <w:sz w:val="24"/>
          <w:szCs w:val="24"/>
        </w:rPr>
        <w:t xml:space="preserve">of the evidence and the decision arrived at.  I do not find any exceptional circumstances </w:t>
      </w:r>
      <w:r w:rsidR="00A230FC">
        <w:rPr>
          <w:rFonts w:ascii="Times New Roman" w:hAnsi="Times New Roman" w:cs="Times New Roman"/>
          <w:sz w:val="24"/>
          <w:szCs w:val="24"/>
        </w:rPr>
        <w:t xml:space="preserve">in that process </w:t>
      </w:r>
      <w:r w:rsidR="00F364FB">
        <w:rPr>
          <w:rFonts w:ascii="Times New Roman" w:hAnsi="Times New Roman" w:cs="Times New Roman"/>
          <w:sz w:val="24"/>
          <w:szCs w:val="24"/>
        </w:rPr>
        <w:t>warranting interference by this court.</w:t>
      </w:r>
    </w:p>
    <w:p w14:paraId="74AAF29E" w14:textId="01FE73E8" w:rsidR="00F364FB" w:rsidRDefault="00F364FB"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in my view is not one of those rare cases where grave injustice might otherwise result if this court </w:t>
      </w:r>
      <w:r w:rsidR="00A230FC">
        <w:rPr>
          <w:rFonts w:ascii="Times New Roman" w:hAnsi="Times New Roman" w:cs="Times New Roman"/>
          <w:sz w:val="24"/>
          <w:szCs w:val="24"/>
        </w:rPr>
        <w:t xml:space="preserve">fails to intervene.  There is nothing to </w:t>
      </w:r>
      <w:r>
        <w:rPr>
          <w:rFonts w:ascii="Times New Roman" w:hAnsi="Times New Roman" w:cs="Times New Roman"/>
          <w:sz w:val="24"/>
          <w:szCs w:val="24"/>
        </w:rPr>
        <w:t>suggest that justice might not by other means be attained.  In the event of a wrong conviction. The applicant has a right of appeal.</w:t>
      </w:r>
    </w:p>
    <w:p w14:paraId="5CD64A66" w14:textId="77777777" w:rsidR="00F364FB" w:rsidRDefault="00F364FB" w:rsidP="005F1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2B7D5E11" w14:textId="038E8C8B" w:rsidR="00F364FB" w:rsidRDefault="00F364FB" w:rsidP="00F364F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application for review be and is hereby dismissed.</w:t>
      </w:r>
    </w:p>
    <w:p w14:paraId="2FBB8B30" w14:textId="23FA1F4B" w:rsidR="00F364FB" w:rsidRDefault="004E3A37" w:rsidP="00F364FB">
      <w:pPr>
        <w:pStyle w:val="ListParagraph"/>
        <w:numPr>
          <w:ilvl w:val="0"/>
          <w:numId w:val="1"/>
        </w:numPr>
        <w:spacing w:after="0" w:line="360" w:lineRule="auto"/>
        <w:jc w:val="both"/>
        <w:rPr>
          <w:rFonts w:ascii="Times New Roman" w:hAnsi="Times New Roman" w:cs="Times New Roman"/>
        </w:rPr>
      </w:pPr>
      <w:r w:rsidRPr="00F364FB">
        <w:rPr>
          <w:rFonts w:ascii="Times New Roman" w:hAnsi="Times New Roman" w:cs="Times New Roman"/>
        </w:rPr>
        <w:t xml:space="preserve"> </w:t>
      </w:r>
      <w:r w:rsidR="00F364FB">
        <w:rPr>
          <w:rFonts w:ascii="Times New Roman" w:hAnsi="Times New Roman" w:cs="Times New Roman"/>
        </w:rPr>
        <w:t>There is no order as to costs.</w:t>
      </w:r>
    </w:p>
    <w:p w14:paraId="09E85012" w14:textId="77777777" w:rsidR="00F364FB" w:rsidRDefault="00F364FB" w:rsidP="00F364FB">
      <w:pPr>
        <w:spacing w:after="0" w:line="360" w:lineRule="auto"/>
        <w:jc w:val="both"/>
        <w:rPr>
          <w:rFonts w:ascii="Times New Roman" w:hAnsi="Times New Roman" w:cs="Times New Roman"/>
        </w:rPr>
      </w:pPr>
    </w:p>
    <w:p w14:paraId="2CBF068F" w14:textId="77022A35" w:rsidR="00F364FB" w:rsidRPr="005576CD" w:rsidRDefault="005576CD" w:rsidP="005576CD">
      <w:pPr>
        <w:spacing w:after="0" w:line="240" w:lineRule="auto"/>
        <w:jc w:val="both"/>
        <w:rPr>
          <w:rFonts w:ascii="Times New Roman" w:hAnsi="Times New Roman" w:cs="Times New Roman"/>
          <w:sz w:val="24"/>
          <w:szCs w:val="24"/>
        </w:rPr>
      </w:pPr>
      <w:r w:rsidRPr="005576CD">
        <w:rPr>
          <w:rFonts w:ascii="Times New Roman" w:hAnsi="Times New Roman" w:cs="Times New Roman"/>
          <w:i/>
          <w:iCs/>
          <w:sz w:val="24"/>
          <w:szCs w:val="24"/>
        </w:rPr>
        <w:t>Maposa and Ndomene Legal Practitioners</w:t>
      </w:r>
      <w:r w:rsidRPr="005576CD">
        <w:rPr>
          <w:rFonts w:ascii="Times New Roman" w:hAnsi="Times New Roman" w:cs="Times New Roman"/>
          <w:sz w:val="24"/>
          <w:szCs w:val="24"/>
        </w:rPr>
        <w:t>, applicants’ legal practitioners</w:t>
      </w:r>
    </w:p>
    <w:p w14:paraId="6B40B7C0" w14:textId="66EF6493" w:rsidR="005576CD" w:rsidRDefault="005576CD" w:rsidP="005576CD">
      <w:pPr>
        <w:spacing w:after="0" w:line="240" w:lineRule="auto"/>
        <w:jc w:val="both"/>
        <w:rPr>
          <w:rFonts w:ascii="Times New Roman" w:hAnsi="Times New Roman" w:cs="Times New Roman"/>
          <w:sz w:val="24"/>
          <w:szCs w:val="24"/>
        </w:rPr>
      </w:pPr>
      <w:r w:rsidRPr="005576CD">
        <w:rPr>
          <w:rFonts w:ascii="Times New Roman" w:hAnsi="Times New Roman" w:cs="Times New Roman"/>
          <w:i/>
          <w:iCs/>
          <w:sz w:val="24"/>
          <w:szCs w:val="24"/>
        </w:rPr>
        <w:t>National Prosecuting Authority</w:t>
      </w:r>
      <w:r w:rsidRPr="005576CD">
        <w:rPr>
          <w:rFonts w:ascii="Times New Roman" w:hAnsi="Times New Roman" w:cs="Times New Roman"/>
          <w:sz w:val="24"/>
          <w:szCs w:val="24"/>
        </w:rPr>
        <w:t>, respondents’ legal practitioners</w:t>
      </w:r>
    </w:p>
    <w:p w14:paraId="684F4BE8" w14:textId="77777777" w:rsidR="005576CD" w:rsidRPr="005576CD" w:rsidRDefault="005576CD" w:rsidP="005576CD">
      <w:pPr>
        <w:spacing w:after="0" w:line="240" w:lineRule="auto"/>
        <w:jc w:val="both"/>
        <w:rPr>
          <w:rFonts w:ascii="Times New Roman" w:hAnsi="Times New Roman" w:cs="Times New Roman"/>
          <w:sz w:val="24"/>
          <w:szCs w:val="24"/>
        </w:rPr>
      </w:pPr>
    </w:p>
    <w:p w14:paraId="2C3D09FA" w14:textId="77777777" w:rsidR="00F364FB" w:rsidRDefault="00F364FB" w:rsidP="00F364FB">
      <w:pPr>
        <w:spacing w:after="0" w:line="360" w:lineRule="auto"/>
        <w:jc w:val="both"/>
        <w:rPr>
          <w:rFonts w:ascii="Times New Roman" w:hAnsi="Times New Roman" w:cs="Times New Roman"/>
        </w:rPr>
      </w:pPr>
    </w:p>
    <w:p w14:paraId="73B96A46" w14:textId="5D0F5F53" w:rsidR="00F364FB" w:rsidRPr="00F364FB" w:rsidRDefault="00F364FB" w:rsidP="00F364FB">
      <w:pPr>
        <w:spacing w:after="0" w:line="360" w:lineRule="auto"/>
        <w:jc w:val="both"/>
        <w:rPr>
          <w:rFonts w:ascii="Times New Roman" w:hAnsi="Times New Roman" w:cs="Times New Roman"/>
        </w:rPr>
      </w:pPr>
      <w:r w:rsidRPr="007574AC">
        <w:rPr>
          <w:rFonts w:ascii="Times New Roman" w:hAnsi="Times New Roman" w:cs="Times New Roman"/>
          <w:b/>
          <w:bCs/>
          <w:smallCaps/>
        </w:rPr>
        <w:t>Takuva</w:t>
      </w:r>
      <w:r w:rsidRPr="007574AC">
        <w:rPr>
          <w:rFonts w:ascii="Times New Roman" w:hAnsi="Times New Roman" w:cs="Times New Roman"/>
          <w:b/>
          <w:bCs/>
        </w:rPr>
        <w:t xml:space="preserve"> J</w:t>
      </w:r>
      <w:r>
        <w:rPr>
          <w:rFonts w:ascii="Times New Roman" w:hAnsi="Times New Roman" w:cs="Times New Roman"/>
        </w:rPr>
        <w:t>:………………………………..</w:t>
      </w:r>
    </w:p>
    <w:p w14:paraId="77E23DC4" w14:textId="1E1AEDAF" w:rsidR="00775692" w:rsidRDefault="00681CFA" w:rsidP="007756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C3540">
        <w:rPr>
          <w:rFonts w:ascii="Times New Roman" w:hAnsi="Times New Roman" w:cs="Times New Roman"/>
          <w:sz w:val="24"/>
          <w:szCs w:val="24"/>
        </w:rPr>
        <w:t xml:space="preserve"> </w:t>
      </w:r>
      <w:r w:rsidR="0043517F">
        <w:rPr>
          <w:rFonts w:ascii="Times New Roman" w:hAnsi="Times New Roman" w:cs="Times New Roman"/>
          <w:sz w:val="24"/>
          <w:szCs w:val="24"/>
        </w:rPr>
        <w:t xml:space="preserve"> </w:t>
      </w:r>
    </w:p>
    <w:p w14:paraId="667EF9ED" w14:textId="4E2C05DD" w:rsidR="005C5861" w:rsidRDefault="00775692" w:rsidP="007756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1628B">
        <w:rPr>
          <w:rFonts w:ascii="Times New Roman" w:hAnsi="Times New Roman" w:cs="Times New Roman"/>
          <w:sz w:val="24"/>
          <w:szCs w:val="24"/>
        </w:rPr>
        <w:t xml:space="preserve"> </w:t>
      </w:r>
      <w:r w:rsidR="005C5861">
        <w:rPr>
          <w:rFonts w:ascii="Times New Roman" w:hAnsi="Times New Roman" w:cs="Times New Roman"/>
          <w:sz w:val="24"/>
          <w:szCs w:val="24"/>
        </w:rPr>
        <w:t xml:space="preserve"> </w:t>
      </w:r>
    </w:p>
    <w:p w14:paraId="60CE12D4" w14:textId="65C53E3A" w:rsidR="005C5861" w:rsidRDefault="005C5861" w:rsidP="005C58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F17D3EB" w14:textId="7C271060" w:rsidR="00A84FF0" w:rsidRDefault="005C5861" w:rsidP="00B73A57">
      <w:pPr>
        <w:spacing w:line="360" w:lineRule="auto"/>
        <w:ind w:firstLine="720"/>
        <w:jc w:val="both"/>
      </w:pPr>
      <w:r>
        <w:rPr>
          <w:rFonts w:ascii="Times New Roman" w:hAnsi="Times New Roman" w:cs="Times New Roman"/>
          <w:sz w:val="24"/>
          <w:szCs w:val="24"/>
        </w:rPr>
        <w:lastRenderedPageBreak/>
        <w:t xml:space="preserve"> </w:t>
      </w:r>
    </w:p>
    <w:sectPr w:rsidR="00A84F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750A5" w14:textId="77777777" w:rsidR="00454C45" w:rsidRDefault="00454C45" w:rsidP="00B85EDC">
      <w:pPr>
        <w:spacing w:after="0" w:line="240" w:lineRule="auto"/>
      </w:pPr>
      <w:r>
        <w:separator/>
      </w:r>
    </w:p>
  </w:endnote>
  <w:endnote w:type="continuationSeparator" w:id="0">
    <w:p w14:paraId="0B62E47E" w14:textId="77777777" w:rsidR="00454C45" w:rsidRDefault="00454C45" w:rsidP="00B8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0840" w14:textId="77777777" w:rsidR="00454C45" w:rsidRDefault="00454C45" w:rsidP="00B85EDC">
      <w:pPr>
        <w:spacing w:after="0" w:line="240" w:lineRule="auto"/>
      </w:pPr>
      <w:r>
        <w:separator/>
      </w:r>
    </w:p>
  </w:footnote>
  <w:footnote w:type="continuationSeparator" w:id="0">
    <w:p w14:paraId="6832D949" w14:textId="77777777" w:rsidR="00454C45" w:rsidRDefault="00454C45" w:rsidP="00B85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161138"/>
      <w:docPartObj>
        <w:docPartGallery w:val="Page Numbers (Top of Page)"/>
        <w:docPartUnique/>
      </w:docPartObj>
    </w:sdtPr>
    <w:sdtEndPr>
      <w:rPr>
        <w:noProof/>
      </w:rPr>
    </w:sdtEndPr>
    <w:sdtContent>
      <w:p w14:paraId="163F6004" w14:textId="04C83DAE" w:rsidR="00B85EDC" w:rsidRDefault="00B85EDC">
        <w:pPr>
          <w:pStyle w:val="Header"/>
          <w:jc w:val="right"/>
          <w:rPr>
            <w:noProof/>
          </w:rPr>
        </w:pPr>
        <w:r>
          <w:fldChar w:fldCharType="begin"/>
        </w:r>
        <w:r>
          <w:instrText xml:space="preserve"> PAGE   \* MERGEFORMAT </w:instrText>
        </w:r>
        <w:r>
          <w:fldChar w:fldCharType="separate"/>
        </w:r>
        <w:r w:rsidR="00691C43">
          <w:rPr>
            <w:noProof/>
          </w:rPr>
          <w:t>1</w:t>
        </w:r>
        <w:r>
          <w:rPr>
            <w:noProof/>
          </w:rPr>
          <w:fldChar w:fldCharType="end"/>
        </w:r>
      </w:p>
      <w:p w14:paraId="3938F8A8" w14:textId="0801E13B" w:rsidR="00B85EDC" w:rsidRDefault="00B85EDC">
        <w:pPr>
          <w:pStyle w:val="Header"/>
          <w:jc w:val="right"/>
          <w:rPr>
            <w:noProof/>
          </w:rPr>
        </w:pPr>
        <w:r>
          <w:rPr>
            <w:noProof/>
          </w:rPr>
          <w:t>HH</w:t>
        </w:r>
        <w:r w:rsidR="005E09B0">
          <w:rPr>
            <w:noProof/>
          </w:rPr>
          <w:t xml:space="preserve"> 80-25</w:t>
        </w:r>
      </w:p>
      <w:p w14:paraId="013327B0" w14:textId="77777777" w:rsidR="00B85EDC" w:rsidRDefault="00B85EDC">
        <w:pPr>
          <w:pStyle w:val="Header"/>
          <w:jc w:val="right"/>
          <w:rPr>
            <w:noProof/>
          </w:rPr>
        </w:pPr>
        <w:r>
          <w:rPr>
            <w:noProof/>
          </w:rPr>
          <w:t>HCH 6346/23</w:t>
        </w:r>
      </w:p>
      <w:p w14:paraId="1926FB2F" w14:textId="56431F36" w:rsidR="00B85EDC" w:rsidRDefault="00B85EDC">
        <w:pPr>
          <w:pStyle w:val="Header"/>
          <w:jc w:val="right"/>
        </w:pPr>
        <w:r>
          <w:rPr>
            <w:noProof/>
          </w:rPr>
          <w:t>Ref CRB NO. HRE P1149/21</w:t>
        </w:r>
      </w:p>
    </w:sdtContent>
  </w:sdt>
  <w:p w14:paraId="69A778BB" w14:textId="77777777" w:rsidR="00B85EDC" w:rsidRDefault="00B85E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6464"/>
    <w:multiLevelType w:val="hybridMultilevel"/>
    <w:tmpl w:val="E30E22EE"/>
    <w:lvl w:ilvl="0" w:tplc="A85C4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DC"/>
    <w:rsid w:val="00037D48"/>
    <w:rsid w:val="000B0AE2"/>
    <w:rsid w:val="00106CFA"/>
    <w:rsid w:val="00182313"/>
    <w:rsid w:val="00210823"/>
    <w:rsid w:val="00211E63"/>
    <w:rsid w:val="0022128C"/>
    <w:rsid w:val="0024727D"/>
    <w:rsid w:val="00333440"/>
    <w:rsid w:val="003C3D10"/>
    <w:rsid w:val="0043517F"/>
    <w:rsid w:val="00454C45"/>
    <w:rsid w:val="0049076A"/>
    <w:rsid w:val="004A628E"/>
    <w:rsid w:val="004B1292"/>
    <w:rsid w:val="004D51D0"/>
    <w:rsid w:val="004E3A37"/>
    <w:rsid w:val="00506F88"/>
    <w:rsid w:val="005576CD"/>
    <w:rsid w:val="005C5861"/>
    <w:rsid w:val="005E09B0"/>
    <w:rsid w:val="005F1400"/>
    <w:rsid w:val="00681CFA"/>
    <w:rsid w:val="006857D6"/>
    <w:rsid w:val="00691C43"/>
    <w:rsid w:val="006F2A45"/>
    <w:rsid w:val="006F3072"/>
    <w:rsid w:val="007057D6"/>
    <w:rsid w:val="00706F92"/>
    <w:rsid w:val="00752B60"/>
    <w:rsid w:val="007574AC"/>
    <w:rsid w:val="007576F9"/>
    <w:rsid w:val="00775692"/>
    <w:rsid w:val="00871048"/>
    <w:rsid w:val="008A3800"/>
    <w:rsid w:val="00900037"/>
    <w:rsid w:val="00947AA2"/>
    <w:rsid w:val="009F55AC"/>
    <w:rsid w:val="00A230FC"/>
    <w:rsid w:val="00A26C40"/>
    <w:rsid w:val="00A639D9"/>
    <w:rsid w:val="00A84FF0"/>
    <w:rsid w:val="00AD311C"/>
    <w:rsid w:val="00B1628B"/>
    <w:rsid w:val="00B73A57"/>
    <w:rsid w:val="00B85EDC"/>
    <w:rsid w:val="00C2796A"/>
    <w:rsid w:val="00CC3540"/>
    <w:rsid w:val="00DA680E"/>
    <w:rsid w:val="00E635BD"/>
    <w:rsid w:val="00E77E54"/>
    <w:rsid w:val="00F364FB"/>
    <w:rsid w:val="00F7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A60"/>
  <w15:chartTrackingRefBased/>
  <w15:docId w15:val="{4837765E-9836-4E57-AAC0-D9C6802E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DC"/>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5ED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5ED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5ED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5ED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5ED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5ED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5ED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5ED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5ED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E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E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E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E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EDC"/>
    <w:rPr>
      <w:rFonts w:eastAsiaTheme="majorEastAsia" w:cstheme="majorBidi"/>
      <w:color w:val="272727" w:themeColor="text1" w:themeTint="D8"/>
    </w:rPr>
  </w:style>
  <w:style w:type="paragraph" w:styleId="Title">
    <w:name w:val="Title"/>
    <w:basedOn w:val="Normal"/>
    <w:next w:val="Normal"/>
    <w:link w:val="TitleChar"/>
    <w:uiPriority w:val="10"/>
    <w:qFormat/>
    <w:rsid w:val="00B85E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5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ED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5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ED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5EDC"/>
    <w:rPr>
      <w:i/>
      <w:iCs/>
      <w:color w:val="404040" w:themeColor="text1" w:themeTint="BF"/>
    </w:rPr>
  </w:style>
  <w:style w:type="paragraph" w:styleId="ListParagraph">
    <w:name w:val="List Paragraph"/>
    <w:basedOn w:val="Normal"/>
    <w:uiPriority w:val="34"/>
    <w:qFormat/>
    <w:rsid w:val="00B85ED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5EDC"/>
    <w:rPr>
      <w:i/>
      <w:iCs/>
      <w:color w:val="2F5496" w:themeColor="accent1" w:themeShade="BF"/>
    </w:rPr>
  </w:style>
  <w:style w:type="paragraph" w:styleId="IntenseQuote">
    <w:name w:val="Intense Quote"/>
    <w:basedOn w:val="Normal"/>
    <w:next w:val="Normal"/>
    <w:link w:val="IntenseQuoteChar"/>
    <w:uiPriority w:val="30"/>
    <w:qFormat/>
    <w:rsid w:val="00B85E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5EDC"/>
    <w:rPr>
      <w:i/>
      <w:iCs/>
      <w:color w:val="2F5496" w:themeColor="accent1" w:themeShade="BF"/>
    </w:rPr>
  </w:style>
  <w:style w:type="character" w:styleId="IntenseReference">
    <w:name w:val="Intense Reference"/>
    <w:basedOn w:val="DefaultParagraphFont"/>
    <w:uiPriority w:val="32"/>
    <w:qFormat/>
    <w:rsid w:val="00B85EDC"/>
    <w:rPr>
      <w:b/>
      <w:bCs/>
      <w:smallCaps/>
      <w:color w:val="2F5496" w:themeColor="accent1" w:themeShade="BF"/>
      <w:spacing w:val="5"/>
    </w:rPr>
  </w:style>
  <w:style w:type="paragraph" w:styleId="Header">
    <w:name w:val="header"/>
    <w:basedOn w:val="Normal"/>
    <w:link w:val="HeaderChar"/>
    <w:uiPriority w:val="99"/>
    <w:unhideWhenUsed/>
    <w:rsid w:val="00B85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DC"/>
    <w:rPr>
      <w:kern w:val="0"/>
      <w:sz w:val="22"/>
      <w:szCs w:val="22"/>
      <w14:ligatures w14:val="none"/>
    </w:rPr>
  </w:style>
  <w:style w:type="paragraph" w:styleId="Footer">
    <w:name w:val="footer"/>
    <w:basedOn w:val="Normal"/>
    <w:link w:val="FooterChar"/>
    <w:uiPriority w:val="99"/>
    <w:unhideWhenUsed/>
    <w:rsid w:val="00B8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2025-02-14T09:54:00Z</dcterms:created>
  <dcterms:modified xsi:type="dcterms:W3CDTF">2025-02-14T09:54:00Z</dcterms:modified>
</cp:coreProperties>
</file>