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83" w:rsidRDefault="00E37C83" w:rsidP="00E37C8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A01279">
        <w:rPr>
          <w:b/>
          <w:sz w:val="22"/>
          <w:szCs w:val="22"/>
        </w:rPr>
        <w:t>373</w:t>
      </w:r>
      <w:bookmarkStart w:id="0" w:name="_GoBack"/>
      <w:bookmarkEnd w:id="0"/>
      <w:r>
        <w:rPr>
          <w:b/>
          <w:sz w:val="22"/>
          <w:szCs w:val="22"/>
        </w:rPr>
        <w:t>/2016</w:t>
      </w:r>
    </w:p>
    <w:p w:rsidR="00E37C83" w:rsidRDefault="00E37C83" w:rsidP="00E37C8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12 MAY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  <w:t xml:space="preserve">       CASE NO. LC/H/APP/1372/15</w:t>
      </w:r>
    </w:p>
    <w:p w:rsidR="00E37C83" w:rsidRDefault="00E37C83" w:rsidP="00E37C8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 10 JUNE 2016</w:t>
      </w:r>
    </w:p>
    <w:p w:rsidR="00E37C83" w:rsidRDefault="00E37C83" w:rsidP="00E37C83">
      <w:pPr>
        <w:spacing w:line="360" w:lineRule="auto"/>
        <w:jc w:val="both"/>
      </w:pPr>
      <w:r>
        <w:t>In the matter between:-</w:t>
      </w:r>
    </w:p>
    <w:p w:rsidR="00E37C83" w:rsidRDefault="00E37C83" w:rsidP="00E37C83">
      <w:pPr>
        <w:spacing w:line="360" w:lineRule="auto"/>
        <w:jc w:val="both"/>
      </w:pPr>
    </w:p>
    <w:p w:rsidR="00E37C83" w:rsidRDefault="00523421" w:rsidP="00E37C83">
      <w:pPr>
        <w:spacing w:line="360" w:lineRule="auto"/>
        <w:jc w:val="both"/>
        <w:rPr>
          <w:b/>
        </w:rPr>
      </w:pPr>
      <w:r>
        <w:rPr>
          <w:b/>
        </w:rPr>
        <w:t>STAYSUN INVESTMENTS (PVT)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Applicant</w:t>
      </w:r>
      <w:r w:rsidR="00E37C83">
        <w:rPr>
          <w:b/>
        </w:rPr>
        <w:t xml:space="preserve"> </w:t>
      </w:r>
    </w:p>
    <w:p w:rsidR="00E37C83" w:rsidRDefault="00E37C83" w:rsidP="00E37C8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E37C83" w:rsidRDefault="00523421" w:rsidP="00E37C83">
      <w:pPr>
        <w:spacing w:line="360" w:lineRule="auto"/>
        <w:jc w:val="both"/>
        <w:rPr>
          <w:b/>
        </w:rPr>
      </w:pPr>
      <w:r>
        <w:rPr>
          <w:b/>
        </w:rPr>
        <w:t>SOPHIA MUNEMO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37C83">
        <w:rPr>
          <w:b/>
        </w:rPr>
        <w:tab/>
      </w:r>
      <w:r w:rsidR="00E37C83">
        <w:rPr>
          <w:b/>
        </w:rPr>
        <w:tab/>
      </w:r>
      <w:r w:rsidR="00E37C83">
        <w:rPr>
          <w:b/>
        </w:rPr>
        <w:tab/>
      </w:r>
      <w:r w:rsidR="00E37C83">
        <w:rPr>
          <w:b/>
        </w:rPr>
        <w:tab/>
      </w:r>
      <w:r w:rsidR="00E37C83">
        <w:rPr>
          <w:b/>
        </w:rPr>
        <w:tab/>
        <w:t>Respondent</w:t>
      </w:r>
    </w:p>
    <w:p w:rsidR="00C141AE" w:rsidRDefault="00C141AE" w:rsidP="00C141AE">
      <w:pPr>
        <w:spacing w:line="360" w:lineRule="auto"/>
        <w:jc w:val="both"/>
        <w:rPr>
          <w:b/>
        </w:rPr>
      </w:pPr>
    </w:p>
    <w:p w:rsidR="00C141AE" w:rsidRDefault="00C141AE" w:rsidP="00C141AE">
      <w:pPr>
        <w:spacing w:line="360" w:lineRule="auto"/>
        <w:jc w:val="both"/>
      </w:pPr>
      <w:r>
        <w:t>Before The Honourable F.C. Maxwell, Judge</w:t>
      </w:r>
    </w:p>
    <w:p w:rsidR="00E37C83" w:rsidRDefault="00E37C83" w:rsidP="00E37C83">
      <w:pPr>
        <w:spacing w:line="360" w:lineRule="auto"/>
        <w:jc w:val="both"/>
      </w:pPr>
    </w:p>
    <w:p w:rsidR="00E37C83" w:rsidRDefault="00E37C83" w:rsidP="00E37C83">
      <w:pPr>
        <w:spacing w:line="360" w:lineRule="auto"/>
        <w:jc w:val="both"/>
      </w:pPr>
    </w:p>
    <w:p w:rsidR="00E37C83" w:rsidRDefault="00836BC8" w:rsidP="00E37C83">
      <w:pPr>
        <w:spacing w:line="360" w:lineRule="auto"/>
        <w:jc w:val="both"/>
        <w:rPr>
          <w:b/>
        </w:rPr>
      </w:pPr>
      <w:r>
        <w:rPr>
          <w:b/>
        </w:rPr>
        <w:t>For Applicant</w:t>
      </w:r>
      <w:r w:rsidR="00E37C83">
        <w:rPr>
          <w:b/>
        </w:rPr>
        <w:tab/>
      </w:r>
      <w:r w:rsidR="00E37C83">
        <w:rPr>
          <w:b/>
        </w:rPr>
        <w:tab/>
      </w:r>
      <w:r>
        <w:rPr>
          <w:b/>
        </w:rPr>
        <w:t>Ms C. Malaba (Legal Practitioner)</w:t>
      </w:r>
      <w:r w:rsidR="00E37C83">
        <w:rPr>
          <w:b/>
        </w:rPr>
        <w:tab/>
      </w:r>
    </w:p>
    <w:p w:rsidR="00E37C83" w:rsidRDefault="00E37C83" w:rsidP="00E37C83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Ms </w:t>
      </w:r>
      <w:r w:rsidR="00836BC8">
        <w:rPr>
          <w:b/>
        </w:rPr>
        <w:t>P. Kashiri</w:t>
      </w:r>
      <w:r>
        <w:rPr>
          <w:b/>
        </w:rPr>
        <w:t xml:space="preserve"> (Legal Practitioner)</w:t>
      </w:r>
    </w:p>
    <w:p w:rsidR="00E37C83" w:rsidRDefault="00E37C83" w:rsidP="00E37C83">
      <w:pPr>
        <w:spacing w:line="360" w:lineRule="auto"/>
        <w:jc w:val="both"/>
        <w:rPr>
          <w:b/>
          <w:sz w:val="28"/>
          <w:szCs w:val="28"/>
        </w:rPr>
      </w:pPr>
    </w:p>
    <w:p w:rsidR="00E37C83" w:rsidRDefault="00E37C83" w:rsidP="00E37C83">
      <w:pPr>
        <w:rPr>
          <w:b/>
        </w:rPr>
      </w:pPr>
      <w:r>
        <w:rPr>
          <w:b/>
        </w:rPr>
        <w:t>MAXWELL, J</w:t>
      </w:r>
    </w:p>
    <w:p w:rsidR="00E37C83" w:rsidRDefault="00E37C83" w:rsidP="00E37C83">
      <w:pPr>
        <w:rPr>
          <w:b/>
        </w:rPr>
      </w:pPr>
    </w:p>
    <w:p w:rsidR="00A435B4" w:rsidRDefault="00CE66D3" w:rsidP="00DD152D">
      <w:pPr>
        <w:spacing w:line="360" w:lineRule="auto"/>
        <w:jc w:val="both"/>
      </w:pPr>
    </w:p>
    <w:p w:rsidR="00DD152D" w:rsidRDefault="00DD152D" w:rsidP="00B70658">
      <w:pPr>
        <w:spacing w:line="360" w:lineRule="auto"/>
        <w:ind w:firstLine="720"/>
        <w:jc w:val="both"/>
      </w:pPr>
      <w:r>
        <w:t>At the hearing of this matter I dismissed the application with costs and indicated that reason</w:t>
      </w:r>
      <w:r w:rsidR="00B70658">
        <w:t>s would follow.  These are they;</w:t>
      </w:r>
    </w:p>
    <w:p w:rsidR="00B70658" w:rsidRDefault="00B70658" w:rsidP="0005656B">
      <w:pPr>
        <w:ind w:firstLine="720"/>
        <w:jc w:val="both"/>
      </w:pPr>
    </w:p>
    <w:p w:rsidR="00B70658" w:rsidRDefault="00B70658" w:rsidP="00B70658">
      <w:pPr>
        <w:spacing w:line="360" w:lineRule="auto"/>
        <w:ind w:firstLine="720"/>
        <w:jc w:val="both"/>
      </w:pPr>
      <w:r>
        <w:t xml:space="preserve">On 15 </w:t>
      </w:r>
      <w:r w:rsidR="00676726">
        <w:t xml:space="preserve">October 2015 I dismissed the </w:t>
      </w:r>
      <w:r w:rsidR="00795F89">
        <w:t xml:space="preserve">applicant’s appeal with costs.  At that hearing applicant was represented by one Witness Mapamba, </w:t>
      </w:r>
      <w:r w:rsidR="00813FA6">
        <w:t>a human resources officer.  On 12 November 2015 applicant filed an application for leave to appeal in terms of section 92F (2) of the Labour Act [Chapter 28:01].  Applicant was now re</w:t>
      </w:r>
      <w:r w:rsidR="008816CD">
        <w:t>pre</w:t>
      </w:r>
      <w:r w:rsidR="00813FA6">
        <w:t xml:space="preserve">sented by counsel.  </w:t>
      </w:r>
      <w:r w:rsidR="001D3883">
        <w:t>The founding affidavit to the application was deposed to by Witness Mapamba.  The intended grounds of appeal are;</w:t>
      </w:r>
    </w:p>
    <w:p w:rsidR="001D3883" w:rsidRDefault="001D3883" w:rsidP="0005656B">
      <w:pPr>
        <w:ind w:firstLine="720"/>
        <w:jc w:val="both"/>
      </w:pPr>
    </w:p>
    <w:p w:rsidR="001D3883" w:rsidRDefault="0060281C" w:rsidP="001D3883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C</w:t>
      </w:r>
      <w:r w:rsidR="001D3883">
        <w:t xml:space="preserve">ourt </w:t>
      </w:r>
      <w:r w:rsidR="001D3883" w:rsidRPr="00C15C33">
        <w:rPr>
          <w:i/>
        </w:rPr>
        <w:t>a quo</w:t>
      </w:r>
      <w:r w:rsidR="001D3883">
        <w:t xml:space="preserve"> erred in law in finding, as it must be </w:t>
      </w:r>
      <w:r w:rsidR="00B34695">
        <w:t>taken to have done, that the respondent had worked</w:t>
      </w:r>
      <w:r w:rsidR="005B4A62">
        <w:t xml:space="preserve"> overtime in terms of the CBA and was accordingly entitled to payment thereof.</w:t>
      </w:r>
    </w:p>
    <w:p w:rsidR="005B4A62" w:rsidRDefault="005B4A62" w:rsidP="001D3883">
      <w:pPr>
        <w:pStyle w:val="ListParagraph"/>
        <w:numPr>
          <w:ilvl w:val="0"/>
          <w:numId w:val="1"/>
        </w:numPr>
        <w:spacing w:line="360" w:lineRule="auto"/>
        <w:jc w:val="both"/>
      </w:pPr>
      <w:r>
        <w:lastRenderedPageBreak/>
        <w:t xml:space="preserve">The court </w:t>
      </w:r>
      <w:r w:rsidRPr="00C15C33">
        <w:rPr>
          <w:i/>
        </w:rPr>
        <w:t>a quo</w:t>
      </w:r>
      <w:r>
        <w:t xml:space="preserve"> erred in law in finding that there was proper quantification </w:t>
      </w:r>
      <w:r w:rsidR="0060281C">
        <w:t xml:space="preserve">of cash in lieu of </w:t>
      </w:r>
      <w:r w:rsidR="009E084C">
        <w:t>overtime</w:t>
      </w:r>
      <w:r w:rsidR="0060281C">
        <w:t xml:space="preserve"> when the respondent produced no evidence to prove the figures claimed.</w:t>
      </w:r>
    </w:p>
    <w:p w:rsidR="0060281C" w:rsidRDefault="0060281C" w:rsidP="001D3883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The Court </w:t>
      </w:r>
      <w:r w:rsidR="005B4757" w:rsidRPr="00C15C33">
        <w:rPr>
          <w:i/>
        </w:rPr>
        <w:t>a quo</w:t>
      </w:r>
      <w:r w:rsidR="005B4757">
        <w:t xml:space="preserve"> erred in law in finding, as it must be taken to have done, that the appellant breached the</w:t>
      </w:r>
      <w:r w:rsidR="00591040">
        <w:t xml:space="preserve"> provision of the relevant Collective Bargaining Agreement in respect of overtime. </w:t>
      </w:r>
    </w:p>
    <w:p w:rsidR="00843278" w:rsidRDefault="00843278" w:rsidP="0005656B">
      <w:pPr>
        <w:jc w:val="both"/>
      </w:pPr>
    </w:p>
    <w:p w:rsidR="00843278" w:rsidRDefault="00843278" w:rsidP="00843278">
      <w:pPr>
        <w:spacing w:line="360" w:lineRule="auto"/>
        <w:ind w:firstLine="720"/>
        <w:jc w:val="both"/>
      </w:pPr>
      <w:r>
        <w:t>In response respondent averred that the appeal lacks merit and is frivolous.</w:t>
      </w:r>
      <w:r w:rsidR="00C5732F">
        <w:t xml:space="preserve">  Further that the appeal is not</w:t>
      </w:r>
      <w:r>
        <w:t xml:space="preserve"> on a question of law as required by section 98 (10) of the Act and therefore the matter should be dismissed with costs.</w:t>
      </w:r>
    </w:p>
    <w:p w:rsidR="00843278" w:rsidRDefault="00843278" w:rsidP="0005656B">
      <w:pPr>
        <w:ind w:firstLine="720"/>
        <w:jc w:val="both"/>
      </w:pPr>
    </w:p>
    <w:p w:rsidR="00843278" w:rsidRDefault="00843278" w:rsidP="00843278">
      <w:pPr>
        <w:spacing w:line="360" w:lineRule="auto"/>
        <w:ind w:firstLine="720"/>
        <w:jc w:val="both"/>
      </w:pPr>
      <w:r>
        <w:t>Counsel for applicant</w:t>
      </w:r>
      <w:r w:rsidR="00BF0BEE">
        <w:t>’s oral submissions mainly addressed issues in the arbitral award</w:t>
      </w:r>
      <w:r>
        <w:t>.</w:t>
      </w:r>
      <w:r w:rsidR="00BF0BEE">
        <w:t xml:space="preserve">  </w:t>
      </w:r>
      <w:r w:rsidR="00772CE3">
        <w:t xml:space="preserve">No submissions were made pertaining to the judgment of this court.  It was apparent that counsel for </w:t>
      </w:r>
      <w:r w:rsidR="002C18A5">
        <w:t>applicant</w:t>
      </w:r>
      <w:r w:rsidR="00772CE3">
        <w:t xml:space="preserve"> had not bothered to peruse the record of</w:t>
      </w:r>
      <w:r w:rsidR="00917CDB">
        <w:t xml:space="preserve"> proceedings before launching </w:t>
      </w:r>
      <w:r w:rsidR="005D1CC3">
        <w:t>the</w:t>
      </w:r>
      <w:r w:rsidR="000B52F7">
        <w:t xml:space="preserve"> application for leave to</w:t>
      </w:r>
      <w:r w:rsidR="005D1CC3">
        <w:t xml:space="preserve"> appeal.  Counsel was of the view that the Court had issued an order without any reasons.</w:t>
      </w:r>
    </w:p>
    <w:p w:rsidR="005D1CC3" w:rsidRDefault="005D1CC3" w:rsidP="0005656B">
      <w:pPr>
        <w:ind w:firstLine="720"/>
        <w:jc w:val="both"/>
      </w:pPr>
    </w:p>
    <w:p w:rsidR="005D1CC3" w:rsidRDefault="005D1CC3" w:rsidP="00843278">
      <w:pPr>
        <w:spacing w:line="360" w:lineRule="auto"/>
        <w:ind w:firstLine="720"/>
        <w:jc w:val="both"/>
      </w:pPr>
      <w:r>
        <w:t xml:space="preserve">The record of the proceedings of 15 October </w:t>
      </w:r>
      <w:r w:rsidR="0025117A">
        <w:t xml:space="preserve">2015 shows that the Court gave a ruling with four points, the last of which was the order that the Appeal has no merit and therefore </w:t>
      </w:r>
      <w:r w:rsidR="009443AF">
        <w:t>is dismissed with costs.</w:t>
      </w:r>
    </w:p>
    <w:p w:rsidR="00F04E4F" w:rsidRDefault="00F04E4F" w:rsidP="0005656B">
      <w:pPr>
        <w:ind w:firstLine="720"/>
        <w:jc w:val="both"/>
      </w:pPr>
    </w:p>
    <w:p w:rsidR="00F04E4F" w:rsidRDefault="00F04E4F" w:rsidP="00843278">
      <w:pPr>
        <w:spacing w:line="360" w:lineRule="auto"/>
        <w:ind w:firstLine="720"/>
        <w:jc w:val="both"/>
      </w:pPr>
      <w:r>
        <w:t xml:space="preserve">An application of this nature is governed by section 92F of the Labour Act [Chapter 28:01] as well as rule 36 of </w:t>
      </w:r>
      <w:r w:rsidR="00216C26">
        <w:t>this</w:t>
      </w:r>
      <w:r>
        <w:t xml:space="preserve"> Court’s rules, SI 59/06.  The application must</w:t>
      </w:r>
    </w:p>
    <w:p w:rsidR="00F03514" w:rsidRDefault="00F03514" w:rsidP="00F03514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be </w:t>
      </w:r>
      <w:r w:rsidR="00ED7FA0">
        <w:t>on a question of law;</w:t>
      </w:r>
    </w:p>
    <w:p w:rsidR="00A56D43" w:rsidRDefault="00ED7FA0" w:rsidP="00F03514">
      <w:pPr>
        <w:pStyle w:val="ListParagraph"/>
        <w:numPr>
          <w:ilvl w:val="0"/>
          <w:numId w:val="2"/>
        </w:numPr>
        <w:spacing w:line="360" w:lineRule="auto"/>
        <w:jc w:val="both"/>
      </w:pPr>
      <w:r>
        <w:t>be made within thirty days from the date of the decision sought to be appealed against</w:t>
      </w:r>
      <w:r w:rsidR="00A56D43">
        <w:t>; and</w:t>
      </w:r>
    </w:p>
    <w:p w:rsidR="0005656B" w:rsidRDefault="0005656B" w:rsidP="0005656B">
      <w:pPr>
        <w:pStyle w:val="ListParagraph"/>
        <w:ind w:left="1080"/>
        <w:jc w:val="both"/>
      </w:pPr>
    </w:p>
    <w:p w:rsidR="00DB41DB" w:rsidRDefault="00A56D43" w:rsidP="00A56D43">
      <w:pPr>
        <w:spacing w:line="360" w:lineRule="auto"/>
        <w:jc w:val="both"/>
      </w:pPr>
      <w:r>
        <w:t>There must be prospects of success on a</w:t>
      </w:r>
      <w:r w:rsidR="002D22B2">
        <w:t xml:space="preserve">ppeal.  I am </w:t>
      </w:r>
      <w:r w:rsidR="00BB3554">
        <w:t>satisfied that the application was filed timeously.  I am convinced that the respondent’s objection is well taken.  The intended grounds of appeal do not raise any question of law.  In any event the</w:t>
      </w:r>
      <w:r w:rsidR="00A75B74">
        <w:t xml:space="preserve"> applicant’s representative in the hear</w:t>
      </w:r>
      <w:r w:rsidR="000B52F7">
        <w:t>ing</w:t>
      </w:r>
      <w:r w:rsidR="00A75B74">
        <w:t xml:space="preserve"> </w:t>
      </w:r>
      <w:r w:rsidR="00A75B74" w:rsidRPr="00E013E0">
        <w:rPr>
          <w:i/>
        </w:rPr>
        <w:t>a quo</w:t>
      </w:r>
      <w:r w:rsidR="00A75B74">
        <w:t xml:space="preserve"> made admissions that </w:t>
      </w:r>
      <w:r w:rsidR="00E013E0">
        <w:t>had</w:t>
      </w:r>
      <w:r w:rsidR="00A75B74">
        <w:t xml:space="preserve"> the effect of justifying</w:t>
      </w:r>
      <w:r w:rsidR="00DB41DB">
        <w:t xml:space="preserve"> the findings of the arbitrator.</w:t>
      </w:r>
    </w:p>
    <w:p w:rsidR="0005656B" w:rsidRDefault="0005656B" w:rsidP="0005656B">
      <w:pPr>
        <w:jc w:val="both"/>
      </w:pPr>
    </w:p>
    <w:p w:rsidR="00FB1B55" w:rsidRDefault="00DB41DB" w:rsidP="00A56D43">
      <w:pPr>
        <w:spacing w:line="360" w:lineRule="auto"/>
        <w:jc w:val="both"/>
      </w:pPr>
      <w:r>
        <w:lastRenderedPageBreak/>
        <w:t>It is for these reasons that the application was dismissed with costs.</w:t>
      </w:r>
      <w:r w:rsidR="00BB3554">
        <w:t xml:space="preserve"> </w:t>
      </w:r>
    </w:p>
    <w:p w:rsidR="00FB1B55" w:rsidRDefault="00FB1B55" w:rsidP="00A56D43">
      <w:pPr>
        <w:spacing w:line="360" w:lineRule="auto"/>
        <w:jc w:val="both"/>
      </w:pPr>
    </w:p>
    <w:p w:rsidR="00FB1B55" w:rsidRDefault="00FB1B55" w:rsidP="00A56D43">
      <w:pPr>
        <w:spacing w:line="360" w:lineRule="auto"/>
        <w:jc w:val="both"/>
      </w:pPr>
    </w:p>
    <w:p w:rsidR="003C2C3F" w:rsidRDefault="00FB1B55" w:rsidP="00A56D43">
      <w:pPr>
        <w:spacing w:line="360" w:lineRule="auto"/>
        <w:jc w:val="both"/>
      </w:pPr>
      <w:r w:rsidRPr="003C2C3F">
        <w:rPr>
          <w:i/>
        </w:rPr>
        <w:t>Kantor and Immerman</w:t>
      </w:r>
      <w:r>
        <w:t xml:space="preserve">, applicant’s legal </w:t>
      </w:r>
      <w:r w:rsidR="003C2C3F">
        <w:t>practitioners</w:t>
      </w:r>
    </w:p>
    <w:p w:rsidR="00ED7FA0" w:rsidRDefault="003C2C3F" w:rsidP="00A56D43">
      <w:pPr>
        <w:spacing w:line="360" w:lineRule="auto"/>
        <w:jc w:val="both"/>
      </w:pPr>
      <w:r w:rsidRPr="003C2C3F">
        <w:rPr>
          <w:i/>
        </w:rPr>
        <w:t>Thondhlanga &amp; Associates</w:t>
      </w:r>
      <w:r>
        <w:t>, respondent’s legal practitioners</w:t>
      </w:r>
      <w:r w:rsidR="00BB3554">
        <w:t xml:space="preserve"> </w:t>
      </w:r>
    </w:p>
    <w:p w:rsidR="00DD152D" w:rsidRDefault="00DD152D" w:rsidP="00DD152D">
      <w:pPr>
        <w:spacing w:line="360" w:lineRule="auto"/>
        <w:jc w:val="both"/>
      </w:pPr>
    </w:p>
    <w:sectPr w:rsidR="00DD152D" w:rsidSect="00283C1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D3" w:rsidRDefault="00CE66D3" w:rsidP="00DB41DB">
      <w:r>
        <w:separator/>
      </w:r>
    </w:p>
  </w:endnote>
  <w:endnote w:type="continuationSeparator" w:id="0">
    <w:p w:rsidR="00CE66D3" w:rsidRDefault="00CE66D3" w:rsidP="00DB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693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C26" w:rsidRDefault="00216C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4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6C26" w:rsidRDefault="00216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D3" w:rsidRDefault="00CE66D3" w:rsidP="00DB41DB">
      <w:r>
        <w:separator/>
      </w:r>
    </w:p>
  </w:footnote>
  <w:footnote w:type="continuationSeparator" w:id="0">
    <w:p w:rsidR="00CE66D3" w:rsidRDefault="00CE66D3" w:rsidP="00DB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DB" w:rsidRPr="00283C17" w:rsidRDefault="00283C17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745401">
      <w:rPr>
        <w:lang w:val="en-ZW"/>
      </w:rPr>
      <w:t>373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2D8B"/>
    <w:multiLevelType w:val="hybridMultilevel"/>
    <w:tmpl w:val="F4D4024A"/>
    <w:lvl w:ilvl="0" w:tplc="2368D33A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056A41"/>
    <w:multiLevelType w:val="hybridMultilevel"/>
    <w:tmpl w:val="702A5D0E"/>
    <w:lvl w:ilvl="0" w:tplc="FEE088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83"/>
    <w:rsid w:val="0005656B"/>
    <w:rsid w:val="000B52F7"/>
    <w:rsid w:val="001D3883"/>
    <w:rsid w:val="00216C26"/>
    <w:rsid w:val="0025117A"/>
    <w:rsid w:val="00283C17"/>
    <w:rsid w:val="002C18A5"/>
    <w:rsid w:val="002D22B2"/>
    <w:rsid w:val="003C2C3F"/>
    <w:rsid w:val="00523421"/>
    <w:rsid w:val="00534DC1"/>
    <w:rsid w:val="00591040"/>
    <w:rsid w:val="005B4757"/>
    <w:rsid w:val="005B4A62"/>
    <w:rsid w:val="005D1CC3"/>
    <w:rsid w:val="0060281C"/>
    <w:rsid w:val="00676726"/>
    <w:rsid w:val="00745401"/>
    <w:rsid w:val="00772CE3"/>
    <w:rsid w:val="00795F89"/>
    <w:rsid w:val="00813FA6"/>
    <w:rsid w:val="00836BC8"/>
    <w:rsid w:val="00843278"/>
    <w:rsid w:val="008816CD"/>
    <w:rsid w:val="008E0642"/>
    <w:rsid w:val="00902F28"/>
    <w:rsid w:val="00917CDB"/>
    <w:rsid w:val="009443AF"/>
    <w:rsid w:val="009E084C"/>
    <w:rsid w:val="00A01279"/>
    <w:rsid w:val="00A56D43"/>
    <w:rsid w:val="00A75B74"/>
    <w:rsid w:val="00B34695"/>
    <w:rsid w:val="00B70658"/>
    <w:rsid w:val="00B87BA4"/>
    <w:rsid w:val="00BB3554"/>
    <w:rsid w:val="00BF0BEE"/>
    <w:rsid w:val="00C141AE"/>
    <w:rsid w:val="00C15C33"/>
    <w:rsid w:val="00C5732F"/>
    <w:rsid w:val="00CE66D3"/>
    <w:rsid w:val="00D1006F"/>
    <w:rsid w:val="00DB41DB"/>
    <w:rsid w:val="00DD152D"/>
    <w:rsid w:val="00E013E0"/>
    <w:rsid w:val="00E37C83"/>
    <w:rsid w:val="00ED0139"/>
    <w:rsid w:val="00ED7FA0"/>
    <w:rsid w:val="00F03514"/>
    <w:rsid w:val="00F04E4F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C8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1D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4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1DB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C83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1DB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4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1DB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2016-05-31T10:57:00Z</dcterms:created>
  <dcterms:modified xsi:type="dcterms:W3CDTF">2016-06-06T13:04:00Z</dcterms:modified>
</cp:coreProperties>
</file>