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4B2" w:rsidRDefault="009304B2" w:rsidP="00AA49E1">
      <w:pPr>
        <w:pStyle w:val="NoSpacing"/>
        <w:jc w:val="both"/>
        <w:rPr>
          <w:b/>
          <w:sz w:val="28"/>
          <w:szCs w:val="28"/>
        </w:rPr>
      </w:pPr>
      <w:r>
        <w:rPr>
          <w:b/>
          <w:sz w:val="28"/>
          <w:szCs w:val="28"/>
        </w:rPr>
        <w:t>STATE</w:t>
      </w:r>
    </w:p>
    <w:p w:rsidR="009304B2" w:rsidRDefault="009304B2" w:rsidP="00AA49E1">
      <w:pPr>
        <w:pStyle w:val="NoSpacing"/>
        <w:jc w:val="both"/>
        <w:rPr>
          <w:b/>
          <w:sz w:val="28"/>
          <w:szCs w:val="28"/>
        </w:rPr>
      </w:pPr>
    </w:p>
    <w:p w:rsidR="009304B2" w:rsidRDefault="009304B2" w:rsidP="00AA49E1">
      <w:pPr>
        <w:pStyle w:val="NoSpacing"/>
        <w:jc w:val="both"/>
        <w:rPr>
          <w:b/>
          <w:sz w:val="28"/>
          <w:szCs w:val="28"/>
        </w:rPr>
      </w:pPr>
      <w:r>
        <w:rPr>
          <w:b/>
          <w:sz w:val="28"/>
          <w:szCs w:val="28"/>
        </w:rPr>
        <w:t>Versus</w:t>
      </w:r>
    </w:p>
    <w:p w:rsidR="009304B2" w:rsidRDefault="009304B2" w:rsidP="00AA49E1">
      <w:pPr>
        <w:pStyle w:val="NoSpacing"/>
        <w:jc w:val="both"/>
        <w:rPr>
          <w:b/>
          <w:sz w:val="28"/>
          <w:szCs w:val="28"/>
        </w:rPr>
      </w:pPr>
    </w:p>
    <w:p w:rsidR="009304B2" w:rsidRDefault="009304B2" w:rsidP="00AA49E1">
      <w:pPr>
        <w:pStyle w:val="NoSpacing"/>
        <w:jc w:val="both"/>
        <w:rPr>
          <w:b/>
          <w:sz w:val="28"/>
          <w:szCs w:val="28"/>
        </w:rPr>
      </w:pPr>
      <w:r>
        <w:rPr>
          <w:b/>
          <w:sz w:val="28"/>
          <w:szCs w:val="28"/>
        </w:rPr>
        <w:t>PRINCE NDLOVU</w:t>
      </w:r>
    </w:p>
    <w:p w:rsidR="009304B2" w:rsidRDefault="009304B2" w:rsidP="00AA49E1">
      <w:pPr>
        <w:pStyle w:val="NoSpacing"/>
        <w:jc w:val="both"/>
        <w:rPr>
          <w:b/>
          <w:sz w:val="28"/>
          <w:szCs w:val="28"/>
        </w:rPr>
      </w:pPr>
    </w:p>
    <w:p w:rsidR="009304B2" w:rsidRDefault="009304B2" w:rsidP="00AA49E1">
      <w:pPr>
        <w:pStyle w:val="NoSpacing"/>
        <w:jc w:val="both"/>
        <w:rPr>
          <w:sz w:val="28"/>
          <w:szCs w:val="28"/>
        </w:rPr>
      </w:pPr>
    </w:p>
    <w:p w:rsidR="009304B2" w:rsidRDefault="009304B2" w:rsidP="00AA49E1">
      <w:pPr>
        <w:pStyle w:val="NoSpacing"/>
        <w:jc w:val="both"/>
        <w:rPr>
          <w:sz w:val="28"/>
          <w:szCs w:val="28"/>
        </w:rPr>
      </w:pPr>
      <w:r>
        <w:rPr>
          <w:sz w:val="28"/>
          <w:szCs w:val="28"/>
        </w:rPr>
        <w:t>IN THE HIGH COURT OF ZIMBABWE</w:t>
      </w:r>
    </w:p>
    <w:p w:rsidR="009304B2" w:rsidRDefault="009304B2" w:rsidP="00AA49E1">
      <w:pPr>
        <w:pStyle w:val="NoSpacing"/>
        <w:jc w:val="both"/>
        <w:rPr>
          <w:sz w:val="28"/>
          <w:szCs w:val="28"/>
        </w:rPr>
      </w:pPr>
      <w:r>
        <w:rPr>
          <w:sz w:val="28"/>
          <w:szCs w:val="28"/>
        </w:rPr>
        <w:t xml:space="preserve">TAKUVA J </w:t>
      </w:r>
    </w:p>
    <w:p w:rsidR="009304B2" w:rsidRDefault="009304B2" w:rsidP="00AA49E1">
      <w:pPr>
        <w:pStyle w:val="NoSpacing"/>
        <w:jc w:val="both"/>
        <w:rPr>
          <w:sz w:val="28"/>
          <w:szCs w:val="28"/>
        </w:rPr>
      </w:pPr>
      <w:r>
        <w:rPr>
          <w:sz w:val="28"/>
          <w:szCs w:val="28"/>
        </w:rPr>
        <w:t>BULAWAYO 23 MAY 2022</w:t>
      </w:r>
    </w:p>
    <w:p w:rsidR="009304B2" w:rsidRDefault="009304B2" w:rsidP="00AA49E1">
      <w:pPr>
        <w:pStyle w:val="NoSpacing"/>
        <w:jc w:val="both"/>
        <w:rPr>
          <w:sz w:val="28"/>
          <w:szCs w:val="28"/>
        </w:rPr>
      </w:pPr>
    </w:p>
    <w:p w:rsidR="009304B2" w:rsidRDefault="009304B2" w:rsidP="00AA49E1">
      <w:pPr>
        <w:pStyle w:val="NoSpacing"/>
        <w:jc w:val="both"/>
        <w:rPr>
          <w:b/>
          <w:sz w:val="28"/>
          <w:szCs w:val="28"/>
        </w:rPr>
      </w:pPr>
    </w:p>
    <w:p w:rsidR="009304B2" w:rsidRDefault="009304B2" w:rsidP="00AA49E1">
      <w:pPr>
        <w:pStyle w:val="NoSpacing"/>
        <w:jc w:val="both"/>
        <w:rPr>
          <w:b/>
          <w:sz w:val="28"/>
          <w:szCs w:val="28"/>
        </w:rPr>
      </w:pPr>
      <w:r>
        <w:rPr>
          <w:b/>
          <w:sz w:val="28"/>
          <w:szCs w:val="28"/>
        </w:rPr>
        <w:t>Criminal Review</w:t>
      </w:r>
    </w:p>
    <w:p w:rsidR="009304B2" w:rsidRDefault="009304B2" w:rsidP="00AA49E1">
      <w:pPr>
        <w:pStyle w:val="NoSpacing"/>
        <w:jc w:val="both"/>
        <w:rPr>
          <w:sz w:val="28"/>
          <w:szCs w:val="28"/>
        </w:rPr>
      </w:pPr>
    </w:p>
    <w:p w:rsidR="00223694" w:rsidRPr="003C0CC8" w:rsidRDefault="009304B2" w:rsidP="003C0CC8">
      <w:pPr>
        <w:spacing w:line="480" w:lineRule="auto"/>
        <w:ind w:firstLine="720"/>
        <w:jc w:val="both"/>
        <w:rPr>
          <w:szCs w:val="24"/>
        </w:rPr>
      </w:pPr>
      <w:r w:rsidRPr="003C0CC8">
        <w:rPr>
          <w:b/>
          <w:szCs w:val="24"/>
        </w:rPr>
        <w:t xml:space="preserve">TAKUVA J: </w:t>
      </w:r>
      <w:r w:rsidRPr="003C0CC8">
        <w:rPr>
          <w:szCs w:val="24"/>
        </w:rPr>
        <w:tab/>
        <w:t>This matter was referred to the Registrar by the learned Regional Magistrate at Plumtree.</w:t>
      </w:r>
    </w:p>
    <w:p w:rsidR="009304B2" w:rsidRPr="003C0CC8" w:rsidRDefault="009304B2" w:rsidP="003C0CC8">
      <w:pPr>
        <w:spacing w:line="480" w:lineRule="auto"/>
        <w:ind w:firstLine="720"/>
        <w:jc w:val="both"/>
        <w:rPr>
          <w:szCs w:val="24"/>
        </w:rPr>
      </w:pPr>
      <w:r w:rsidRPr="003C0CC8">
        <w:rPr>
          <w:szCs w:val="24"/>
        </w:rPr>
        <w:t>The accused was convicted on his own plea of guilty of contravening section 10 (1) (A) as read with section 10 (3) of the Environmental Management Act (Control of Hazardous Substances) (General) Reg</w:t>
      </w:r>
      <w:r w:rsidR="00027FB1" w:rsidRPr="003C0CC8">
        <w:rPr>
          <w:szCs w:val="24"/>
        </w:rPr>
        <w:t>ulations</w:t>
      </w:r>
      <w:r w:rsidRPr="003C0CC8">
        <w:rPr>
          <w:szCs w:val="24"/>
        </w:rPr>
        <w:t xml:space="preserve"> 2018 (S.I 268/2018) “Store or sell Hazardous Subs</w:t>
      </w:r>
      <w:r w:rsidR="00B64F0C">
        <w:rPr>
          <w:szCs w:val="24"/>
        </w:rPr>
        <w:t xml:space="preserve">tance without a </w:t>
      </w:r>
      <w:proofErr w:type="spellStart"/>
      <w:r w:rsidR="00B64F0C">
        <w:rPr>
          <w:szCs w:val="24"/>
        </w:rPr>
        <w:t>licence</w:t>
      </w:r>
      <w:proofErr w:type="spellEnd"/>
      <w:r w:rsidR="00B64F0C">
        <w:rPr>
          <w:szCs w:val="24"/>
        </w:rPr>
        <w:t xml:space="preserve">” </w:t>
      </w:r>
      <w:r w:rsidRPr="003C0CC8">
        <w:rPr>
          <w:szCs w:val="24"/>
        </w:rPr>
        <w:t>by a Magistrate at Plumtree on 27 September 2020.</w:t>
      </w:r>
      <w:r w:rsidR="00B62371" w:rsidRPr="003C0CC8">
        <w:rPr>
          <w:szCs w:val="24"/>
        </w:rPr>
        <w:t xml:space="preserve">  He was sentenced to pay a fine of “ZWL $1</w:t>
      </w:r>
      <w:r w:rsidR="00027FB1" w:rsidRPr="003C0CC8">
        <w:rPr>
          <w:szCs w:val="24"/>
        </w:rPr>
        <w:t xml:space="preserve"> </w:t>
      </w:r>
      <w:r w:rsidR="00B62371" w:rsidRPr="003C0CC8">
        <w:rPr>
          <w:szCs w:val="24"/>
        </w:rPr>
        <w:t xml:space="preserve">200-00 in default of payment 90 days imprisonment.  The 66 x 30 </w:t>
      </w:r>
      <w:proofErr w:type="spellStart"/>
      <w:r w:rsidR="00B62371" w:rsidRPr="003C0CC8">
        <w:rPr>
          <w:szCs w:val="24"/>
        </w:rPr>
        <w:t>litres</w:t>
      </w:r>
      <w:proofErr w:type="spellEnd"/>
      <w:r w:rsidR="00B62371" w:rsidRPr="003C0CC8">
        <w:rPr>
          <w:szCs w:val="24"/>
        </w:rPr>
        <w:t xml:space="preserve"> petrol and 200 l x 2 petrol be and are hereby forfeited to the state.  </w:t>
      </w:r>
      <w:r w:rsidR="00B62371" w:rsidRPr="003C0CC8">
        <w:rPr>
          <w:szCs w:val="24"/>
          <w:u w:val="single"/>
        </w:rPr>
        <w:t>The exhibit to be</w:t>
      </w:r>
      <w:r w:rsidR="00B62371" w:rsidRPr="003C0CC8">
        <w:rPr>
          <w:szCs w:val="24"/>
        </w:rPr>
        <w:t xml:space="preserve"> </w:t>
      </w:r>
      <w:r w:rsidR="00B62371" w:rsidRPr="003C0CC8">
        <w:rPr>
          <w:szCs w:val="24"/>
          <w:u w:val="single"/>
        </w:rPr>
        <w:t>disposed by public auction</w:t>
      </w:r>
      <w:r w:rsidR="00B62371" w:rsidRPr="003C0CC8">
        <w:rPr>
          <w:szCs w:val="24"/>
        </w:rPr>
        <w:t>.” (</w:t>
      </w:r>
      <w:proofErr w:type="gramStart"/>
      <w:r w:rsidR="00B62371" w:rsidRPr="003C0CC8">
        <w:rPr>
          <w:szCs w:val="24"/>
        </w:rPr>
        <w:t>my</w:t>
      </w:r>
      <w:proofErr w:type="gramEnd"/>
      <w:r w:rsidR="00B62371" w:rsidRPr="003C0CC8">
        <w:rPr>
          <w:szCs w:val="24"/>
        </w:rPr>
        <w:t xml:space="preserve"> emphasis).</w:t>
      </w:r>
    </w:p>
    <w:p w:rsidR="00071AD8" w:rsidRPr="003C0CC8" w:rsidRDefault="00071AD8" w:rsidP="003C0CC8">
      <w:pPr>
        <w:spacing w:line="480" w:lineRule="auto"/>
        <w:ind w:firstLine="720"/>
        <w:jc w:val="both"/>
        <w:rPr>
          <w:szCs w:val="24"/>
        </w:rPr>
      </w:pPr>
      <w:r w:rsidRPr="003C0CC8">
        <w:rPr>
          <w:szCs w:val="24"/>
        </w:rPr>
        <w:t xml:space="preserve">The facts are that on </w:t>
      </w:r>
      <w:r w:rsidR="00B64F0C">
        <w:rPr>
          <w:szCs w:val="24"/>
        </w:rPr>
        <w:t xml:space="preserve">the </w:t>
      </w:r>
      <w:r w:rsidRPr="003C0CC8">
        <w:rPr>
          <w:szCs w:val="24"/>
        </w:rPr>
        <w:t>25</w:t>
      </w:r>
      <w:r w:rsidR="00B64F0C" w:rsidRPr="00B64F0C">
        <w:rPr>
          <w:szCs w:val="24"/>
          <w:vertAlign w:val="superscript"/>
        </w:rPr>
        <w:t>th</w:t>
      </w:r>
      <w:r w:rsidR="00B64F0C">
        <w:rPr>
          <w:szCs w:val="24"/>
        </w:rPr>
        <w:t xml:space="preserve"> </w:t>
      </w:r>
      <w:r w:rsidRPr="003C0CC8">
        <w:rPr>
          <w:szCs w:val="24"/>
        </w:rPr>
        <w:t xml:space="preserve">day of August 2020 at approximately 2100 hours at </w:t>
      </w:r>
      <w:proofErr w:type="spellStart"/>
      <w:r w:rsidRPr="003C0CC8">
        <w:rPr>
          <w:szCs w:val="24"/>
        </w:rPr>
        <w:t>Syringer</w:t>
      </w:r>
      <w:proofErr w:type="spellEnd"/>
      <w:r w:rsidRPr="003C0CC8">
        <w:rPr>
          <w:szCs w:val="24"/>
        </w:rPr>
        <w:t xml:space="preserve"> turn off along Bulawayo-Plumtree road, the</w:t>
      </w:r>
      <w:r w:rsidR="00725746" w:rsidRPr="003C0CC8">
        <w:rPr>
          <w:szCs w:val="24"/>
        </w:rPr>
        <w:t xml:space="preserve"> police intercepted a Toyota </w:t>
      </w:r>
      <w:proofErr w:type="spellStart"/>
      <w:r w:rsidR="00725746" w:rsidRPr="003C0CC8">
        <w:rPr>
          <w:szCs w:val="24"/>
        </w:rPr>
        <w:t>Hia</w:t>
      </w:r>
      <w:r w:rsidRPr="003C0CC8">
        <w:rPr>
          <w:szCs w:val="24"/>
        </w:rPr>
        <w:t>ce</w:t>
      </w:r>
      <w:proofErr w:type="spellEnd"/>
      <w:r w:rsidRPr="003C0CC8">
        <w:rPr>
          <w:szCs w:val="24"/>
        </w:rPr>
        <w:t xml:space="preserve"> registration </w:t>
      </w:r>
      <w:proofErr w:type="gramStart"/>
      <w:r w:rsidRPr="003C0CC8">
        <w:rPr>
          <w:szCs w:val="24"/>
        </w:rPr>
        <w:t>No</w:t>
      </w:r>
      <w:proofErr w:type="gramEnd"/>
      <w:r w:rsidRPr="003C0CC8">
        <w:rPr>
          <w:szCs w:val="24"/>
        </w:rPr>
        <w:t>. AB</w:t>
      </w:r>
      <w:r w:rsidR="00725746" w:rsidRPr="003C0CC8">
        <w:rPr>
          <w:szCs w:val="24"/>
        </w:rPr>
        <w:t>Q</w:t>
      </w:r>
      <w:r w:rsidRPr="003C0CC8">
        <w:rPr>
          <w:szCs w:val="24"/>
        </w:rPr>
        <w:t xml:space="preserve"> 6011 driven by the accused.  Upon searching the vehicle they found the items mentioned in the charge sheet leading to accused’s arrest and prosecution.</w:t>
      </w:r>
    </w:p>
    <w:p w:rsidR="00071AD8" w:rsidRPr="003C0CC8" w:rsidRDefault="00071AD8" w:rsidP="003C0CC8">
      <w:pPr>
        <w:spacing w:line="480" w:lineRule="auto"/>
        <w:ind w:firstLine="720"/>
        <w:jc w:val="both"/>
        <w:rPr>
          <w:szCs w:val="24"/>
        </w:rPr>
      </w:pPr>
      <w:r w:rsidRPr="003C0CC8">
        <w:rPr>
          <w:szCs w:val="24"/>
        </w:rPr>
        <w:t xml:space="preserve">The learned </w:t>
      </w:r>
      <w:proofErr w:type="spellStart"/>
      <w:r w:rsidRPr="003C0CC8">
        <w:rPr>
          <w:szCs w:val="24"/>
        </w:rPr>
        <w:t>Scrutinising</w:t>
      </w:r>
      <w:proofErr w:type="spellEnd"/>
      <w:r w:rsidRPr="003C0CC8">
        <w:rPr>
          <w:szCs w:val="24"/>
        </w:rPr>
        <w:t xml:space="preserve"> Regional Mag</w:t>
      </w:r>
      <w:r w:rsidR="00EB6422" w:rsidRPr="003C0CC8">
        <w:rPr>
          <w:szCs w:val="24"/>
        </w:rPr>
        <w:t>istrate raised the following que</w:t>
      </w:r>
      <w:r w:rsidRPr="003C0CC8">
        <w:rPr>
          <w:szCs w:val="24"/>
        </w:rPr>
        <w:t>ries;</w:t>
      </w:r>
    </w:p>
    <w:p w:rsidR="00071AD8" w:rsidRPr="003C0CC8" w:rsidRDefault="00E3620E" w:rsidP="003C0CC8">
      <w:pPr>
        <w:pStyle w:val="ListParagraph"/>
        <w:numPr>
          <w:ilvl w:val="0"/>
          <w:numId w:val="1"/>
        </w:numPr>
        <w:spacing w:line="480" w:lineRule="auto"/>
        <w:jc w:val="both"/>
        <w:rPr>
          <w:szCs w:val="24"/>
        </w:rPr>
      </w:pPr>
      <w:r w:rsidRPr="003C0CC8">
        <w:rPr>
          <w:szCs w:val="24"/>
        </w:rPr>
        <w:lastRenderedPageBreak/>
        <w:t>Does section 10 (3) of the said legislation create an offence?</w:t>
      </w:r>
    </w:p>
    <w:p w:rsidR="00E3620E" w:rsidRPr="003C0CC8" w:rsidRDefault="00E3620E" w:rsidP="003C0CC8">
      <w:pPr>
        <w:pStyle w:val="ListParagraph"/>
        <w:numPr>
          <w:ilvl w:val="0"/>
          <w:numId w:val="1"/>
        </w:numPr>
        <w:spacing w:line="480" w:lineRule="auto"/>
        <w:jc w:val="both"/>
        <w:rPr>
          <w:szCs w:val="24"/>
        </w:rPr>
      </w:pPr>
      <w:r w:rsidRPr="003C0CC8">
        <w:rPr>
          <w:szCs w:val="24"/>
        </w:rPr>
        <w:t>Does the discret</w:t>
      </w:r>
      <w:r w:rsidR="00B64F0C">
        <w:rPr>
          <w:szCs w:val="24"/>
        </w:rPr>
        <w:t>ion to order forfeiture to the S</w:t>
      </w:r>
      <w:r w:rsidRPr="003C0CC8">
        <w:rPr>
          <w:szCs w:val="24"/>
        </w:rPr>
        <w:t>tat</w:t>
      </w:r>
      <w:r w:rsidR="00B64F0C">
        <w:rPr>
          <w:szCs w:val="24"/>
        </w:rPr>
        <w:t>e extend to prescribing to the S</w:t>
      </w:r>
      <w:r w:rsidRPr="003C0CC8">
        <w:rPr>
          <w:szCs w:val="24"/>
        </w:rPr>
        <w:t>tate how it should dispose the items?</w:t>
      </w:r>
    </w:p>
    <w:p w:rsidR="00E3620E" w:rsidRPr="003C0CC8" w:rsidRDefault="00E3620E" w:rsidP="003C0CC8">
      <w:pPr>
        <w:spacing w:line="480" w:lineRule="auto"/>
        <w:ind w:left="720"/>
        <w:jc w:val="both"/>
        <w:rPr>
          <w:szCs w:val="24"/>
        </w:rPr>
      </w:pPr>
      <w:r w:rsidRPr="003C0CC8">
        <w:rPr>
          <w:szCs w:val="24"/>
        </w:rPr>
        <w:t>In dealing with the 1</w:t>
      </w:r>
      <w:r w:rsidRPr="003C0CC8">
        <w:rPr>
          <w:szCs w:val="24"/>
          <w:vertAlign w:val="superscript"/>
        </w:rPr>
        <w:t>st</w:t>
      </w:r>
      <w:r w:rsidRPr="003C0CC8">
        <w:rPr>
          <w:szCs w:val="24"/>
        </w:rPr>
        <w:t xml:space="preserve"> point the trial court said the following;</w:t>
      </w:r>
    </w:p>
    <w:p w:rsidR="00E3620E" w:rsidRPr="003C0CC8" w:rsidRDefault="00E3620E" w:rsidP="003C0CC8">
      <w:pPr>
        <w:spacing w:line="480" w:lineRule="auto"/>
        <w:ind w:left="720"/>
        <w:jc w:val="both"/>
        <w:rPr>
          <w:szCs w:val="24"/>
        </w:rPr>
      </w:pPr>
      <w:r w:rsidRPr="003C0CC8">
        <w:rPr>
          <w:szCs w:val="24"/>
        </w:rPr>
        <w:t xml:space="preserve">“Section 10 (3) of the said legislation does not create an offence, it is only a penal provision.  The correct citation is section 10 (1) (a).  I must at this stage admit that it was an oversight on the part of the trial court not to check on the correctness of the charge.  When I dealt with this matter the </w:t>
      </w:r>
      <w:r w:rsidRPr="003C0CC8">
        <w:rPr>
          <w:szCs w:val="24"/>
          <w:u w:val="single"/>
        </w:rPr>
        <w:t>statute in question was not readily available</w:t>
      </w:r>
      <w:r w:rsidRPr="003C0CC8">
        <w:rPr>
          <w:szCs w:val="24"/>
        </w:rPr>
        <w:t xml:space="preserve">.  I only looked for it through prosecution after the learned Regional Magistrate raised the issues in question.  Be that as it may, when I dealt with the matter I genuinely believed that I was dealing with contravention of section 10 (1) (a).  </w:t>
      </w:r>
      <w:r w:rsidRPr="003C0CC8">
        <w:rPr>
          <w:szCs w:val="24"/>
          <w:u w:val="single"/>
        </w:rPr>
        <w:t>This explains why canvassed elements are in line with the said section.”</w:t>
      </w:r>
      <w:r w:rsidRPr="003C0CC8">
        <w:rPr>
          <w:szCs w:val="24"/>
        </w:rPr>
        <w:t xml:space="preserve"> (</w:t>
      </w:r>
      <w:proofErr w:type="gramStart"/>
      <w:r w:rsidRPr="003C0CC8">
        <w:rPr>
          <w:szCs w:val="24"/>
        </w:rPr>
        <w:t>my</w:t>
      </w:r>
      <w:proofErr w:type="gramEnd"/>
      <w:r w:rsidRPr="003C0CC8">
        <w:rPr>
          <w:szCs w:val="24"/>
        </w:rPr>
        <w:t xml:space="preserve"> emphasis)</w:t>
      </w:r>
    </w:p>
    <w:p w:rsidR="00036322" w:rsidRPr="003C0CC8" w:rsidRDefault="00036322" w:rsidP="003C0CC8">
      <w:pPr>
        <w:spacing w:line="480" w:lineRule="auto"/>
        <w:ind w:firstLine="720"/>
        <w:jc w:val="both"/>
        <w:rPr>
          <w:szCs w:val="24"/>
        </w:rPr>
      </w:pPr>
      <w:r w:rsidRPr="003C0CC8">
        <w:rPr>
          <w:szCs w:val="24"/>
        </w:rPr>
        <w:t xml:space="preserve">I must confess I also struggled to locate the relevant statute leading to some delay in preparing this judgment.  It is trite that a mere </w:t>
      </w:r>
      <w:proofErr w:type="spellStart"/>
      <w:r w:rsidRPr="003C0CC8">
        <w:rPr>
          <w:szCs w:val="24"/>
        </w:rPr>
        <w:t>miscitation</w:t>
      </w:r>
      <w:proofErr w:type="spellEnd"/>
      <w:r w:rsidRPr="003C0CC8">
        <w:rPr>
          <w:szCs w:val="24"/>
        </w:rPr>
        <w:t xml:space="preserve"> of a section or chapter number in circumstances where a court complies with the provisions in question is not necessarily fatal to the proceedings.</w:t>
      </w:r>
      <w:r w:rsidR="00B64F0C">
        <w:rPr>
          <w:szCs w:val="24"/>
        </w:rPr>
        <w:t xml:space="preserve">  See section 202 (3) of the Criminal Procedure and Evidence Act, Chapter 9:07, </w:t>
      </w:r>
      <w:r w:rsidR="00B64F0C" w:rsidRPr="00B64F0C">
        <w:rPr>
          <w:i/>
          <w:szCs w:val="24"/>
        </w:rPr>
        <w:t xml:space="preserve">S </w:t>
      </w:r>
      <w:r w:rsidR="00B64F0C">
        <w:rPr>
          <w:szCs w:val="24"/>
        </w:rPr>
        <w:t xml:space="preserve">v </w:t>
      </w:r>
      <w:proofErr w:type="spellStart"/>
      <w:r w:rsidR="00B64F0C" w:rsidRPr="00B64F0C">
        <w:rPr>
          <w:i/>
          <w:szCs w:val="24"/>
        </w:rPr>
        <w:t>Mutizwa</w:t>
      </w:r>
      <w:proofErr w:type="spellEnd"/>
      <w:r w:rsidR="00B64F0C">
        <w:rPr>
          <w:szCs w:val="24"/>
        </w:rPr>
        <w:t xml:space="preserve"> 2006 (1) 78 H.</w:t>
      </w:r>
    </w:p>
    <w:p w:rsidR="00036322" w:rsidRPr="003C0CC8" w:rsidRDefault="00036322" w:rsidP="003C0CC8">
      <w:pPr>
        <w:spacing w:line="480" w:lineRule="auto"/>
        <w:ind w:firstLine="720"/>
        <w:jc w:val="both"/>
        <w:rPr>
          <w:szCs w:val="24"/>
        </w:rPr>
      </w:pPr>
      <w:r w:rsidRPr="003C0CC8">
        <w:rPr>
          <w:i/>
          <w:szCs w:val="24"/>
        </w:rPr>
        <w:t xml:space="preserve">In </w:t>
      </w:r>
      <w:proofErr w:type="spellStart"/>
      <w:r w:rsidRPr="003C0CC8">
        <w:rPr>
          <w:i/>
          <w:szCs w:val="24"/>
        </w:rPr>
        <w:t>casu</w:t>
      </w:r>
      <w:proofErr w:type="spellEnd"/>
      <w:r w:rsidRPr="003C0CC8">
        <w:rPr>
          <w:szCs w:val="24"/>
        </w:rPr>
        <w:t xml:space="preserve"> the court </w:t>
      </w:r>
      <w:r w:rsidRPr="003C0CC8">
        <w:rPr>
          <w:i/>
          <w:szCs w:val="24"/>
        </w:rPr>
        <w:t>a quo</w:t>
      </w:r>
      <w:r w:rsidRPr="003C0CC8">
        <w:rPr>
          <w:szCs w:val="24"/>
        </w:rPr>
        <w:t xml:space="preserve"> canvassed the correct essential elements of the offence.  The accused was not in any way prejudiced by this obviously harmless error.</w:t>
      </w:r>
    </w:p>
    <w:p w:rsidR="00036322" w:rsidRPr="003C0CC8" w:rsidRDefault="00036322" w:rsidP="003C0CC8">
      <w:pPr>
        <w:spacing w:line="480" w:lineRule="auto"/>
        <w:ind w:firstLine="720"/>
        <w:jc w:val="both"/>
        <w:rPr>
          <w:szCs w:val="24"/>
        </w:rPr>
      </w:pPr>
      <w:r w:rsidRPr="003C0CC8">
        <w:rPr>
          <w:szCs w:val="24"/>
        </w:rPr>
        <w:t>While dealing with the 2</w:t>
      </w:r>
      <w:r w:rsidRPr="003C0CC8">
        <w:rPr>
          <w:szCs w:val="24"/>
          <w:vertAlign w:val="superscript"/>
        </w:rPr>
        <w:t>nd</w:t>
      </w:r>
      <w:r w:rsidRPr="003C0CC8">
        <w:rPr>
          <w:szCs w:val="24"/>
        </w:rPr>
        <w:t xml:space="preserve"> query, the learned Magistrate said;</w:t>
      </w:r>
    </w:p>
    <w:p w:rsidR="00036322" w:rsidRPr="003C0CC8" w:rsidRDefault="00036322" w:rsidP="003C0CC8">
      <w:pPr>
        <w:spacing w:line="480" w:lineRule="auto"/>
        <w:ind w:left="720"/>
        <w:jc w:val="both"/>
        <w:rPr>
          <w:szCs w:val="24"/>
        </w:rPr>
      </w:pPr>
      <w:r w:rsidRPr="003C0CC8">
        <w:rPr>
          <w:szCs w:val="24"/>
        </w:rPr>
        <w:lastRenderedPageBreak/>
        <w:t xml:space="preserve">“Section 17 (3) (iii) of the Environmental Management (Control of hazardous substances) (General) Regulations S.I 268/2018 </w:t>
      </w:r>
      <w:r w:rsidRPr="006270BA">
        <w:rPr>
          <w:szCs w:val="24"/>
          <w:u w:val="single"/>
        </w:rPr>
        <w:t>does not specifically empower the trial</w:t>
      </w:r>
      <w:r w:rsidRPr="003C0CC8">
        <w:rPr>
          <w:szCs w:val="24"/>
        </w:rPr>
        <w:t xml:space="preserve"> </w:t>
      </w:r>
      <w:r w:rsidRPr="006270BA">
        <w:rPr>
          <w:szCs w:val="24"/>
          <w:u w:val="single"/>
        </w:rPr>
        <w:t>court to prescribe to the state how it should dispose the forfeited items</w:t>
      </w:r>
      <w:r w:rsidRPr="003C0CC8">
        <w:rPr>
          <w:szCs w:val="24"/>
        </w:rPr>
        <w:t xml:space="preserve">.  The trial court made that prescription </w:t>
      </w:r>
      <w:r w:rsidRPr="006270BA">
        <w:rPr>
          <w:szCs w:val="24"/>
          <w:u w:val="single"/>
        </w:rPr>
        <w:t>as a way to discourage the police from seizing items with the</w:t>
      </w:r>
      <w:r w:rsidRPr="003C0CC8">
        <w:rPr>
          <w:szCs w:val="24"/>
        </w:rPr>
        <w:t xml:space="preserve"> </w:t>
      </w:r>
      <w:r w:rsidRPr="006270BA">
        <w:rPr>
          <w:szCs w:val="24"/>
          <w:u w:val="single"/>
        </w:rPr>
        <w:t>aim to benefit themselves</w:t>
      </w:r>
      <w:r w:rsidRPr="003C0CC8">
        <w:rPr>
          <w:szCs w:val="24"/>
        </w:rPr>
        <w:t>.  To that end, I do not see it prejudicial to the state or the interest of justice.  Be that as it may, I stand guided.”</w:t>
      </w:r>
      <w:r w:rsidR="0051713F">
        <w:rPr>
          <w:szCs w:val="24"/>
        </w:rPr>
        <w:t xml:space="preserve"> (</w:t>
      </w:r>
      <w:proofErr w:type="gramStart"/>
      <w:r w:rsidR="0051713F">
        <w:rPr>
          <w:szCs w:val="24"/>
        </w:rPr>
        <w:t>my</w:t>
      </w:r>
      <w:proofErr w:type="gramEnd"/>
      <w:r w:rsidR="0051713F">
        <w:rPr>
          <w:szCs w:val="24"/>
        </w:rPr>
        <w:t xml:space="preserve"> emphasis)</w:t>
      </w:r>
    </w:p>
    <w:p w:rsidR="00036322" w:rsidRPr="003C0CC8" w:rsidRDefault="00036322" w:rsidP="003C0CC8">
      <w:pPr>
        <w:spacing w:line="480" w:lineRule="auto"/>
        <w:ind w:firstLine="720"/>
        <w:jc w:val="both"/>
        <w:rPr>
          <w:szCs w:val="24"/>
        </w:rPr>
      </w:pPr>
      <w:r w:rsidRPr="003C0CC8">
        <w:rPr>
          <w:szCs w:val="24"/>
        </w:rPr>
        <w:t xml:space="preserve">I am of the view </w:t>
      </w:r>
      <w:r w:rsidR="00C7155D">
        <w:rPr>
          <w:szCs w:val="24"/>
        </w:rPr>
        <w:t xml:space="preserve">that </w:t>
      </w:r>
      <w:r w:rsidRPr="003C0CC8">
        <w:rPr>
          <w:szCs w:val="24"/>
        </w:rPr>
        <w:t xml:space="preserve">the court </w:t>
      </w:r>
      <w:r w:rsidRPr="003C0CC8">
        <w:rPr>
          <w:i/>
          <w:szCs w:val="24"/>
        </w:rPr>
        <w:t>a quo</w:t>
      </w:r>
      <w:r w:rsidRPr="003C0CC8">
        <w:rPr>
          <w:szCs w:val="24"/>
        </w:rPr>
        <w:t xml:space="preserve"> fell into error when it arrogated to itself the power to prescribe the method of disposal</w:t>
      </w:r>
      <w:r w:rsidR="00CB50CD" w:rsidRPr="003C0CC8">
        <w:rPr>
          <w:szCs w:val="24"/>
        </w:rPr>
        <w:t>.  If this is permitted, floodgates will be opened for Magistrates all over the country to choose whatever mode of disposing exhibits.  This will be chaotic.</w:t>
      </w:r>
    </w:p>
    <w:p w:rsidR="00CB50CD" w:rsidRPr="003C0CC8" w:rsidRDefault="00CB50CD" w:rsidP="003C0CC8">
      <w:pPr>
        <w:spacing w:line="480" w:lineRule="auto"/>
        <w:ind w:firstLine="720"/>
        <w:jc w:val="both"/>
        <w:rPr>
          <w:szCs w:val="24"/>
        </w:rPr>
      </w:pPr>
      <w:r w:rsidRPr="003C0CC8">
        <w:rPr>
          <w:szCs w:val="24"/>
        </w:rPr>
        <w:t>Disposal of forfeited hazardous substances is provided for in section 17 (3) (a) (b) (iii) of the Environmental Management (Control of Hazardous Substances) (General) Regulations 2018 (S.I. 268 OF 2018).  The section states;</w:t>
      </w:r>
    </w:p>
    <w:p w:rsidR="00CB50CD" w:rsidRPr="003C0CC8" w:rsidRDefault="00CB50CD" w:rsidP="003C0CC8">
      <w:pPr>
        <w:spacing w:line="480" w:lineRule="auto"/>
        <w:ind w:firstLine="720"/>
        <w:jc w:val="both"/>
        <w:rPr>
          <w:szCs w:val="24"/>
        </w:rPr>
      </w:pPr>
      <w:r w:rsidRPr="003C0CC8">
        <w:rPr>
          <w:szCs w:val="24"/>
        </w:rPr>
        <w:t>“17 (3) (a) All items which have been seized under subsection (1) shall –</w:t>
      </w:r>
    </w:p>
    <w:p w:rsidR="00CB50CD" w:rsidRPr="003C0CC8" w:rsidRDefault="00CB50CD" w:rsidP="003C0CC8">
      <w:pPr>
        <w:pStyle w:val="ListParagraph"/>
        <w:numPr>
          <w:ilvl w:val="0"/>
          <w:numId w:val="2"/>
        </w:numPr>
        <w:spacing w:line="480" w:lineRule="auto"/>
        <w:jc w:val="both"/>
        <w:rPr>
          <w:szCs w:val="24"/>
        </w:rPr>
      </w:pPr>
      <w:r w:rsidRPr="003C0CC8">
        <w:rPr>
          <w:szCs w:val="24"/>
        </w:rPr>
        <w:t>be taken forthwith and delivered to a place of security under the control of an “Agency” or police officer, and</w:t>
      </w:r>
    </w:p>
    <w:p w:rsidR="00CB50CD" w:rsidRPr="003C0CC8" w:rsidRDefault="00CB50CD" w:rsidP="003C0CC8">
      <w:pPr>
        <w:pStyle w:val="ListParagraph"/>
        <w:numPr>
          <w:ilvl w:val="0"/>
          <w:numId w:val="2"/>
        </w:numPr>
        <w:spacing w:line="480" w:lineRule="auto"/>
        <w:jc w:val="both"/>
        <w:rPr>
          <w:szCs w:val="24"/>
        </w:rPr>
      </w:pPr>
      <w:r w:rsidRPr="003C0CC8">
        <w:rPr>
          <w:szCs w:val="24"/>
        </w:rPr>
        <w:t>be held in custody at the owner’s risk until –</w:t>
      </w:r>
    </w:p>
    <w:p w:rsidR="00CB50CD" w:rsidRPr="003C0CC8" w:rsidRDefault="00CB50CD" w:rsidP="003C0CC8">
      <w:pPr>
        <w:pStyle w:val="ListParagraph"/>
        <w:numPr>
          <w:ilvl w:val="0"/>
          <w:numId w:val="3"/>
        </w:numPr>
        <w:spacing w:line="480" w:lineRule="auto"/>
        <w:jc w:val="both"/>
        <w:rPr>
          <w:szCs w:val="24"/>
        </w:rPr>
      </w:pPr>
      <w:r w:rsidRPr="003C0CC8">
        <w:rPr>
          <w:szCs w:val="24"/>
        </w:rPr>
        <w:t>……………….</w:t>
      </w:r>
    </w:p>
    <w:p w:rsidR="00CB50CD" w:rsidRPr="003C0CC8" w:rsidRDefault="00CB50CD" w:rsidP="003C0CC8">
      <w:pPr>
        <w:pStyle w:val="ListParagraph"/>
        <w:numPr>
          <w:ilvl w:val="0"/>
          <w:numId w:val="3"/>
        </w:numPr>
        <w:spacing w:line="480" w:lineRule="auto"/>
        <w:jc w:val="both"/>
        <w:rPr>
          <w:szCs w:val="24"/>
        </w:rPr>
      </w:pPr>
      <w:r w:rsidRPr="003C0CC8">
        <w:rPr>
          <w:szCs w:val="24"/>
        </w:rPr>
        <w:t>………………</w:t>
      </w:r>
    </w:p>
    <w:p w:rsidR="00CB50CD" w:rsidRPr="003C0CC8" w:rsidRDefault="00CB50CD" w:rsidP="003C0CC8">
      <w:pPr>
        <w:pStyle w:val="ListParagraph"/>
        <w:numPr>
          <w:ilvl w:val="0"/>
          <w:numId w:val="3"/>
        </w:numPr>
        <w:spacing w:line="480" w:lineRule="auto"/>
        <w:jc w:val="both"/>
        <w:rPr>
          <w:szCs w:val="24"/>
        </w:rPr>
      </w:pPr>
      <w:r w:rsidRPr="003C0CC8">
        <w:rPr>
          <w:szCs w:val="24"/>
        </w:rPr>
        <w:t>The criminal proceedings have resulted in the conviction of the accused person, in which event the convicting court may order a</w:t>
      </w:r>
      <w:r w:rsidR="000C5E58">
        <w:rPr>
          <w:szCs w:val="24"/>
        </w:rPr>
        <w:t>n</w:t>
      </w:r>
      <w:r w:rsidRPr="003C0CC8">
        <w:rPr>
          <w:szCs w:val="24"/>
        </w:rPr>
        <w:t>y suc</w:t>
      </w:r>
      <w:r w:rsidR="000C5E58">
        <w:rPr>
          <w:szCs w:val="24"/>
        </w:rPr>
        <w:t xml:space="preserve">h items to </w:t>
      </w:r>
      <w:r w:rsidR="000C5E58">
        <w:rPr>
          <w:szCs w:val="24"/>
        </w:rPr>
        <w:lastRenderedPageBreak/>
        <w:t>be forfeited to the S</w:t>
      </w:r>
      <w:r w:rsidRPr="003C0CC8">
        <w:rPr>
          <w:szCs w:val="24"/>
        </w:rPr>
        <w:t>tate or returned to the</w:t>
      </w:r>
      <w:r w:rsidR="00781107" w:rsidRPr="003C0CC8">
        <w:rPr>
          <w:szCs w:val="24"/>
        </w:rPr>
        <w:t xml:space="preserve"> accused person, as it deems fit</w:t>
      </w:r>
      <w:r w:rsidRPr="003C0CC8">
        <w:rPr>
          <w:szCs w:val="24"/>
        </w:rPr>
        <w:t xml:space="preserve"> in the circumstances.” (my emphasis)</w:t>
      </w:r>
    </w:p>
    <w:p w:rsidR="00E12FFC" w:rsidRPr="003C0CC8" w:rsidRDefault="00401F1C" w:rsidP="003C0CC8">
      <w:pPr>
        <w:spacing w:line="480" w:lineRule="auto"/>
        <w:ind w:left="720"/>
        <w:jc w:val="both"/>
        <w:rPr>
          <w:szCs w:val="24"/>
        </w:rPr>
      </w:pPr>
      <w:r w:rsidRPr="003C0CC8">
        <w:rPr>
          <w:szCs w:val="24"/>
        </w:rPr>
        <w:t>The role of the “Agency” is spelt out in subsection (4) which states;</w:t>
      </w:r>
    </w:p>
    <w:p w:rsidR="00401F1C" w:rsidRPr="003C0CC8" w:rsidRDefault="00401F1C" w:rsidP="003C0CC8">
      <w:pPr>
        <w:spacing w:line="480" w:lineRule="auto"/>
        <w:ind w:left="720"/>
        <w:jc w:val="both"/>
        <w:rPr>
          <w:szCs w:val="24"/>
        </w:rPr>
      </w:pPr>
      <w:r w:rsidRPr="003C0CC8">
        <w:rPr>
          <w:szCs w:val="24"/>
        </w:rPr>
        <w:t>“4</w:t>
      </w:r>
      <w:r w:rsidR="00781107" w:rsidRPr="003C0CC8">
        <w:rPr>
          <w:szCs w:val="24"/>
        </w:rPr>
        <w:t>.</w:t>
      </w:r>
      <w:r w:rsidRPr="003C0CC8">
        <w:rPr>
          <w:szCs w:val="24"/>
        </w:rPr>
        <w:t xml:space="preserve"> The Agency shall establish and maintain a register of items seized under this section to be known as the seized items register, in which the agency shall record the following –</w:t>
      </w:r>
    </w:p>
    <w:p w:rsidR="00401F1C" w:rsidRPr="003C0CC8" w:rsidRDefault="00401F1C" w:rsidP="003C0CC8">
      <w:pPr>
        <w:pStyle w:val="ListParagraph"/>
        <w:numPr>
          <w:ilvl w:val="0"/>
          <w:numId w:val="4"/>
        </w:numPr>
        <w:spacing w:line="480" w:lineRule="auto"/>
        <w:jc w:val="both"/>
        <w:rPr>
          <w:szCs w:val="24"/>
        </w:rPr>
      </w:pPr>
      <w:r w:rsidRPr="003C0CC8">
        <w:rPr>
          <w:szCs w:val="24"/>
        </w:rPr>
        <w:t>description of seized items, including, where necessary, their quantity; and</w:t>
      </w:r>
    </w:p>
    <w:p w:rsidR="00401F1C" w:rsidRPr="003C0CC8" w:rsidRDefault="00401F1C" w:rsidP="003C0CC8">
      <w:pPr>
        <w:pStyle w:val="ListParagraph"/>
        <w:numPr>
          <w:ilvl w:val="0"/>
          <w:numId w:val="4"/>
        </w:numPr>
        <w:spacing w:line="480" w:lineRule="auto"/>
        <w:jc w:val="both"/>
        <w:rPr>
          <w:szCs w:val="24"/>
        </w:rPr>
      </w:pPr>
      <w:r w:rsidRPr="003C0CC8">
        <w:rPr>
          <w:szCs w:val="24"/>
        </w:rPr>
        <w:t xml:space="preserve">the name of the person from whom they were seized and the place at which they were seized and the reason for seizure; and </w:t>
      </w:r>
    </w:p>
    <w:p w:rsidR="00401F1C" w:rsidRPr="003C0CC8" w:rsidRDefault="00401F1C" w:rsidP="003C0CC8">
      <w:pPr>
        <w:pStyle w:val="ListParagraph"/>
        <w:numPr>
          <w:ilvl w:val="0"/>
          <w:numId w:val="4"/>
        </w:numPr>
        <w:spacing w:line="480" w:lineRule="auto"/>
        <w:jc w:val="both"/>
        <w:rPr>
          <w:szCs w:val="24"/>
        </w:rPr>
      </w:pPr>
      <w:r w:rsidRPr="003C0CC8">
        <w:rPr>
          <w:szCs w:val="24"/>
        </w:rPr>
        <w:t>the date of seizure; and</w:t>
      </w:r>
    </w:p>
    <w:p w:rsidR="00401F1C" w:rsidRPr="003C0CC8" w:rsidRDefault="00401F1C" w:rsidP="003C0CC8">
      <w:pPr>
        <w:pStyle w:val="ListParagraph"/>
        <w:numPr>
          <w:ilvl w:val="0"/>
          <w:numId w:val="4"/>
        </w:numPr>
        <w:spacing w:line="480" w:lineRule="auto"/>
        <w:jc w:val="both"/>
        <w:rPr>
          <w:szCs w:val="24"/>
        </w:rPr>
      </w:pPr>
      <w:proofErr w:type="gramStart"/>
      <w:r w:rsidRPr="003C0CC8">
        <w:rPr>
          <w:szCs w:val="24"/>
        </w:rPr>
        <w:t>the</w:t>
      </w:r>
      <w:proofErr w:type="gramEnd"/>
      <w:r w:rsidRPr="003C0CC8">
        <w:rPr>
          <w:szCs w:val="24"/>
        </w:rPr>
        <w:t xml:space="preserve"> manner of eventual disposal (whether returned to the person referred to in par</w:t>
      </w:r>
      <w:r w:rsidR="000C5E58">
        <w:rPr>
          <w:szCs w:val="24"/>
        </w:rPr>
        <w:t>agraph (b) or forfeited to the S</w:t>
      </w:r>
      <w:r w:rsidRPr="003C0CC8">
        <w:rPr>
          <w:szCs w:val="24"/>
        </w:rPr>
        <w:t>tate).”</w:t>
      </w:r>
    </w:p>
    <w:p w:rsidR="009F37AA" w:rsidRPr="003C0CC8" w:rsidRDefault="009F37AA" w:rsidP="003C0CC8">
      <w:pPr>
        <w:spacing w:line="480" w:lineRule="auto"/>
        <w:ind w:firstLine="720"/>
        <w:jc w:val="both"/>
        <w:rPr>
          <w:szCs w:val="24"/>
        </w:rPr>
      </w:pPr>
      <w:r w:rsidRPr="003C0CC8">
        <w:rPr>
          <w:szCs w:val="24"/>
        </w:rPr>
        <w:t>Subsection 5</w:t>
      </w:r>
      <w:r w:rsidR="00BB06EC" w:rsidRPr="003C0CC8">
        <w:rPr>
          <w:szCs w:val="24"/>
        </w:rPr>
        <w:t xml:space="preserve"> </w:t>
      </w:r>
      <w:r w:rsidRPr="003C0CC8">
        <w:rPr>
          <w:szCs w:val="24"/>
        </w:rPr>
        <w:t>creates an offence against any person who conceals or disposes of any items deemed seized by the Agency or a police officer in terms of subsection (1).</w:t>
      </w:r>
    </w:p>
    <w:p w:rsidR="009F37AA" w:rsidRPr="003C0CC8" w:rsidRDefault="009F37AA" w:rsidP="003C0CC8">
      <w:pPr>
        <w:spacing w:line="480" w:lineRule="auto"/>
        <w:ind w:firstLine="720"/>
        <w:jc w:val="both"/>
        <w:rPr>
          <w:szCs w:val="24"/>
        </w:rPr>
      </w:pPr>
      <w:r w:rsidRPr="003C0CC8">
        <w:rPr>
          <w:szCs w:val="24"/>
        </w:rPr>
        <w:t>In my view it is the Agency that has the jurisdiction to deal with seized items.  The court’s role ends after issuing a forfeiture order.  There is no room for a court to prescribe the mode of disposal in the absence of a law permitting such a role.  I also find it improper for a Magistrate to take judicial notice of the fact that police officers abuse their offices.  It is an abstruse argument based on extra-judicial information.</w:t>
      </w:r>
    </w:p>
    <w:p w:rsidR="009F37AA" w:rsidRPr="003C0CC8" w:rsidRDefault="009F37AA" w:rsidP="003C0CC8">
      <w:pPr>
        <w:spacing w:line="480" w:lineRule="auto"/>
        <w:ind w:firstLine="720"/>
        <w:jc w:val="both"/>
        <w:rPr>
          <w:szCs w:val="24"/>
        </w:rPr>
      </w:pPr>
      <w:r w:rsidRPr="003C0CC8">
        <w:rPr>
          <w:szCs w:val="24"/>
        </w:rPr>
        <w:t xml:space="preserve">In the result, I take the view that the court </w:t>
      </w:r>
      <w:r w:rsidRPr="003C0CC8">
        <w:rPr>
          <w:i/>
          <w:szCs w:val="24"/>
        </w:rPr>
        <w:t>a quo</w:t>
      </w:r>
      <w:r w:rsidRPr="003C0CC8">
        <w:rPr>
          <w:szCs w:val="24"/>
        </w:rPr>
        <w:t xml:space="preserve"> misdirected itself when it prescribed the mann</w:t>
      </w:r>
      <w:r w:rsidR="000C5E58">
        <w:rPr>
          <w:szCs w:val="24"/>
        </w:rPr>
        <w:t>er of disposal of the exhibits</w:t>
      </w:r>
      <w:r w:rsidRPr="003C0CC8">
        <w:rPr>
          <w:szCs w:val="24"/>
        </w:rPr>
        <w:t xml:space="preserve"> in the circumstances of this case.</w:t>
      </w:r>
    </w:p>
    <w:p w:rsidR="009F37AA" w:rsidRDefault="009F37AA" w:rsidP="003C0CC8">
      <w:pPr>
        <w:spacing w:line="480" w:lineRule="auto"/>
        <w:ind w:firstLine="720"/>
        <w:jc w:val="both"/>
        <w:rPr>
          <w:szCs w:val="24"/>
        </w:rPr>
      </w:pPr>
      <w:r w:rsidRPr="003C0CC8">
        <w:rPr>
          <w:szCs w:val="24"/>
        </w:rPr>
        <w:lastRenderedPageBreak/>
        <w:t xml:space="preserve">Accordingly, the court </w:t>
      </w:r>
      <w:r w:rsidRPr="003C0CC8">
        <w:rPr>
          <w:i/>
          <w:szCs w:val="24"/>
        </w:rPr>
        <w:t>a quo’s</w:t>
      </w:r>
      <w:r w:rsidRPr="003C0CC8">
        <w:rPr>
          <w:szCs w:val="24"/>
        </w:rPr>
        <w:t xml:space="preserve"> sentence is amended by the deletion of the last sentence to the effect that “The exhibit to be disposed by public auction.”</w:t>
      </w:r>
      <w:r w:rsidR="002B6104">
        <w:rPr>
          <w:szCs w:val="24"/>
        </w:rPr>
        <w:t xml:space="preserve">  The accused’s sentence should read as follows;</w:t>
      </w:r>
      <w:bookmarkStart w:id="0" w:name="_GoBack"/>
      <w:bookmarkEnd w:id="0"/>
    </w:p>
    <w:p w:rsidR="009F37AA" w:rsidRPr="003C0CC8" w:rsidRDefault="009F37AA" w:rsidP="003C0CC8">
      <w:pPr>
        <w:spacing w:line="480" w:lineRule="auto"/>
        <w:ind w:firstLine="720"/>
        <w:jc w:val="both"/>
        <w:rPr>
          <w:szCs w:val="24"/>
        </w:rPr>
      </w:pPr>
      <w:r w:rsidRPr="003C0CC8">
        <w:rPr>
          <w:szCs w:val="24"/>
        </w:rPr>
        <w:t xml:space="preserve">The accused is sentenced to $1 200-00 in default of payment 90 days imprisonment.  The 66 x 30 </w:t>
      </w:r>
      <w:proofErr w:type="spellStart"/>
      <w:r w:rsidRPr="003C0CC8">
        <w:rPr>
          <w:szCs w:val="24"/>
        </w:rPr>
        <w:t>litres</w:t>
      </w:r>
      <w:proofErr w:type="spellEnd"/>
      <w:r w:rsidRPr="003C0CC8">
        <w:rPr>
          <w:szCs w:val="24"/>
        </w:rPr>
        <w:t xml:space="preserve"> petrol and 200 </w:t>
      </w:r>
      <w:proofErr w:type="spellStart"/>
      <w:r w:rsidRPr="003C0CC8">
        <w:rPr>
          <w:szCs w:val="24"/>
        </w:rPr>
        <w:t>litres</w:t>
      </w:r>
      <w:proofErr w:type="spellEnd"/>
      <w:r w:rsidRPr="003C0CC8">
        <w:rPr>
          <w:szCs w:val="24"/>
        </w:rPr>
        <w:t xml:space="preserve"> petrol x 2 be and are hereby forfeited to the State.</w:t>
      </w:r>
    </w:p>
    <w:p w:rsidR="009F37AA" w:rsidRDefault="009F37AA" w:rsidP="00AA49E1">
      <w:pPr>
        <w:ind w:firstLine="720"/>
        <w:jc w:val="both"/>
        <w:rPr>
          <w:sz w:val="28"/>
          <w:szCs w:val="28"/>
        </w:rPr>
      </w:pPr>
    </w:p>
    <w:p w:rsidR="009F37AA" w:rsidRPr="00763C3C" w:rsidRDefault="009F37AA" w:rsidP="0054627E">
      <w:pPr>
        <w:ind w:firstLine="720"/>
        <w:jc w:val="center"/>
        <w:rPr>
          <w:szCs w:val="24"/>
        </w:rPr>
      </w:pPr>
      <w:proofErr w:type="spellStart"/>
      <w:r w:rsidRPr="00763C3C">
        <w:rPr>
          <w:szCs w:val="24"/>
        </w:rPr>
        <w:t>Takuva</w:t>
      </w:r>
      <w:proofErr w:type="spellEnd"/>
      <w:r w:rsidRPr="00763C3C">
        <w:rPr>
          <w:szCs w:val="24"/>
        </w:rPr>
        <w:t xml:space="preserve"> J………………………………………..</w:t>
      </w:r>
    </w:p>
    <w:p w:rsidR="009F37AA" w:rsidRPr="00763C3C" w:rsidRDefault="009F37AA" w:rsidP="0054627E">
      <w:pPr>
        <w:ind w:firstLine="720"/>
        <w:jc w:val="center"/>
        <w:rPr>
          <w:szCs w:val="24"/>
        </w:rPr>
      </w:pPr>
    </w:p>
    <w:p w:rsidR="009F37AA" w:rsidRDefault="009F37AA" w:rsidP="0054627E">
      <w:pPr>
        <w:ind w:firstLine="720"/>
        <w:jc w:val="center"/>
        <w:rPr>
          <w:sz w:val="28"/>
          <w:szCs w:val="28"/>
        </w:rPr>
      </w:pPr>
      <w:proofErr w:type="spellStart"/>
      <w:r w:rsidRPr="00763C3C">
        <w:rPr>
          <w:szCs w:val="24"/>
        </w:rPr>
        <w:t>Makonese</w:t>
      </w:r>
      <w:proofErr w:type="spellEnd"/>
      <w:r w:rsidRPr="00763C3C">
        <w:rPr>
          <w:szCs w:val="24"/>
        </w:rPr>
        <w:t xml:space="preserve"> J agrees………………………………</w:t>
      </w:r>
    </w:p>
    <w:p w:rsidR="009F37AA" w:rsidRPr="009F37AA" w:rsidRDefault="009F37AA" w:rsidP="009F37AA">
      <w:pPr>
        <w:ind w:left="720"/>
        <w:rPr>
          <w:sz w:val="28"/>
          <w:szCs w:val="28"/>
        </w:rPr>
      </w:pPr>
    </w:p>
    <w:sectPr w:rsidR="009F37AA" w:rsidRPr="009F37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7C5" w:rsidRDefault="00E877C5" w:rsidP="00AA49E1">
      <w:pPr>
        <w:spacing w:before="0" w:after="0" w:line="240" w:lineRule="auto"/>
      </w:pPr>
      <w:r>
        <w:separator/>
      </w:r>
    </w:p>
  </w:endnote>
  <w:endnote w:type="continuationSeparator" w:id="0">
    <w:p w:rsidR="00E877C5" w:rsidRDefault="00E877C5" w:rsidP="00AA49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3B" w:rsidRDefault="008F2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3B" w:rsidRDefault="008F26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3B" w:rsidRDefault="008F2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7C5" w:rsidRDefault="00E877C5" w:rsidP="00AA49E1">
      <w:pPr>
        <w:spacing w:before="0" w:after="0" w:line="240" w:lineRule="auto"/>
      </w:pPr>
      <w:r>
        <w:separator/>
      </w:r>
    </w:p>
  </w:footnote>
  <w:footnote w:type="continuationSeparator" w:id="0">
    <w:p w:rsidR="00E877C5" w:rsidRDefault="00E877C5" w:rsidP="00AA49E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3B" w:rsidRDefault="008F26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526778"/>
      <w:docPartObj>
        <w:docPartGallery w:val="Page Numbers (Top of Page)"/>
        <w:docPartUnique/>
      </w:docPartObj>
    </w:sdtPr>
    <w:sdtEndPr>
      <w:rPr>
        <w:noProof/>
      </w:rPr>
    </w:sdtEndPr>
    <w:sdtContent>
      <w:p w:rsidR="00AA49E1" w:rsidRDefault="00AA49E1" w:rsidP="00BC0B48">
        <w:pPr>
          <w:pStyle w:val="NoSpacing"/>
          <w:jc w:val="right"/>
          <w:rPr>
            <w:noProof/>
          </w:rPr>
        </w:pPr>
        <w:r>
          <w:fldChar w:fldCharType="begin"/>
        </w:r>
        <w:r>
          <w:instrText xml:space="preserve"> PAGE   \* MERGEFORMAT </w:instrText>
        </w:r>
        <w:r>
          <w:fldChar w:fldCharType="separate"/>
        </w:r>
        <w:r w:rsidR="004260E8">
          <w:rPr>
            <w:noProof/>
          </w:rPr>
          <w:t>5</w:t>
        </w:r>
        <w:r>
          <w:rPr>
            <w:noProof/>
          </w:rPr>
          <w:fldChar w:fldCharType="end"/>
        </w:r>
      </w:p>
      <w:p w:rsidR="00AA49E1" w:rsidRDefault="00AA49E1" w:rsidP="00BC0B48">
        <w:pPr>
          <w:pStyle w:val="NoSpacing"/>
          <w:jc w:val="right"/>
          <w:rPr>
            <w:noProof/>
          </w:rPr>
        </w:pPr>
        <w:r>
          <w:rPr>
            <w:noProof/>
          </w:rPr>
          <w:t>HB</w:t>
        </w:r>
        <w:r w:rsidR="008F263B">
          <w:rPr>
            <w:noProof/>
          </w:rPr>
          <w:t xml:space="preserve"> 136/22</w:t>
        </w:r>
      </w:p>
      <w:p w:rsidR="00BC0B48" w:rsidRDefault="00AA49E1" w:rsidP="00BC0B48">
        <w:pPr>
          <w:pStyle w:val="NoSpacing"/>
          <w:jc w:val="right"/>
          <w:rPr>
            <w:noProof/>
          </w:rPr>
        </w:pPr>
        <w:r>
          <w:rPr>
            <w:noProof/>
          </w:rPr>
          <w:t>HCAR</w:t>
        </w:r>
        <w:r w:rsidR="00BC0B48">
          <w:rPr>
            <w:noProof/>
          </w:rPr>
          <w:t xml:space="preserve"> 1691/20</w:t>
        </w:r>
      </w:p>
      <w:p w:rsidR="00AA49E1" w:rsidRDefault="00BC0B48" w:rsidP="00BC0B48">
        <w:pPr>
          <w:pStyle w:val="NoSpacing"/>
          <w:jc w:val="right"/>
        </w:pPr>
        <w:r>
          <w:rPr>
            <w:noProof/>
          </w:rPr>
          <w:t>XREF CRB PT 619/20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3B" w:rsidRDefault="008F2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45CA8"/>
    <w:multiLevelType w:val="hybridMultilevel"/>
    <w:tmpl w:val="2632B1EC"/>
    <w:lvl w:ilvl="0" w:tplc="2A16F56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C80056F"/>
    <w:multiLevelType w:val="hybridMultilevel"/>
    <w:tmpl w:val="61382ECA"/>
    <w:lvl w:ilvl="0" w:tplc="D220BC8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3146D1A"/>
    <w:multiLevelType w:val="hybridMultilevel"/>
    <w:tmpl w:val="6E1206DC"/>
    <w:lvl w:ilvl="0" w:tplc="80E8EA3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5C614DA1"/>
    <w:multiLevelType w:val="hybridMultilevel"/>
    <w:tmpl w:val="2E7488B6"/>
    <w:lvl w:ilvl="0" w:tplc="84E4B16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B2"/>
    <w:rsid w:val="00027FB1"/>
    <w:rsid w:val="00036322"/>
    <w:rsid w:val="00071AD8"/>
    <w:rsid w:val="000C5E58"/>
    <w:rsid w:val="00141FC1"/>
    <w:rsid w:val="001B265B"/>
    <w:rsid w:val="001B290B"/>
    <w:rsid w:val="001C531C"/>
    <w:rsid w:val="001D2B74"/>
    <w:rsid w:val="00223694"/>
    <w:rsid w:val="002527BF"/>
    <w:rsid w:val="002B6104"/>
    <w:rsid w:val="003C0CC8"/>
    <w:rsid w:val="00401F1C"/>
    <w:rsid w:val="004260E8"/>
    <w:rsid w:val="0051713F"/>
    <w:rsid w:val="0054627E"/>
    <w:rsid w:val="005819F5"/>
    <w:rsid w:val="00595C53"/>
    <w:rsid w:val="0059705B"/>
    <w:rsid w:val="006270BA"/>
    <w:rsid w:val="00725746"/>
    <w:rsid w:val="00752099"/>
    <w:rsid w:val="00763C3C"/>
    <w:rsid w:val="00781107"/>
    <w:rsid w:val="008229A5"/>
    <w:rsid w:val="008F263B"/>
    <w:rsid w:val="009304B2"/>
    <w:rsid w:val="009A497F"/>
    <w:rsid w:val="009F37AA"/>
    <w:rsid w:val="00AA49E1"/>
    <w:rsid w:val="00AB76A1"/>
    <w:rsid w:val="00B01118"/>
    <w:rsid w:val="00B05140"/>
    <w:rsid w:val="00B5250B"/>
    <w:rsid w:val="00B62371"/>
    <w:rsid w:val="00B64F0C"/>
    <w:rsid w:val="00BB06EC"/>
    <w:rsid w:val="00BC0B48"/>
    <w:rsid w:val="00C370D3"/>
    <w:rsid w:val="00C7155D"/>
    <w:rsid w:val="00CB50CD"/>
    <w:rsid w:val="00D33A5A"/>
    <w:rsid w:val="00DB0F99"/>
    <w:rsid w:val="00DE3DFA"/>
    <w:rsid w:val="00E12FFC"/>
    <w:rsid w:val="00E3620E"/>
    <w:rsid w:val="00E877C5"/>
    <w:rsid w:val="00EB6422"/>
    <w:rsid w:val="00EF44BD"/>
    <w:rsid w:val="00FC40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E575D-7395-4674-8E13-76990025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4B2"/>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4B2"/>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071AD8"/>
    <w:pPr>
      <w:ind w:left="720"/>
      <w:contextualSpacing/>
    </w:pPr>
  </w:style>
  <w:style w:type="paragraph" w:styleId="Header">
    <w:name w:val="header"/>
    <w:basedOn w:val="Normal"/>
    <w:link w:val="HeaderChar"/>
    <w:uiPriority w:val="99"/>
    <w:unhideWhenUsed/>
    <w:rsid w:val="00AA49E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A49E1"/>
    <w:rPr>
      <w:rFonts w:ascii="Times New Roman" w:hAnsi="Times New Roman"/>
      <w:sz w:val="24"/>
      <w:lang w:val="en-US"/>
    </w:rPr>
  </w:style>
  <w:style w:type="paragraph" w:styleId="Footer">
    <w:name w:val="footer"/>
    <w:basedOn w:val="Normal"/>
    <w:link w:val="FooterChar"/>
    <w:uiPriority w:val="99"/>
    <w:unhideWhenUsed/>
    <w:rsid w:val="00AA49E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A49E1"/>
    <w:rPr>
      <w:rFonts w:ascii="Times New Roman" w:hAnsi="Times New Roman"/>
      <w:sz w:val="24"/>
      <w:lang w:val="en-US"/>
    </w:rPr>
  </w:style>
  <w:style w:type="paragraph" w:styleId="BalloonText">
    <w:name w:val="Balloon Text"/>
    <w:basedOn w:val="Normal"/>
    <w:link w:val="BalloonTextChar"/>
    <w:uiPriority w:val="99"/>
    <w:semiHidden/>
    <w:unhideWhenUsed/>
    <w:rsid w:val="004260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E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0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40</cp:revision>
  <cp:lastPrinted>2022-05-26T13:47:00Z</cp:lastPrinted>
  <dcterms:created xsi:type="dcterms:W3CDTF">2022-05-23T12:56:00Z</dcterms:created>
  <dcterms:modified xsi:type="dcterms:W3CDTF">2022-05-26T13:57:00Z</dcterms:modified>
</cp:coreProperties>
</file>