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327C4" w14:textId="22729978" w:rsidR="001D513F" w:rsidRPr="00A6173D" w:rsidRDefault="001D513F" w:rsidP="001D513F">
      <w:pPr>
        <w:spacing w:after="0" w:line="240" w:lineRule="auto"/>
        <w:ind w:left="0"/>
        <w:rPr>
          <w:b/>
        </w:rPr>
      </w:pPr>
      <w:r w:rsidRPr="00A6173D">
        <w:rPr>
          <w:b/>
        </w:rPr>
        <w:t>STATE</w:t>
      </w:r>
    </w:p>
    <w:p w14:paraId="6669799F" w14:textId="77777777" w:rsidR="001D513F" w:rsidRPr="00A6173D" w:rsidRDefault="001D513F" w:rsidP="001D513F">
      <w:pPr>
        <w:spacing w:after="0" w:line="240" w:lineRule="auto"/>
        <w:ind w:left="0"/>
        <w:rPr>
          <w:b/>
        </w:rPr>
      </w:pPr>
      <w:proofErr w:type="gramStart"/>
      <w:r w:rsidRPr="00A6173D">
        <w:rPr>
          <w:b/>
        </w:rPr>
        <w:t>versus</w:t>
      </w:r>
      <w:proofErr w:type="gramEnd"/>
    </w:p>
    <w:p w14:paraId="776BA66B" w14:textId="2349A0CA" w:rsidR="001D513F" w:rsidRPr="00A6173D" w:rsidRDefault="001D513F" w:rsidP="001D513F">
      <w:pPr>
        <w:spacing w:after="0" w:line="240" w:lineRule="auto"/>
        <w:ind w:left="0"/>
        <w:rPr>
          <w:b/>
        </w:rPr>
      </w:pPr>
      <w:r w:rsidRPr="00A6173D">
        <w:rPr>
          <w:b/>
        </w:rPr>
        <w:t>CAI YULONG</w:t>
      </w:r>
    </w:p>
    <w:p w14:paraId="67D126F9" w14:textId="77777777" w:rsidR="001D513F" w:rsidRDefault="001D513F" w:rsidP="001D513F">
      <w:pPr>
        <w:spacing w:after="0" w:line="240" w:lineRule="auto"/>
        <w:ind w:left="0"/>
      </w:pPr>
    </w:p>
    <w:p w14:paraId="5DD11870" w14:textId="77777777" w:rsidR="001D513F" w:rsidRDefault="001D513F" w:rsidP="001D513F">
      <w:pPr>
        <w:spacing w:after="0" w:line="240" w:lineRule="auto"/>
        <w:ind w:left="0"/>
      </w:pPr>
    </w:p>
    <w:p w14:paraId="39A375CD" w14:textId="77777777" w:rsidR="001D513F" w:rsidRDefault="001D513F" w:rsidP="001D513F">
      <w:pPr>
        <w:spacing w:after="0" w:line="240" w:lineRule="auto"/>
        <w:ind w:left="0"/>
      </w:pPr>
      <w:r>
        <w:t>HIGH COURT OF ZIMBABWE</w:t>
      </w:r>
    </w:p>
    <w:p w14:paraId="4EEB0FA4" w14:textId="77777777" w:rsidR="001D513F" w:rsidRPr="009B5A78" w:rsidRDefault="001D513F" w:rsidP="001D513F">
      <w:pPr>
        <w:spacing w:after="0" w:line="240" w:lineRule="auto"/>
        <w:ind w:left="0"/>
        <w:rPr>
          <w:b/>
          <w:bCs/>
        </w:rPr>
      </w:pPr>
      <w:r w:rsidRPr="009B5A78">
        <w:rPr>
          <w:b/>
          <w:bCs/>
        </w:rPr>
        <w:t>MUREMBA J</w:t>
      </w:r>
    </w:p>
    <w:p w14:paraId="2AC3DC13" w14:textId="4B73FFA8" w:rsidR="001D513F" w:rsidRDefault="00C402AC" w:rsidP="001D513F">
      <w:pPr>
        <w:spacing w:after="0" w:line="240" w:lineRule="auto"/>
        <w:ind w:left="0"/>
      </w:pPr>
      <w:r>
        <w:t>GOKWE</w:t>
      </w:r>
      <w:r w:rsidR="001D513F">
        <w:t>, 11</w:t>
      </w:r>
      <w:r w:rsidR="001C37FC">
        <w:t>; 13 &amp; 18</w:t>
      </w:r>
      <w:r w:rsidR="001D513F">
        <w:t xml:space="preserve"> September 2024</w:t>
      </w:r>
    </w:p>
    <w:p w14:paraId="61C46A8B" w14:textId="77777777" w:rsidR="00621DA4" w:rsidRDefault="00621DA4" w:rsidP="001D513F">
      <w:pPr>
        <w:spacing w:after="0" w:line="240" w:lineRule="auto"/>
        <w:ind w:left="0"/>
      </w:pPr>
    </w:p>
    <w:p w14:paraId="52106000" w14:textId="77777777" w:rsidR="00621DA4" w:rsidRDefault="00621DA4" w:rsidP="001D513F">
      <w:pPr>
        <w:spacing w:after="0" w:line="240" w:lineRule="auto"/>
        <w:ind w:left="0"/>
      </w:pPr>
    </w:p>
    <w:p w14:paraId="36DE820B" w14:textId="0894B7A6" w:rsidR="001D513F" w:rsidRDefault="00621DA4" w:rsidP="00BB7977">
      <w:pPr>
        <w:spacing w:after="0" w:line="240" w:lineRule="auto"/>
        <w:ind w:left="0"/>
        <w:rPr>
          <w:b/>
          <w:bCs/>
        </w:rPr>
      </w:pPr>
      <w:r w:rsidRPr="00621DA4">
        <w:rPr>
          <w:b/>
          <w:bCs/>
        </w:rPr>
        <w:t>Criminal trial</w:t>
      </w:r>
    </w:p>
    <w:p w14:paraId="1D25B8F5" w14:textId="77777777" w:rsidR="00BB7977" w:rsidRPr="00621DA4" w:rsidRDefault="00BB7977" w:rsidP="00BB7977">
      <w:pPr>
        <w:spacing w:after="0" w:line="240" w:lineRule="auto"/>
        <w:ind w:left="0"/>
        <w:rPr>
          <w:b/>
          <w:bCs/>
        </w:rPr>
      </w:pPr>
    </w:p>
    <w:p w14:paraId="703B09ED" w14:textId="389C605A" w:rsidR="001D513F" w:rsidRPr="00621DA4" w:rsidRDefault="00621DA4" w:rsidP="00621DA4">
      <w:pPr>
        <w:spacing w:after="0" w:line="240" w:lineRule="auto"/>
        <w:ind w:left="0"/>
      </w:pPr>
      <w:r w:rsidRPr="00621DA4">
        <w:t xml:space="preserve">Assessors: Mr. </w:t>
      </w:r>
      <w:proofErr w:type="spellStart"/>
      <w:r w:rsidRPr="00621DA4">
        <w:t>Chakuvinga</w:t>
      </w:r>
      <w:proofErr w:type="spellEnd"/>
    </w:p>
    <w:p w14:paraId="0A652F7A" w14:textId="62293602" w:rsidR="00621DA4" w:rsidRDefault="00621DA4" w:rsidP="00621DA4">
      <w:pPr>
        <w:spacing w:after="0" w:line="240" w:lineRule="auto"/>
        <w:ind w:left="0"/>
      </w:pPr>
      <w:r w:rsidRPr="00621DA4">
        <w:tab/>
        <w:t xml:space="preserve">      Mrs </w:t>
      </w:r>
      <w:proofErr w:type="spellStart"/>
      <w:r w:rsidRPr="00621DA4">
        <w:t>Mawoneke</w:t>
      </w:r>
      <w:proofErr w:type="spellEnd"/>
      <w:r w:rsidRPr="00621DA4">
        <w:t xml:space="preserve"> </w:t>
      </w:r>
    </w:p>
    <w:p w14:paraId="2EBD9E35" w14:textId="77777777" w:rsidR="00621DA4" w:rsidRDefault="00621DA4" w:rsidP="00621DA4">
      <w:pPr>
        <w:spacing w:after="0" w:line="240" w:lineRule="auto"/>
        <w:ind w:left="0"/>
      </w:pPr>
    </w:p>
    <w:p w14:paraId="18250FF7" w14:textId="77777777" w:rsidR="00621DA4" w:rsidRPr="00621DA4" w:rsidRDefault="00621DA4" w:rsidP="00621DA4">
      <w:pPr>
        <w:spacing w:after="0" w:line="240" w:lineRule="auto"/>
        <w:ind w:left="0"/>
      </w:pPr>
    </w:p>
    <w:p w14:paraId="23F8C7A7" w14:textId="07720FFE" w:rsidR="001D513F" w:rsidRDefault="001D513F" w:rsidP="001D513F">
      <w:pPr>
        <w:spacing w:after="0" w:line="240" w:lineRule="auto"/>
        <w:ind w:left="0"/>
      </w:pPr>
      <w:r w:rsidRPr="00621DA4">
        <w:rPr>
          <w:i/>
          <w:iCs/>
        </w:rPr>
        <w:t>M Mugabe</w:t>
      </w:r>
      <w:r>
        <w:t>, for the State</w:t>
      </w:r>
    </w:p>
    <w:p w14:paraId="11086FB9" w14:textId="6B194BF8" w:rsidR="001D513F" w:rsidRDefault="001D513F" w:rsidP="001D513F">
      <w:pPr>
        <w:spacing w:after="0" w:line="240" w:lineRule="auto"/>
        <w:ind w:left="0"/>
      </w:pPr>
      <w:r>
        <w:rPr>
          <w:i/>
          <w:iCs/>
        </w:rPr>
        <w:t xml:space="preserve">V Mashaya and P Chitsa, </w:t>
      </w:r>
      <w:r w:rsidRPr="001D513F">
        <w:t>for the accused</w:t>
      </w:r>
    </w:p>
    <w:p w14:paraId="5BF15374" w14:textId="77777777" w:rsidR="0078225C" w:rsidRDefault="0078225C" w:rsidP="0078225C">
      <w:pPr>
        <w:spacing w:after="0"/>
        <w:ind w:left="0"/>
      </w:pPr>
    </w:p>
    <w:p w14:paraId="45E8B938" w14:textId="7039A48B" w:rsidR="008B3F34" w:rsidRPr="004612E4" w:rsidRDefault="001D513F" w:rsidP="0078225C">
      <w:pPr>
        <w:spacing w:after="0"/>
        <w:ind w:left="0"/>
        <w:rPr>
          <w:i/>
          <w:iCs/>
        </w:rPr>
      </w:pPr>
      <w:r w:rsidRPr="00CB1B1A">
        <w:rPr>
          <w:b/>
          <w:bCs/>
        </w:rPr>
        <w:t>MUREMBA J:</w:t>
      </w:r>
      <w:r>
        <w:t xml:space="preserve">   </w:t>
      </w:r>
      <w:r w:rsidR="002C47EE" w:rsidRPr="002C47EE">
        <w:t xml:space="preserve">This matter was heard before us on the 11th and 13th of September 2024, and the judgment was promptly delivered </w:t>
      </w:r>
      <w:r w:rsidR="002C47EE" w:rsidRPr="001E274B">
        <w:rPr>
          <w:i/>
          <w:iCs/>
        </w:rPr>
        <w:t>ex-tempore</w:t>
      </w:r>
      <w:r w:rsidR="002C47EE" w:rsidRPr="002C47EE">
        <w:t xml:space="preserve"> on the 18th of September 2024. Following a request for written reasons, we now present a detailed account of the judgment. These are the written reasons sought. </w:t>
      </w:r>
    </w:p>
    <w:p w14:paraId="7B4710B5" w14:textId="22117ADD" w:rsidR="0078225C" w:rsidRDefault="0078225C" w:rsidP="00E5583C">
      <w:pPr>
        <w:pStyle w:val="NormalWeb"/>
        <w:spacing w:line="360" w:lineRule="auto"/>
        <w:jc w:val="both"/>
      </w:pPr>
      <w:r>
        <w:t>[1]</w:t>
      </w:r>
      <w:r>
        <w:tab/>
      </w:r>
      <w:r w:rsidR="004612E4" w:rsidRPr="00EA122E">
        <w:t>The accused faces three charges: murder, attempted murder, and assault, as defined under Sections 47(1)</w:t>
      </w:r>
      <w:r w:rsidR="006A49AE" w:rsidRPr="00EA122E">
        <w:t>;</w:t>
      </w:r>
      <w:r w:rsidR="004612E4" w:rsidRPr="00EA122E">
        <w:t xml:space="preserve"> 47(1) a</w:t>
      </w:r>
      <w:r w:rsidR="006A49AE" w:rsidRPr="00EA122E">
        <w:t xml:space="preserve">s read with s </w:t>
      </w:r>
      <w:r w:rsidR="004612E4" w:rsidRPr="00EA122E">
        <w:t>189</w:t>
      </w:r>
      <w:r w:rsidR="006A49AE" w:rsidRPr="00EA122E">
        <w:t>;</w:t>
      </w:r>
      <w:r w:rsidR="004612E4" w:rsidRPr="00EA122E">
        <w:t xml:space="preserve"> and </w:t>
      </w:r>
      <w:r w:rsidR="006A49AE" w:rsidRPr="00EA122E">
        <w:t xml:space="preserve">s </w:t>
      </w:r>
      <w:r w:rsidR="004612E4" w:rsidRPr="00EA122E">
        <w:t>89 of the Criminal Law Cod</w:t>
      </w:r>
      <w:r w:rsidR="009079A2">
        <w:t>ification and Reform Act</w:t>
      </w:r>
      <w:r w:rsidR="006A49AE" w:rsidRPr="00EA122E">
        <w:t xml:space="preserve"> [</w:t>
      </w:r>
      <w:r w:rsidR="006A49AE" w:rsidRPr="00EA122E">
        <w:rPr>
          <w:i/>
          <w:iCs/>
        </w:rPr>
        <w:t>Chapter 9:23</w:t>
      </w:r>
      <w:r w:rsidR="006A49AE" w:rsidRPr="00EA122E">
        <w:t>]</w:t>
      </w:r>
      <w:r w:rsidR="009079A2">
        <w:t xml:space="preserve"> (the Criminal Law Code)</w:t>
      </w:r>
      <w:r w:rsidR="004612E4" w:rsidRPr="00EA122E">
        <w:t xml:space="preserve">. </w:t>
      </w:r>
      <w:r w:rsidR="00F10B4E">
        <w:t>It is alleged that on</w:t>
      </w:r>
      <w:r w:rsidR="00F4414B">
        <w:t xml:space="preserve"> the 24</w:t>
      </w:r>
      <w:r w:rsidR="00F4414B" w:rsidRPr="00F4414B">
        <w:rPr>
          <w:vertAlign w:val="superscript"/>
        </w:rPr>
        <w:t>th</w:t>
      </w:r>
      <w:r w:rsidR="00F4414B">
        <w:t xml:space="preserve"> of May 2024 </w:t>
      </w:r>
      <w:r w:rsidR="00F10B4E">
        <w:t xml:space="preserve">and </w:t>
      </w:r>
      <w:r w:rsidR="00A721AD">
        <w:t>at Stone</w:t>
      </w:r>
      <w:r w:rsidR="00F4414B">
        <w:t xml:space="preserve"> Steel</w:t>
      </w:r>
      <w:r w:rsidR="007B0021">
        <w:t xml:space="preserve"> Mine, also known as</w:t>
      </w:r>
      <w:r w:rsidR="00F4414B">
        <w:t xml:space="preserve"> Blue Mine, </w:t>
      </w:r>
      <w:proofErr w:type="spellStart"/>
      <w:r w:rsidR="00F4414B">
        <w:t>Zhombe</w:t>
      </w:r>
      <w:proofErr w:type="spellEnd"/>
      <w:r w:rsidR="00F4414B">
        <w:t xml:space="preserve">, </w:t>
      </w:r>
      <w:r w:rsidR="00F10B4E">
        <w:t>he</w:t>
      </w:r>
      <w:r w:rsidR="00F4414B">
        <w:t xml:space="preserve"> unlawfully and with intent to kill or </w:t>
      </w:r>
      <w:bookmarkStart w:id="0" w:name="_Hlk194945863"/>
      <w:r w:rsidR="00F4414B">
        <w:t>realising that</w:t>
      </w:r>
      <w:r w:rsidR="00A721AD">
        <w:t xml:space="preserve"> there was a real risk or possibility that</w:t>
      </w:r>
      <w:r w:rsidR="00F4414B">
        <w:t xml:space="preserve"> his conduct may cause death and continued to engage in that conduct despite the risk or possibility,</w:t>
      </w:r>
      <w:bookmarkEnd w:id="0"/>
      <w:r w:rsidR="00F4414B">
        <w:t xml:space="preserve"> shot </w:t>
      </w:r>
      <w:proofErr w:type="spellStart"/>
      <w:r w:rsidR="00F4414B">
        <w:t>Goni</w:t>
      </w:r>
      <w:proofErr w:type="spellEnd"/>
      <w:r w:rsidR="00F4414B">
        <w:t xml:space="preserve"> </w:t>
      </w:r>
      <w:proofErr w:type="spellStart"/>
      <w:r w:rsidR="00F4414B">
        <w:t>Goni</w:t>
      </w:r>
      <w:proofErr w:type="spellEnd"/>
      <w:r w:rsidR="00F4414B">
        <w:t xml:space="preserve"> on the thigh with a </w:t>
      </w:r>
      <w:proofErr w:type="spellStart"/>
      <w:r w:rsidR="00F4414B">
        <w:t>Noringo</w:t>
      </w:r>
      <w:proofErr w:type="spellEnd"/>
      <w:r w:rsidR="00F4414B">
        <w:t xml:space="preserve"> pistol thereby causing his death. Using the same pistol, the accused is alleged to have attempted to kill</w:t>
      </w:r>
      <w:r w:rsidR="00A721AD">
        <w:t xml:space="preserve"> </w:t>
      </w:r>
      <w:bookmarkStart w:id="1" w:name="_Hlk195011946"/>
      <w:r w:rsidR="00A721AD">
        <w:t xml:space="preserve">John </w:t>
      </w:r>
      <w:proofErr w:type="spellStart"/>
      <w:r w:rsidR="00A721AD">
        <w:t>Muchawaya</w:t>
      </w:r>
      <w:proofErr w:type="spellEnd"/>
      <w:r w:rsidR="00A721AD">
        <w:t xml:space="preserve"> </w:t>
      </w:r>
      <w:proofErr w:type="spellStart"/>
      <w:r w:rsidR="00A721AD">
        <w:t>Bera</w:t>
      </w:r>
      <w:proofErr w:type="spellEnd"/>
      <w:r w:rsidR="00A721AD">
        <w:t xml:space="preserve"> </w:t>
      </w:r>
      <w:bookmarkEnd w:id="1"/>
      <w:r w:rsidR="00A721AD">
        <w:t xml:space="preserve">by shooting him once one the right knee and once on the left thigh. The accused is also alleged to have unlawfully struck Lovemore </w:t>
      </w:r>
      <w:proofErr w:type="spellStart"/>
      <w:r w:rsidR="00A721AD">
        <w:t>Mapfanya</w:t>
      </w:r>
      <w:proofErr w:type="spellEnd"/>
      <w:r w:rsidR="00A721AD">
        <w:t xml:space="preserve"> with a clenched fist once on the head intending to cause him harm or </w:t>
      </w:r>
      <w:r w:rsidR="00A721AD" w:rsidRPr="00A721AD">
        <w:t>realising</w:t>
      </w:r>
      <w:r w:rsidR="00A721AD">
        <w:t xml:space="preserve"> that there was a real risk or possibility </w:t>
      </w:r>
      <w:r w:rsidR="00A721AD" w:rsidRPr="00A721AD">
        <w:t xml:space="preserve">that his conduct may cause </w:t>
      </w:r>
      <w:r w:rsidR="00A721AD">
        <w:t xml:space="preserve">harm </w:t>
      </w:r>
      <w:r w:rsidR="00A721AD" w:rsidRPr="00A721AD">
        <w:t>and continued to engage in that conduct despite the risk or possibility</w:t>
      </w:r>
      <w:r w:rsidR="00A721AD">
        <w:t xml:space="preserve">. </w:t>
      </w:r>
    </w:p>
    <w:p w14:paraId="77EAEAC4" w14:textId="7883F28B" w:rsidR="00A4466B" w:rsidRDefault="00A4466B" w:rsidP="00E5583C">
      <w:pPr>
        <w:pStyle w:val="NormalWeb"/>
        <w:spacing w:line="360" w:lineRule="auto"/>
        <w:jc w:val="both"/>
      </w:pPr>
      <w:r w:rsidRPr="00A4466B">
        <w:lastRenderedPageBreak/>
        <w:t>[2]</w:t>
      </w:r>
      <w:r w:rsidRPr="00A4466B">
        <w:tab/>
        <w:t xml:space="preserve">The accused pleaded not guilty to all </w:t>
      </w:r>
      <w:r>
        <w:t xml:space="preserve">the </w:t>
      </w:r>
      <w:r w:rsidRPr="00A4466B">
        <w:t>charges.</w:t>
      </w:r>
      <w:r>
        <w:t xml:space="preserve"> </w:t>
      </w:r>
      <w:r w:rsidRPr="00A4466B">
        <w:t>In his defence, the accused did not dispute shooting the deceased in the murder charge and the complainant in the attempted murder charge. He claimed that his actions were in self-defence and in defence of his property. Regarding the assault charge, the accused stated that it was fabricated.</w:t>
      </w:r>
    </w:p>
    <w:p w14:paraId="23835B73" w14:textId="1F0D6027" w:rsidR="000976D7" w:rsidRDefault="0078225C" w:rsidP="000976D7">
      <w:pPr>
        <w:pStyle w:val="NormalWeb"/>
        <w:spacing w:line="360" w:lineRule="auto"/>
        <w:jc w:val="both"/>
      </w:pPr>
      <w:r>
        <w:t>[3]</w:t>
      </w:r>
      <w:r>
        <w:tab/>
      </w:r>
      <w:r w:rsidR="004612E4" w:rsidRPr="00EA122E">
        <w:t xml:space="preserve">It is common cause that the accused is a Chinese national residing in this country on the basis of a Temporary </w:t>
      </w:r>
      <w:r w:rsidR="004612E4" w:rsidRPr="007B0021">
        <w:t>Employment P</w:t>
      </w:r>
      <w:r w:rsidR="004612E4" w:rsidRPr="00EA122E">
        <w:t xml:space="preserve">ermit. He operates Stone Steel Mine, also referred to as </w:t>
      </w:r>
      <w:r w:rsidR="004612E4" w:rsidRPr="007B0021">
        <w:t xml:space="preserve">Blue Mine, </w:t>
      </w:r>
      <w:r w:rsidR="004612E4" w:rsidRPr="00EA122E">
        <w:t xml:space="preserve">located in </w:t>
      </w:r>
      <w:proofErr w:type="spellStart"/>
      <w:r w:rsidR="004612E4" w:rsidRPr="00EA122E">
        <w:t>Zh</w:t>
      </w:r>
      <w:r w:rsidR="004072E1" w:rsidRPr="00EA122E">
        <w:t>o</w:t>
      </w:r>
      <w:r w:rsidR="004612E4" w:rsidRPr="00EA122E">
        <w:t>mbe</w:t>
      </w:r>
      <w:proofErr w:type="spellEnd"/>
      <w:r w:rsidR="004612E4" w:rsidRPr="00EA122E">
        <w:t xml:space="preserve">, </w:t>
      </w:r>
      <w:proofErr w:type="spellStart"/>
      <w:r w:rsidR="004612E4" w:rsidRPr="00EA122E">
        <w:t>Kwekwe</w:t>
      </w:r>
      <w:proofErr w:type="spellEnd"/>
      <w:r w:rsidR="004612E4" w:rsidRPr="00EA122E">
        <w:t xml:space="preserve">. This mine shares a boundary with </w:t>
      </w:r>
      <w:r w:rsidR="004612E4" w:rsidRPr="007B0021">
        <w:t xml:space="preserve">Blackhand </w:t>
      </w:r>
      <w:r w:rsidR="004612E4" w:rsidRPr="00EA122E">
        <w:t>10 Mine</w:t>
      </w:r>
      <w:r w:rsidR="009079A2">
        <w:t xml:space="preserve"> owned by Cornelius </w:t>
      </w:r>
      <w:proofErr w:type="spellStart"/>
      <w:r w:rsidR="009079A2">
        <w:t>Shariwa</w:t>
      </w:r>
      <w:proofErr w:type="spellEnd"/>
      <w:r w:rsidR="004612E4" w:rsidRPr="00EA122E">
        <w:t xml:space="preserve">. The State’s evidence </w:t>
      </w:r>
      <w:r w:rsidR="004072E1" w:rsidRPr="00EA122E">
        <w:t xml:space="preserve">was to the effect </w:t>
      </w:r>
      <w:r w:rsidR="004612E4" w:rsidRPr="00EA122E">
        <w:t xml:space="preserve">that the deceased and the complainants in Counts 2 and 3 were employees </w:t>
      </w:r>
      <w:r w:rsidR="004612E4" w:rsidRPr="007B0021">
        <w:t>of Blackhand</w:t>
      </w:r>
      <w:r w:rsidR="004612E4" w:rsidRPr="00EA122E">
        <w:rPr>
          <w:b/>
          <w:bCs/>
        </w:rPr>
        <w:t xml:space="preserve"> </w:t>
      </w:r>
      <w:r w:rsidR="004612E4" w:rsidRPr="00EA122E">
        <w:t>10 Mine. On the day of the incident, they had gone underground to erect a barricade at the intersection between the two mines, Stone Steel Mine and Blackhand 10 Mine.</w:t>
      </w:r>
      <w:r w:rsidR="00A8048E">
        <w:t xml:space="preserve"> </w:t>
      </w:r>
      <w:r w:rsidR="004612E4" w:rsidRPr="00EA122E">
        <w:t>As the deceased</w:t>
      </w:r>
      <w:r w:rsidR="00F10B4E">
        <w:t xml:space="preserve">, </w:t>
      </w:r>
      <w:r w:rsidR="004612E4" w:rsidRPr="00EA122E">
        <w:t xml:space="preserve">complainants </w:t>
      </w:r>
      <w:r w:rsidR="00F10B4E">
        <w:t xml:space="preserve">and their workmates </w:t>
      </w:r>
      <w:r w:rsidR="004612E4" w:rsidRPr="00EA122E">
        <w:t>were working underground</w:t>
      </w:r>
      <w:r w:rsidR="00F10B4E">
        <w:t xml:space="preserve"> erecting the barricade</w:t>
      </w:r>
      <w:r w:rsidR="004612E4" w:rsidRPr="00EA122E">
        <w:t xml:space="preserve">, the accused entered </w:t>
      </w:r>
      <w:r w:rsidR="00F10B4E">
        <w:t>his</w:t>
      </w:r>
      <w:r w:rsidR="004612E4" w:rsidRPr="00EA122E">
        <w:t xml:space="preserve"> mine using his shaft</w:t>
      </w:r>
      <w:r w:rsidR="00F10B4E">
        <w:t xml:space="preserve"> and proceeded to the intersection between the two mines</w:t>
      </w:r>
      <w:r w:rsidR="004612E4" w:rsidRPr="00EA122E">
        <w:t xml:space="preserve">. A confrontation ensued between the accused and the </w:t>
      </w:r>
      <w:r w:rsidR="00725E4C">
        <w:t xml:space="preserve">Blackhand 10 Mine </w:t>
      </w:r>
      <w:r w:rsidR="004612E4" w:rsidRPr="00EA122E">
        <w:t>workers, during which the accused shot at them.</w:t>
      </w:r>
      <w:r w:rsidR="00A8048E">
        <w:t xml:space="preserve"> </w:t>
      </w:r>
      <w:r w:rsidR="00F4349A">
        <w:t>Resultantly, he killed the deceased and injured the complainant in the second count</w:t>
      </w:r>
      <w:r w:rsidR="009079A2">
        <w:t xml:space="preserve">, </w:t>
      </w:r>
      <w:r w:rsidR="009079A2" w:rsidRPr="009079A2">
        <w:t xml:space="preserve">John </w:t>
      </w:r>
      <w:proofErr w:type="spellStart"/>
      <w:r w:rsidR="009079A2" w:rsidRPr="009079A2">
        <w:t>Muchawaya</w:t>
      </w:r>
      <w:proofErr w:type="spellEnd"/>
      <w:r w:rsidR="009079A2" w:rsidRPr="009079A2">
        <w:t xml:space="preserve"> </w:t>
      </w:r>
      <w:proofErr w:type="spellStart"/>
      <w:r w:rsidR="009079A2" w:rsidRPr="009079A2">
        <w:t>Bera</w:t>
      </w:r>
      <w:proofErr w:type="spellEnd"/>
      <w:r w:rsidR="00F4349A">
        <w:t xml:space="preserve">. The accused is also said to have struck </w:t>
      </w:r>
      <w:r w:rsidR="0008251B">
        <w:t>another worker</w:t>
      </w:r>
      <w:r w:rsidR="009079A2">
        <w:t xml:space="preserve">, Lovemore </w:t>
      </w:r>
      <w:proofErr w:type="spellStart"/>
      <w:r w:rsidR="009079A2">
        <w:t>Mapfanya</w:t>
      </w:r>
      <w:proofErr w:type="spellEnd"/>
      <w:r w:rsidR="00F4349A">
        <w:t xml:space="preserve"> on the head resulting in the third charge of assault. </w:t>
      </w:r>
    </w:p>
    <w:p w14:paraId="122D9F0E" w14:textId="2CE00206" w:rsidR="00A8048E" w:rsidRDefault="00A8048E" w:rsidP="00E5583C">
      <w:pPr>
        <w:pStyle w:val="NormalWeb"/>
        <w:spacing w:line="360" w:lineRule="auto"/>
        <w:jc w:val="both"/>
      </w:pPr>
      <w:r>
        <w:t>[4]</w:t>
      </w:r>
      <w:r>
        <w:tab/>
      </w:r>
      <w:r w:rsidR="004612E4" w:rsidRPr="00EA122E">
        <w:t>In raising the defen</w:t>
      </w:r>
      <w:r w:rsidR="004072E1" w:rsidRPr="00EA122E">
        <w:t>c</w:t>
      </w:r>
      <w:r w:rsidR="004612E4" w:rsidRPr="00EA122E">
        <w:t>e of self-defen</w:t>
      </w:r>
      <w:r w:rsidR="004072E1" w:rsidRPr="00EA122E">
        <w:t>c</w:t>
      </w:r>
      <w:r w:rsidR="004612E4" w:rsidRPr="00EA122E">
        <w:t>e and defen</w:t>
      </w:r>
      <w:r w:rsidR="004072E1" w:rsidRPr="00EA122E">
        <w:t>c</w:t>
      </w:r>
      <w:r w:rsidR="004612E4" w:rsidRPr="00EA122E">
        <w:t>e of property, the accused stated in his defen</w:t>
      </w:r>
      <w:r w:rsidR="006C4944">
        <w:t>c</w:t>
      </w:r>
      <w:r w:rsidR="004612E4" w:rsidRPr="00EA122E">
        <w:t xml:space="preserve">e outline that, prior to the incident, illegal gold panners had breached the underground workings between his mine and Blackhand 10 Mine. The accused, who knew Mr. Cornelius </w:t>
      </w:r>
      <w:proofErr w:type="spellStart"/>
      <w:r w:rsidR="004612E4" w:rsidRPr="00EA122E">
        <w:t>Shariwa</w:t>
      </w:r>
      <w:proofErr w:type="spellEnd"/>
      <w:r w:rsidR="004612E4" w:rsidRPr="00EA122E">
        <w:t xml:space="preserve"> as the owner of Blackhand 10 Mine, explained that these illegal gold panners had repeatedly stolen gold ore and mining equipment from his mine via the breached boundary. </w:t>
      </w:r>
      <w:r w:rsidR="004072E1" w:rsidRPr="00EA122E">
        <w:t>The accused said d</w:t>
      </w:r>
      <w:r w:rsidR="004612E4" w:rsidRPr="00EA122E">
        <w:t>espite reporting these thefts to the police, the problem persisted.</w:t>
      </w:r>
      <w:r>
        <w:t xml:space="preserve"> </w:t>
      </w:r>
      <w:r w:rsidR="0095365E">
        <w:t>The police were not helpful.</w:t>
      </w:r>
    </w:p>
    <w:p w14:paraId="329D4974" w14:textId="7E8895F4" w:rsidR="00A8048E" w:rsidRDefault="00A8048E" w:rsidP="00E5583C">
      <w:pPr>
        <w:pStyle w:val="NormalWeb"/>
        <w:spacing w:line="360" w:lineRule="auto"/>
        <w:jc w:val="both"/>
      </w:pPr>
      <w:r>
        <w:t>[5]</w:t>
      </w:r>
      <w:r>
        <w:tab/>
      </w:r>
      <w:r w:rsidR="004612E4" w:rsidRPr="00EA122E">
        <w:t xml:space="preserve">On the day in question, the accused claimed </w:t>
      </w:r>
      <w:r w:rsidR="0095365E">
        <w:t xml:space="preserve">in his defence outline that </w:t>
      </w:r>
      <w:r w:rsidR="004612E4" w:rsidRPr="00EA122E">
        <w:t xml:space="preserve">he was informed by his security guard, </w:t>
      </w:r>
      <w:proofErr w:type="spellStart"/>
      <w:r w:rsidR="004612E4" w:rsidRPr="00EA122E">
        <w:t>Takesure</w:t>
      </w:r>
      <w:proofErr w:type="spellEnd"/>
      <w:r w:rsidR="004612E4" w:rsidRPr="00EA122E">
        <w:t xml:space="preserve"> </w:t>
      </w:r>
      <w:proofErr w:type="spellStart"/>
      <w:r w:rsidR="004612E4" w:rsidRPr="00EA122E">
        <w:t>Ndlovu</w:t>
      </w:r>
      <w:proofErr w:type="spellEnd"/>
      <w:r w:rsidR="009D1F1C">
        <w:t xml:space="preserve"> </w:t>
      </w:r>
      <w:r w:rsidR="004612E4" w:rsidRPr="00EA122E">
        <w:t>that intruders had entered the mine. These in</w:t>
      </w:r>
      <w:r w:rsidR="0028269E" w:rsidRPr="00EA122E">
        <w:t>truders</w:t>
      </w:r>
      <w:r w:rsidR="004612E4" w:rsidRPr="00EA122E">
        <w:t xml:space="preserve"> were reportedly armed with axes, machetes, hammers, and chisels, which they </w:t>
      </w:r>
      <w:r w:rsidR="00974A44" w:rsidRPr="00EA122E">
        <w:t xml:space="preserve">were </w:t>
      </w:r>
      <w:r w:rsidR="004612E4" w:rsidRPr="00EA122E">
        <w:t>us</w:t>
      </w:r>
      <w:r w:rsidR="00974A44" w:rsidRPr="00EA122E">
        <w:t>ing</w:t>
      </w:r>
      <w:r w:rsidR="004612E4" w:rsidRPr="00EA122E">
        <w:t xml:space="preserve"> for illegal </w:t>
      </w:r>
      <w:r w:rsidR="004612E4" w:rsidRPr="00EA122E">
        <w:lastRenderedPageBreak/>
        <w:t xml:space="preserve">mining activities. </w:t>
      </w:r>
      <w:proofErr w:type="spellStart"/>
      <w:r w:rsidR="004612E4" w:rsidRPr="00EA122E">
        <w:t>Takesure</w:t>
      </w:r>
      <w:proofErr w:type="spellEnd"/>
      <w:r w:rsidR="004612E4" w:rsidRPr="00EA122E">
        <w:t xml:space="preserve"> </w:t>
      </w:r>
      <w:r w:rsidR="00974A44" w:rsidRPr="00EA122E">
        <w:t xml:space="preserve">who </w:t>
      </w:r>
      <w:r w:rsidR="004612E4" w:rsidRPr="00EA122E">
        <w:t>had encountered the intruders underground refused to accompany the accused, as they had chased him and attempted to attack him.</w:t>
      </w:r>
      <w:r>
        <w:t xml:space="preserve"> </w:t>
      </w:r>
    </w:p>
    <w:p w14:paraId="6ABB4AEB" w14:textId="705B4D0D" w:rsidR="00A8048E" w:rsidRDefault="00A8048E" w:rsidP="00E5583C">
      <w:pPr>
        <w:pStyle w:val="NormalWeb"/>
        <w:spacing w:line="360" w:lineRule="auto"/>
        <w:jc w:val="both"/>
      </w:pPr>
      <w:r>
        <w:t xml:space="preserve">[6] </w:t>
      </w:r>
      <w:r>
        <w:tab/>
      </w:r>
      <w:r w:rsidR="004612E4" w:rsidRPr="00EA122E">
        <w:t>The accused stated that he entered the shaft alone</w:t>
      </w:r>
      <w:r w:rsidR="0089150E">
        <w:t xml:space="preserve">, with a torch on his forehead </w:t>
      </w:r>
      <w:r w:rsidR="004612E4" w:rsidRPr="00EA122E">
        <w:t xml:space="preserve">and saw approximately eight individuals carrying sacks of gold ore from his mine through Blackhand 10 Mine’s exit. All of them were armed with weapons, </w:t>
      </w:r>
      <w:r w:rsidR="002F4D4D" w:rsidRPr="00EA122E">
        <w:t>which included</w:t>
      </w:r>
      <w:r w:rsidR="004612E4" w:rsidRPr="00EA122E">
        <w:t xml:space="preserve"> machetes, axes, hammers, and chisels. Upon seeing the accused, they ran toward him, threatening and shouting in a language he did not understand.</w:t>
      </w:r>
      <w:r w:rsidR="002F4D4D" w:rsidRPr="00EA122E">
        <w:t xml:space="preserve"> </w:t>
      </w:r>
      <w:r w:rsidR="004612E4" w:rsidRPr="00EA122E">
        <w:t>The accused fired three warning shots into the roof of the mine to deter the attackers, but they continued charging at him. Fearing for his life and the safety of his property, he shot twice at the legs of the complainant in the attempted murder charge, who was carrying a metal weapon. Th</w:t>
      </w:r>
      <w:r w:rsidR="002F4D4D" w:rsidRPr="00EA122E">
        <w:t>is</w:t>
      </w:r>
      <w:r w:rsidR="004612E4" w:rsidRPr="00EA122E">
        <w:t xml:space="preserve"> complainant retreated after being shot.</w:t>
      </w:r>
      <w:r>
        <w:t xml:space="preserve"> </w:t>
      </w:r>
      <w:r w:rsidR="004612E4" w:rsidRPr="00EA122E">
        <w:t>The deceased, armed with an axe, continued advancing toward the accused with the intention to attack. The accused then fired at the deceased's leg, causing him to fall to the ground. The intruders subsequently pulled away the wounded complainant and exited through Blackhand 10 Mine’s shaft</w:t>
      </w:r>
      <w:r w:rsidR="005F6679" w:rsidRPr="00EA122E">
        <w:t xml:space="preserve">. </w:t>
      </w:r>
    </w:p>
    <w:p w14:paraId="4B37819B" w14:textId="45817F24" w:rsidR="004612E4" w:rsidRDefault="00A8048E" w:rsidP="00E5583C">
      <w:pPr>
        <w:pStyle w:val="NormalWeb"/>
        <w:spacing w:line="360" w:lineRule="auto"/>
        <w:jc w:val="both"/>
      </w:pPr>
      <w:r>
        <w:t>[7]</w:t>
      </w:r>
      <w:r>
        <w:tab/>
      </w:r>
      <w:r w:rsidR="004612E4" w:rsidRPr="00EA122E">
        <w:t>The accused stated that he checked on the deceased, who was still alive, and attempted to minimi</w:t>
      </w:r>
      <w:r w:rsidR="005F6679" w:rsidRPr="00EA122E">
        <w:t>s</w:t>
      </w:r>
      <w:r w:rsidR="004612E4" w:rsidRPr="00EA122E">
        <w:t xml:space="preserve">e bleeding by using </w:t>
      </w:r>
      <w:r w:rsidR="00142F7C">
        <w:t xml:space="preserve">a </w:t>
      </w:r>
      <w:r w:rsidR="004612E4" w:rsidRPr="00EA122E">
        <w:t>torn piece of a sack and his work suit to tie the injured leg. He called for assistance from his employees, who helped ferry the deceased out of the shaft. Unfortunately, the deceased passed away before medical help could be obtained. His body was laid on the ground awaiting the arrival of the police.</w:t>
      </w:r>
      <w:r w:rsidR="00142F7C">
        <w:t xml:space="preserve"> </w:t>
      </w:r>
      <w:r w:rsidR="004612E4" w:rsidRPr="00EA122E">
        <w:t>The accused</w:t>
      </w:r>
      <w:r w:rsidR="00142F7C">
        <w:t xml:space="preserve"> said he</w:t>
      </w:r>
      <w:r w:rsidR="004612E4" w:rsidRPr="00EA122E">
        <w:t xml:space="preserve"> instructed his employee, </w:t>
      </w:r>
      <w:r w:rsidR="004612E4" w:rsidRPr="0089150E">
        <w:t xml:space="preserve">Roy </w:t>
      </w:r>
      <w:proofErr w:type="spellStart"/>
      <w:r w:rsidR="004612E4" w:rsidRPr="0089150E">
        <w:t>Tag</w:t>
      </w:r>
      <w:r w:rsidR="0089150E">
        <w:t>u</w:t>
      </w:r>
      <w:r w:rsidR="004612E4" w:rsidRPr="0089150E">
        <w:t>ma</w:t>
      </w:r>
      <w:proofErr w:type="spellEnd"/>
      <w:r w:rsidR="004612E4" w:rsidRPr="00EA122E">
        <w:t xml:space="preserve">, to report the incident to the police. Upon their arrival, the police detained and charged </w:t>
      </w:r>
      <w:r w:rsidR="0089150E">
        <w:t>him</w:t>
      </w:r>
      <w:r w:rsidR="004612E4" w:rsidRPr="00EA122E">
        <w:t>. He claimed that he had no intention of killing anyone, as evidenced by the injuries inflicted</w:t>
      </w:r>
      <w:r w:rsidR="00142F7C">
        <w:t xml:space="preserve"> on the people he shot</w:t>
      </w:r>
      <w:r w:rsidR="004612E4" w:rsidRPr="00EA122E">
        <w:t>.</w:t>
      </w:r>
      <w:r w:rsidR="00142F7C">
        <w:t xml:space="preserve"> </w:t>
      </w:r>
      <w:r w:rsidR="004612E4" w:rsidRPr="00EA122E">
        <w:t xml:space="preserve">The accused </w:t>
      </w:r>
      <w:r w:rsidR="00267245" w:rsidRPr="00EA122E">
        <w:t xml:space="preserve">said he </w:t>
      </w:r>
      <w:r w:rsidR="004612E4" w:rsidRPr="00EA122E">
        <w:t>offered to show the police the weapons and sacks of gold ore left underground by the intruders, but the police declined his offer</w:t>
      </w:r>
      <w:r w:rsidR="0089150E">
        <w:t xml:space="preserve"> to go down the mine</w:t>
      </w:r>
      <w:r w:rsidR="004612E4" w:rsidRPr="00EA122E">
        <w:t>, even when he offered to provide protective clothing for access into the shaft.</w:t>
      </w:r>
    </w:p>
    <w:p w14:paraId="25076B12" w14:textId="456E41A8" w:rsidR="007957E9" w:rsidRPr="007957E9" w:rsidRDefault="00142F7C" w:rsidP="008C3F91">
      <w:pPr>
        <w:pStyle w:val="NormalWeb"/>
        <w:spacing w:line="360" w:lineRule="auto"/>
        <w:jc w:val="both"/>
        <w:rPr>
          <w:b/>
          <w:bCs/>
        </w:rPr>
      </w:pPr>
      <w:r>
        <w:t xml:space="preserve">[8] </w:t>
      </w:r>
      <w:r w:rsidR="007957E9" w:rsidRPr="007957E9">
        <w:t>The defen</w:t>
      </w:r>
      <w:r w:rsidR="004E414A">
        <w:t>c</w:t>
      </w:r>
      <w:r w:rsidR="007957E9" w:rsidRPr="007957E9">
        <w:t>e of self-defen</w:t>
      </w:r>
      <w:r w:rsidR="004E414A">
        <w:t>c</w:t>
      </w:r>
      <w:r w:rsidR="007957E9" w:rsidRPr="007957E9">
        <w:t>e is governed by Sections 252 to 254 of the Criminal Law Codification and Reform Act. Section 252</w:t>
      </w:r>
      <w:r w:rsidR="00EF0DC4">
        <w:t xml:space="preserve"> </w:t>
      </w:r>
      <w:r w:rsidR="007957E9" w:rsidRPr="007957E9">
        <w:t>defines "unlawful attack" as any unlawful conduct that endangers a person's life, bodily integrity, or freedom. This forms the foundation of self-defen</w:t>
      </w:r>
      <w:r w:rsidR="004E414A">
        <w:t>c</w:t>
      </w:r>
      <w:r w:rsidR="007957E9" w:rsidRPr="007957E9">
        <w:t>e, as the right to defend oneself or others</w:t>
      </w:r>
      <w:r w:rsidR="004E414A">
        <w:t>. It</w:t>
      </w:r>
      <w:r w:rsidR="007957E9" w:rsidRPr="007957E9">
        <w:t xml:space="preserve"> arises when such an attack occurs or is imminent.</w:t>
      </w:r>
      <w:r w:rsidR="00EF0DC4">
        <w:t xml:space="preserve"> </w:t>
      </w:r>
      <w:r w:rsidR="007957E9" w:rsidRPr="007957E9">
        <w:t>Section 253 outlines the requirements that must be met for self-defen</w:t>
      </w:r>
      <w:r w:rsidR="004E414A">
        <w:t>c</w:t>
      </w:r>
      <w:r w:rsidR="007957E9" w:rsidRPr="007957E9">
        <w:t>e to serve as a complete defen</w:t>
      </w:r>
      <w:r w:rsidR="004E414A">
        <w:t>c</w:t>
      </w:r>
      <w:r w:rsidR="007957E9" w:rsidRPr="007957E9">
        <w:t xml:space="preserve">e to </w:t>
      </w:r>
      <w:r w:rsidR="007957E9" w:rsidRPr="007957E9">
        <w:lastRenderedPageBreak/>
        <w:t>a crime. For the accused to rely on this defen</w:t>
      </w:r>
      <w:r w:rsidR="004E414A">
        <w:t>c</w:t>
      </w:r>
      <w:r w:rsidR="007957E9" w:rsidRPr="007957E9">
        <w:t>e successfully, the following conditions must be satisfied</w:t>
      </w:r>
      <w:r w:rsidR="00EF0DC4">
        <w:t xml:space="preserve">. </w:t>
      </w:r>
      <w:r w:rsidR="007957E9" w:rsidRPr="007957E9">
        <w:t>The unlawful attack must have already commenced or be imminent, or the accused must have reasonably believed that the attack was imminent</w:t>
      </w:r>
      <w:r w:rsidR="00EF0DC4">
        <w:t>- t</w:t>
      </w:r>
      <w:r w:rsidR="007957E9" w:rsidRPr="007957E9">
        <w:t>his ensures that self-defen</w:t>
      </w:r>
      <w:r w:rsidR="00AD5B56">
        <w:t>c</w:t>
      </w:r>
      <w:r w:rsidR="007957E9" w:rsidRPr="007957E9">
        <w:t xml:space="preserve">e is not used </w:t>
      </w:r>
      <w:r w:rsidR="00AD5B56" w:rsidRPr="007957E9">
        <w:t>pre-emptively</w:t>
      </w:r>
      <w:r w:rsidR="007957E9" w:rsidRPr="007957E9">
        <w:t xml:space="preserve"> or in situations where there is no real threat</w:t>
      </w:r>
      <w:r w:rsidR="00EF0DC4">
        <w:t>; t</w:t>
      </w:r>
      <w:r w:rsidR="007957E9" w:rsidRPr="007957E9">
        <w:t>he accused’s actions must have been necessary to avert the unlawful attack, and there must have been no other means to escape or prevent the attack.</w:t>
      </w:r>
      <w:r w:rsidR="00EF0DC4">
        <w:t xml:space="preserve"> </w:t>
      </w:r>
      <w:r w:rsidR="007957E9" w:rsidRPr="007957E9">
        <w:t>Alternatively, the accused must have reasonably believed that their conduct was necessary to avert the attack and that no alternative means were available</w:t>
      </w:r>
      <w:r w:rsidR="00EF0DC4">
        <w:t xml:space="preserve">; </w:t>
      </w:r>
      <w:r w:rsidR="00BF4BE3">
        <w:t>t</w:t>
      </w:r>
      <w:r w:rsidR="007957E9" w:rsidRPr="007957E9">
        <w:t>he means employed to avert the unlawful attack must be reasonable in the circumstances</w:t>
      </w:r>
      <w:r w:rsidR="00EF0DC4">
        <w:t xml:space="preserve"> - t</w:t>
      </w:r>
      <w:r w:rsidR="007957E9" w:rsidRPr="007957E9">
        <w:t>his prevents the use of excessive or disproportionate force in self-defen</w:t>
      </w:r>
      <w:r w:rsidR="000E2A74">
        <w:t>c</w:t>
      </w:r>
      <w:r w:rsidR="007957E9" w:rsidRPr="007957E9">
        <w:t>e</w:t>
      </w:r>
      <w:r w:rsidR="00EF0DC4">
        <w:t xml:space="preserve">; </w:t>
      </w:r>
      <w:r w:rsidR="00BF4BE3">
        <w:t>a</w:t>
      </w:r>
      <w:r w:rsidR="007957E9" w:rsidRPr="007957E9">
        <w:t>ny harm or injury caused by the accused must have been inflicted on the attacker and not on innocent third parties.</w:t>
      </w:r>
      <w:r w:rsidR="00EF0DC4">
        <w:t xml:space="preserve"> </w:t>
      </w:r>
      <w:r w:rsidR="007957E9" w:rsidRPr="007957E9">
        <w:t>Additionally, the harm caused must not have been grossly disproportionate to the harm threatened by the unlawful attack.</w:t>
      </w:r>
      <w:r w:rsidR="00EF0DC4">
        <w:t xml:space="preserve"> </w:t>
      </w:r>
      <w:r w:rsidR="007957E9" w:rsidRPr="007957E9">
        <w:t>The law also recognizes the stress or fear the accused may have experienced during the attack, as these factors can affect judgment. The court considers the circumstances, knowledge, and capabilities of the accused when evaluating whether the requirements for self-defen</w:t>
      </w:r>
      <w:r w:rsidR="000E2A74">
        <w:t>c</w:t>
      </w:r>
      <w:r w:rsidR="007957E9" w:rsidRPr="007957E9">
        <w:t>e have been met.</w:t>
      </w:r>
    </w:p>
    <w:p w14:paraId="28A3543A" w14:textId="02B35F54" w:rsidR="007957E9" w:rsidRPr="007957E9" w:rsidRDefault="008C3F91" w:rsidP="007957E9">
      <w:pPr>
        <w:pStyle w:val="NormalWeb"/>
        <w:spacing w:line="360" w:lineRule="auto"/>
        <w:jc w:val="both"/>
      </w:pPr>
      <w:r>
        <w:t>[9]</w:t>
      </w:r>
      <w:r>
        <w:tab/>
      </w:r>
      <w:r w:rsidR="007957E9" w:rsidRPr="007957E9">
        <w:t>Section 254 provides a partial defen</w:t>
      </w:r>
      <w:r w:rsidR="00C666DF">
        <w:t>c</w:t>
      </w:r>
      <w:r w:rsidR="007957E9" w:rsidRPr="007957E9">
        <w:t>e to murder in cases where the accused was defending themselves or another person against an unlawful attack. If all the requirements for self-defen</w:t>
      </w:r>
      <w:r w:rsidR="00C666DF">
        <w:t>c</w:t>
      </w:r>
      <w:r w:rsidR="007957E9" w:rsidRPr="007957E9">
        <w:t>e under Section 253 are met, except that the means used to avert the attack were unreasonable in the circumstances, the accused will be found guilty of culpable homicide instead of murder. This reflects the principle that while the accused may have had a legitimate reason to defend themselves, their actions were excessive or disproportionate in responding to the threat.</w:t>
      </w:r>
    </w:p>
    <w:p w14:paraId="1CE301E0" w14:textId="4D6F4D51" w:rsidR="007957E9" w:rsidRDefault="008C3F91" w:rsidP="007957E9">
      <w:pPr>
        <w:pStyle w:val="NormalWeb"/>
        <w:spacing w:line="360" w:lineRule="auto"/>
        <w:jc w:val="both"/>
      </w:pPr>
      <w:r>
        <w:t>[10]</w:t>
      </w:r>
      <w:r>
        <w:tab/>
      </w:r>
      <w:r w:rsidR="007957E9" w:rsidRPr="007957E9">
        <w:t xml:space="preserve">In </w:t>
      </w:r>
      <w:r w:rsidR="00C666DF">
        <w:t>short</w:t>
      </w:r>
      <w:r w:rsidR="007957E9" w:rsidRPr="007957E9">
        <w:t>, the defen</w:t>
      </w:r>
      <w:r w:rsidR="00C666DF">
        <w:t>c</w:t>
      </w:r>
      <w:r w:rsidR="007957E9" w:rsidRPr="007957E9">
        <w:t>e of self-defen</w:t>
      </w:r>
      <w:r w:rsidR="00C666DF">
        <w:t>c</w:t>
      </w:r>
      <w:r w:rsidR="007957E9" w:rsidRPr="007957E9">
        <w:t>e requires that the accused’s actions be reasonable, necessary, proportionate, and directly aimed at preventing an imminent or ongoing unlawful attack. However, the defen</w:t>
      </w:r>
      <w:r w:rsidR="00C666DF">
        <w:t>c</w:t>
      </w:r>
      <w:r w:rsidR="007957E9" w:rsidRPr="007957E9">
        <w:t>e has limitations: excessive force or harm disproportionate to the threat negates the complete defen</w:t>
      </w:r>
      <w:r w:rsidR="00C666DF">
        <w:t>c</w:t>
      </w:r>
      <w:r w:rsidR="007957E9" w:rsidRPr="007957E9">
        <w:t>e and may lead to a conviction for culpable homicide instead. These provisions aim to balance the right to self-defen</w:t>
      </w:r>
      <w:r w:rsidR="004E414A">
        <w:t>c</w:t>
      </w:r>
      <w:r w:rsidR="007957E9" w:rsidRPr="007957E9">
        <w:t>e with the need to uphold the sanctity of human life.</w:t>
      </w:r>
    </w:p>
    <w:p w14:paraId="27C7B239" w14:textId="2205B461" w:rsidR="00896052" w:rsidRPr="00896052" w:rsidRDefault="00896052" w:rsidP="00896052">
      <w:pPr>
        <w:pStyle w:val="NormalWeb"/>
        <w:spacing w:line="360" w:lineRule="auto"/>
        <w:jc w:val="both"/>
      </w:pPr>
      <w:r>
        <w:t>[</w:t>
      </w:r>
      <w:r w:rsidR="008C3F91">
        <w:t>11</w:t>
      </w:r>
      <w:r>
        <w:t xml:space="preserve">] </w:t>
      </w:r>
      <w:r>
        <w:tab/>
      </w:r>
      <w:r w:rsidRPr="00896052">
        <w:t>The defen</w:t>
      </w:r>
      <w:r>
        <w:t>c</w:t>
      </w:r>
      <w:r w:rsidRPr="00896052">
        <w:t>e of property, as provided for in Sections 256 to 259 of the Criminal Law Cod</w:t>
      </w:r>
      <w:r w:rsidR="00BF4BE3">
        <w:t>e</w:t>
      </w:r>
      <w:r w:rsidRPr="00896052">
        <w:t xml:space="preserve">, establishes circumstances under which a person may lawfully act to protect their own or another </w:t>
      </w:r>
      <w:r w:rsidRPr="00896052">
        <w:lastRenderedPageBreak/>
        <w:t>person’s property from an unlawful attack. Section 256</w:t>
      </w:r>
      <w:r w:rsidR="003252F7">
        <w:rPr>
          <w:b/>
          <w:bCs/>
        </w:rPr>
        <w:t xml:space="preserve"> </w:t>
      </w:r>
      <w:r w:rsidRPr="00896052">
        <w:t xml:space="preserve">broadly defines "property" as any item of any description and any associated interest or right. An "unlawful attack" on property is interpreted as any unlawful conduct that endangers or infringes upon this property. </w:t>
      </w:r>
    </w:p>
    <w:p w14:paraId="28D1D141" w14:textId="4FE5B937" w:rsidR="00896052" w:rsidRPr="00896052" w:rsidRDefault="008C3F91" w:rsidP="00896052">
      <w:pPr>
        <w:pStyle w:val="NormalWeb"/>
        <w:spacing w:line="360" w:lineRule="auto"/>
        <w:jc w:val="both"/>
        <w:rPr>
          <w:b/>
          <w:bCs/>
        </w:rPr>
      </w:pPr>
      <w:r>
        <w:t>[12]</w:t>
      </w:r>
      <w:r>
        <w:tab/>
      </w:r>
      <w:r w:rsidR="009E082C" w:rsidRPr="009E082C">
        <w:t>In terms of s</w:t>
      </w:r>
      <w:r w:rsidR="00896052" w:rsidRPr="00896052">
        <w:t>ection 257</w:t>
      </w:r>
      <w:r w:rsidR="009E082C" w:rsidRPr="009E082C">
        <w:t xml:space="preserve"> of the Criminal Law Code</w:t>
      </w:r>
      <w:r w:rsidR="009E082C" w:rsidRPr="009E082C">
        <w:rPr>
          <w:b/>
          <w:bCs/>
        </w:rPr>
        <w:t xml:space="preserve"> </w:t>
      </w:r>
      <w:r w:rsidR="009E082C">
        <w:t>f</w:t>
      </w:r>
      <w:r w:rsidR="00896052" w:rsidRPr="00896052">
        <w:t>or defen</w:t>
      </w:r>
      <w:r w:rsidR="00896052">
        <w:t>c</w:t>
      </w:r>
      <w:r w:rsidR="00896052" w:rsidRPr="00896052">
        <w:t>e of property to serve as a complete defen</w:t>
      </w:r>
      <w:r w:rsidR="00896052">
        <w:t>c</w:t>
      </w:r>
      <w:r w:rsidR="00896052" w:rsidRPr="00896052">
        <w:t>e to a crime, certain conditions must be met</w:t>
      </w:r>
      <w:r w:rsidR="009E082C">
        <w:t>.</w:t>
      </w:r>
      <w:r w:rsidR="009E082C">
        <w:rPr>
          <w:b/>
          <w:bCs/>
        </w:rPr>
        <w:t xml:space="preserve"> </w:t>
      </w:r>
      <w:r w:rsidR="00896052" w:rsidRPr="00896052">
        <w:t>The unlawful attack on the property must have commenced or be imminent, or the accused must reasonably believe that the attack was imminent</w:t>
      </w:r>
      <w:r w:rsidR="009E082C">
        <w:t>;</w:t>
      </w:r>
      <w:r w:rsidR="009E082C">
        <w:rPr>
          <w:b/>
          <w:bCs/>
        </w:rPr>
        <w:t xml:space="preserve"> </w:t>
      </w:r>
      <w:r w:rsidR="009E082C">
        <w:t>t</w:t>
      </w:r>
      <w:r w:rsidR="00896052" w:rsidRPr="00896052">
        <w:t>he accused’s actions must have been necessary to avert the unlawful attack</w:t>
      </w:r>
      <w:r w:rsidR="009E082C">
        <w:t xml:space="preserve"> -i</w:t>
      </w:r>
      <w:r w:rsidR="00896052" w:rsidRPr="00896052">
        <w:t>f there were alternative measures to prevent the attack, the accused must reasonably believe that these alternatives were unavailable</w:t>
      </w:r>
      <w:r w:rsidR="009E082C">
        <w:t>; t</w:t>
      </w:r>
      <w:r w:rsidR="00896052" w:rsidRPr="00896052">
        <w:t>he means employed by the accused to protect the property must be reasonable under the circumstances</w:t>
      </w:r>
      <w:r w:rsidR="009E082C">
        <w:t xml:space="preserve"> - e</w:t>
      </w:r>
      <w:r w:rsidR="00896052" w:rsidRPr="00896052">
        <w:t>xcessive force or disproportionate actions are not permissible</w:t>
      </w:r>
      <w:r w:rsidR="009E082C">
        <w:t xml:space="preserve">; </w:t>
      </w:r>
      <w:r w:rsidR="009E082C">
        <w:rPr>
          <w:b/>
          <w:bCs/>
        </w:rPr>
        <w:t xml:space="preserve"> </w:t>
      </w:r>
      <w:r w:rsidR="009E082C">
        <w:t>a</w:t>
      </w:r>
      <w:r w:rsidR="00896052" w:rsidRPr="00896052">
        <w:t>ny harm or injury inflicted must be limited to the attacker and not extend to innocent third parties</w:t>
      </w:r>
      <w:r w:rsidR="009E082C">
        <w:t>; and</w:t>
      </w:r>
      <w:r w:rsidR="00896052" w:rsidRPr="00896052">
        <w:t xml:space="preserve"> </w:t>
      </w:r>
      <w:r w:rsidR="009E082C">
        <w:t>t</w:t>
      </w:r>
      <w:r w:rsidR="00896052" w:rsidRPr="00896052">
        <w:t>he harm caused must not be grossly disproportionate to the threat posed by the unlawful attack.</w:t>
      </w:r>
      <w:r w:rsidR="009E082C">
        <w:rPr>
          <w:b/>
          <w:bCs/>
        </w:rPr>
        <w:t xml:space="preserve"> </w:t>
      </w:r>
      <w:r w:rsidR="00896052" w:rsidRPr="00896052">
        <w:t xml:space="preserve">The law accounts for the stress, fear, or urgency of the situation that may influence the accused's judgment. </w:t>
      </w:r>
    </w:p>
    <w:p w14:paraId="7797FA11" w14:textId="4EEFE865" w:rsidR="00896052" w:rsidRPr="00896052" w:rsidRDefault="008C3F91" w:rsidP="00CC0092">
      <w:pPr>
        <w:pStyle w:val="NormalWeb"/>
        <w:spacing w:line="360" w:lineRule="auto"/>
        <w:jc w:val="both"/>
      </w:pPr>
      <w:r>
        <w:t>[13]</w:t>
      </w:r>
      <w:r>
        <w:tab/>
      </w:r>
      <w:r w:rsidR="00801250">
        <w:t>S</w:t>
      </w:r>
      <w:r w:rsidR="00AF268C">
        <w:t>ection</w:t>
      </w:r>
      <w:r w:rsidR="00801250">
        <w:t xml:space="preserve"> 258 of the Criminal Law Code</w:t>
      </w:r>
      <w:r w:rsidR="00AF268C">
        <w:t xml:space="preserve"> </w:t>
      </w:r>
      <w:r w:rsidR="00896052" w:rsidRPr="00896052">
        <w:t>imposes strict limitations on the defen</w:t>
      </w:r>
      <w:r w:rsidR="00AF268C">
        <w:t>c</w:t>
      </w:r>
      <w:r w:rsidR="00896052" w:rsidRPr="00896052">
        <w:t>e of property when the crime involves killing. The accused can only rely on this defen</w:t>
      </w:r>
      <w:r w:rsidR="00AF268C">
        <w:t>c</w:t>
      </w:r>
      <w:r w:rsidR="00896052" w:rsidRPr="00896052">
        <w:t>e if</w:t>
      </w:r>
      <w:r w:rsidR="00CC0092">
        <w:t xml:space="preserve"> </w:t>
      </w:r>
      <w:r w:rsidR="00BF4BE3">
        <w:t>he/she</w:t>
      </w:r>
      <w:r w:rsidR="00896052" w:rsidRPr="00896052">
        <w:t xml:space="preserve"> resorted to killing only after exhausting all other means of protecting the property</w:t>
      </w:r>
      <w:r w:rsidR="00CC0092">
        <w:t>; t</w:t>
      </w:r>
      <w:r w:rsidR="00896052" w:rsidRPr="00896052">
        <w:t>he property could not have been defended by any other means except by killing</w:t>
      </w:r>
      <w:r w:rsidR="00CC0092" w:rsidRPr="00CC0092">
        <w:rPr>
          <w:b/>
          <w:bCs/>
        </w:rPr>
        <w:t xml:space="preserve"> </w:t>
      </w:r>
      <w:r w:rsidR="00CC0092">
        <w:rPr>
          <w:b/>
          <w:bCs/>
        </w:rPr>
        <w:t xml:space="preserve">- </w:t>
      </w:r>
      <w:r w:rsidR="00CC0092">
        <w:t>k</w:t>
      </w:r>
      <w:r w:rsidR="00CC0092" w:rsidRPr="00896052">
        <w:t xml:space="preserve">illing </w:t>
      </w:r>
      <w:r w:rsidR="00CC0092" w:rsidRPr="00CC0092">
        <w:t>w</w:t>
      </w:r>
      <w:r w:rsidR="00CC0092" w:rsidRPr="00896052">
        <w:t xml:space="preserve">as the </w:t>
      </w:r>
      <w:r w:rsidR="00CC0092" w:rsidRPr="00CC0092">
        <w:t>o</w:t>
      </w:r>
      <w:r w:rsidR="00CC0092" w:rsidRPr="00896052">
        <w:t xml:space="preserve">nly </w:t>
      </w:r>
      <w:r w:rsidR="00CC0092" w:rsidRPr="00CC0092">
        <w:t>o</w:t>
      </w:r>
      <w:r w:rsidR="00CC0092" w:rsidRPr="00896052">
        <w:t>ption</w:t>
      </w:r>
      <w:r w:rsidR="00CC0092">
        <w:t xml:space="preserve">; </w:t>
      </w:r>
      <w:r w:rsidR="00BF4BE3">
        <w:t>t</w:t>
      </w:r>
      <w:r w:rsidR="00896052" w:rsidRPr="00896052">
        <w:t>he property was of vital importance to the accused</w:t>
      </w:r>
      <w:r w:rsidR="00CC0092">
        <w:t xml:space="preserve"> - t</w:t>
      </w:r>
      <w:r w:rsidR="00896052" w:rsidRPr="00896052">
        <w:t>his ensures that the defen</w:t>
      </w:r>
      <w:r w:rsidR="00AF268C">
        <w:t>c</w:t>
      </w:r>
      <w:r w:rsidR="00896052" w:rsidRPr="00896052">
        <w:t>e cannot be invoked for trivial or insignificant property</w:t>
      </w:r>
      <w:r w:rsidR="00CC0092">
        <w:t>; and t</w:t>
      </w:r>
      <w:r w:rsidR="00896052" w:rsidRPr="00896052">
        <w:t>he accused reasonably believed that no adequate compensation would be provided for damage or destruction to the property caused by the attack.</w:t>
      </w:r>
    </w:p>
    <w:p w14:paraId="591EE483" w14:textId="3B0CC488" w:rsidR="00BF680E" w:rsidRDefault="008C3F91" w:rsidP="00896052">
      <w:pPr>
        <w:pStyle w:val="NormalWeb"/>
        <w:spacing w:line="360" w:lineRule="auto"/>
        <w:jc w:val="both"/>
      </w:pPr>
      <w:r>
        <w:t>[14]</w:t>
      </w:r>
      <w:r>
        <w:tab/>
      </w:r>
      <w:r w:rsidR="00CC0092">
        <w:t xml:space="preserve">In terms of s 259 of the Criminal Law Code, </w:t>
      </w:r>
      <w:r w:rsidR="002405FD">
        <w:t>i</w:t>
      </w:r>
      <w:r w:rsidR="00896052" w:rsidRPr="00896052">
        <w:t>f a person accused of murder acted in defen</w:t>
      </w:r>
      <w:r w:rsidR="0020052C">
        <w:t>c</w:t>
      </w:r>
      <w:r w:rsidR="00896052" w:rsidRPr="00896052">
        <w:t>e of property but used unreasonable means to avert the unlawful attack, the defen</w:t>
      </w:r>
      <w:r w:rsidR="0020052C">
        <w:t>c</w:t>
      </w:r>
      <w:r w:rsidR="00896052" w:rsidRPr="00896052">
        <w:t>e may partially apply. In such cases, the accused may be found guilty of culpable homicide instead of murder. This partial defen</w:t>
      </w:r>
      <w:r w:rsidR="0020052C">
        <w:t>c</w:t>
      </w:r>
      <w:r w:rsidR="00896052" w:rsidRPr="00896052">
        <w:t>e highlights the importance of proportionality and reasonableness in actions taken to protect property.</w:t>
      </w:r>
    </w:p>
    <w:p w14:paraId="757803BD" w14:textId="1B1EEA07" w:rsidR="00142F7C" w:rsidRPr="00EA122E" w:rsidRDefault="008C3F91" w:rsidP="00E5583C">
      <w:pPr>
        <w:pStyle w:val="NormalWeb"/>
        <w:spacing w:line="360" w:lineRule="auto"/>
        <w:jc w:val="both"/>
      </w:pPr>
      <w:r>
        <w:t>[15]</w:t>
      </w:r>
      <w:r>
        <w:tab/>
      </w:r>
      <w:r w:rsidR="00006E5C" w:rsidRPr="00006E5C">
        <w:t xml:space="preserve">The difference between </w:t>
      </w:r>
      <w:r w:rsidR="00006E5C">
        <w:t>s</w:t>
      </w:r>
      <w:r w:rsidR="00006E5C" w:rsidRPr="00006E5C">
        <w:t xml:space="preserve">ections 257 and 258 of the Criminal Law </w:t>
      </w:r>
      <w:r w:rsidR="00BF4BE3">
        <w:t>Code</w:t>
      </w:r>
      <w:r w:rsidR="00006E5C" w:rsidRPr="00006E5C">
        <w:t xml:space="preserve"> lies in the nature of the defen</w:t>
      </w:r>
      <w:r w:rsidR="00006E5C">
        <w:t>c</w:t>
      </w:r>
      <w:r w:rsidR="00006E5C" w:rsidRPr="00006E5C">
        <w:t>e of property and the circumstances under which it can be applied</w:t>
      </w:r>
      <w:r w:rsidR="00006E5C">
        <w:t>.</w:t>
      </w:r>
      <w:r w:rsidR="00006E5C" w:rsidRPr="00006E5C">
        <w:t xml:space="preserve"> Section 257 is </w:t>
      </w:r>
      <w:r w:rsidR="00006E5C" w:rsidRPr="00006E5C">
        <w:lastRenderedPageBreak/>
        <w:t>broad in its application and can apply to crimes such as assault, attempted murder, or other offen</w:t>
      </w:r>
      <w:r w:rsidR="00BF4BE3">
        <w:t>c</w:t>
      </w:r>
      <w:r w:rsidR="00006E5C" w:rsidRPr="00006E5C">
        <w:t>es where the accused claims to have acted in defen</w:t>
      </w:r>
      <w:r w:rsidR="00006E5C">
        <w:t>c</w:t>
      </w:r>
      <w:r w:rsidR="00006E5C" w:rsidRPr="00006E5C">
        <w:t>e of property. However, it demands strict adherence to the principles of necessity, reasonableness, and proportionality.</w:t>
      </w:r>
      <w:r w:rsidR="00006E5C" w:rsidRPr="00006E5C">
        <w:rPr>
          <w:rFonts w:eastAsiaTheme="minorHAnsi" w:cstheme="minorBidi"/>
          <w:kern w:val="2"/>
          <w:szCs w:val="22"/>
          <w:lang w:eastAsia="en-US"/>
          <w14:ligatures w14:val="standardContextual"/>
        </w:rPr>
        <w:t xml:space="preserve"> </w:t>
      </w:r>
      <w:r w:rsidR="00006E5C" w:rsidRPr="00006E5C">
        <w:t>Section 258 recognizes the gravity of taking a life and sets a higher threshold for invoking the defen</w:t>
      </w:r>
      <w:r w:rsidR="00006E5C">
        <w:t>c</w:t>
      </w:r>
      <w:r w:rsidR="00006E5C" w:rsidRPr="00006E5C">
        <w:t>e of property in cases of killing. Unlike Section 257, which deals with general crimes, Section 258 specifically addresses the unique implications of using lethal force in defen</w:t>
      </w:r>
      <w:r w:rsidR="00006E5C">
        <w:t>c</w:t>
      </w:r>
      <w:r w:rsidR="00006E5C" w:rsidRPr="00006E5C">
        <w:t>e of property. Section 258 imposes stricter conditions due to the severity of taking a life, whereas Section 257’s conditions are relatively less stringent.</w:t>
      </w:r>
      <w:r w:rsidR="00006E5C">
        <w:t xml:space="preserve"> </w:t>
      </w:r>
      <w:r w:rsidR="00006E5C" w:rsidRPr="00006E5C">
        <w:t>Section 258 places greater emphasis on the importance and value of the property being defended, requiring it to be of vital importance, while Section 257 does not impose such a requirement</w:t>
      </w:r>
      <w:r w:rsidR="00006E5C">
        <w:t xml:space="preserve">. </w:t>
      </w:r>
      <w:r w:rsidR="00006E5C" w:rsidRPr="00006E5C">
        <w:t>In essence, while both sections govern the defen</w:t>
      </w:r>
      <w:r w:rsidR="00006E5C">
        <w:t>c</w:t>
      </w:r>
      <w:r w:rsidR="00006E5C" w:rsidRPr="00006E5C">
        <w:t xml:space="preserve">e of property, </w:t>
      </w:r>
      <w:r w:rsidR="00006E5C">
        <w:t>s</w:t>
      </w:r>
      <w:r w:rsidR="00006E5C" w:rsidRPr="00006E5C">
        <w:t>ection 258 is far narrower and more demanding, reflecting the serious legal implications of using lethal force.</w:t>
      </w:r>
    </w:p>
    <w:p w14:paraId="6A740F09" w14:textId="2562A91A" w:rsidR="00B513C6" w:rsidRDefault="00A8048E" w:rsidP="00B513C6">
      <w:pPr>
        <w:pStyle w:val="NormalWeb"/>
        <w:spacing w:before="0" w:beforeAutospacing="0" w:after="0" w:afterAutospacing="0" w:line="360" w:lineRule="auto"/>
        <w:jc w:val="both"/>
      </w:pPr>
      <w:r>
        <w:t>[</w:t>
      </w:r>
      <w:r w:rsidR="00BF680E">
        <w:t>1</w:t>
      </w:r>
      <w:r w:rsidR="008C3F91">
        <w:t>6</w:t>
      </w:r>
      <w:r>
        <w:t>]</w:t>
      </w:r>
      <w:r>
        <w:tab/>
      </w:r>
      <w:r w:rsidR="00BF680E">
        <w:t xml:space="preserve">In view of what the defences of self-defence and defence of property entail, </w:t>
      </w:r>
      <w:r w:rsidR="00142F7C">
        <w:t>it is our considered view that</w:t>
      </w:r>
      <w:r w:rsidR="004612E4" w:rsidRPr="00EA122E">
        <w:t xml:space="preserve"> the</w:t>
      </w:r>
      <w:r w:rsidR="00BF680E">
        <w:t>se</w:t>
      </w:r>
      <w:r w:rsidR="004612E4" w:rsidRPr="00EA122E">
        <w:t xml:space="preserve"> defen</w:t>
      </w:r>
      <w:r w:rsidR="00B513C6" w:rsidRPr="00EA122E">
        <w:t>c</w:t>
      </w:r>
      <w:r w:rsidR="004612E4" w:rsidRPr="00EA122E">
        <w:t xml:space="preserve">es </w:t>
      </w:r>
      <w:r w:rsidR="00B513C6" w:rsidRPr="00EA122E">
        <w:t>are not</w:t>
      </w:r>
      <w:r w:rsidR="004612E4" w:rsidRPr="00EA122E">
        <w:t xml:space="preserve"> sustainable </w:t>
      </w:r>
      <w:r w:rsidR="00BF680E">
        <w:t>in the circumstances of the present case</w:t>
      </w:r>
      <w:r w:rsidR="003454E4">
        <w:t>.</w:t>
      </w:r>
      <w:r w:rsidR="00B80D8C">
        <w:t xml:space="preserve"> Our reasons are detailed below.</w:t>
      </w:r>
    </w:p>
    <w:p w14:paraId="182897ED" w14:textId="77777777" w:rsidR="003454E4" w:rsidRPr="00EA122E" w:rsidRDefault="003454E4" w:rsidP="00B513C6">
      <w:pPr>
        <w:pStyle w:val="NormalWeb"/>
        <w:spacing w:before="0" w:beforeAutospacing="0" w:after="0" w:afterAutospacing="0" w:line="360" w:lineRule="auto"/>
        <w:jc w:val="both"/>
      </w:pPr>
    </w:p>
    <w:p w14:paraId="479B4A02" w14:textId="771605A5" w:rsidR="00027E3E" w:rsidRDefault="003454E4" w:rsidP="00AB6FD3">
      <w:pPr>
        <w:pStyle w:val="NormalWeb"/>
        <w:spacing w:before="0" w:beforeAutospacing="0" w:after="0" w:afterAutospacing="0" w:line="360" w:lineRule="auto"/>
        <w:jc w:val="both"/>
      </w:pPr>
      <w:r>
        <w:t>[1</w:t>
      </w:r>
      <w:r w:rsidR="00D36BF2">
        <w:t>7</w:t>
      </w:r>
      <w:r>
        <w:t>]</w:t>
      </w:r>
      <w:r w:rsidR="00027E3E">
        <w:tab/>
      </w:r>
      <w:r w:rsidR="004612E4" w:rsidRPr="00EA122E">
        <w:t xml:space="preserve">There is no evidence supporting the claim that the deceased and his colleagues were illegal gold </w:t>
      </w:r>
      <w:r w:rsidR="00E45F5C">
        <w:t>miners who were stealing the accused’s gold ore</w:t>
      </w:r>
      <w:r w:rsidR="004612E4" w:rsidRPr="00EA122E">
        <w:t>. The evidence</w:t>
      </w:r>
      <w:r w:rsidR="00E45F5C">
        <w:t xml:space="preserve"> led by the State</w:t>
      </w:r>
      <w:r w:rsidR="004612E4" w:rsidRPr="00EA122E">
        <w:t xml:space="preserve"> consistently demonstrated that the deceased and the complainants were employees of Mr. Cornelius </w:t>
      </w:r>
      <w:proofErr w:type="spellStart"/>
      <w:r w:rsidR="004612E4" w:rsidRPr="00EA122E">
        <w:t>Shariwa</w:t>
      </w:r>
      <w:proofErr w:type="spellEnd"/>
      <w:r w:rsidR="004612E4" w:rsidRPr="00EA122E">
        <w:t>, the accused’s neighbo</w:t>
      </w:r>
      <w:r w:rsidR="00B513C6" w:rsidRPr="00EA122E">
        <w:t>u</w:t>
      </w:r>
      <w:r w:rsidR="004612E4" w:rsidRPr="00EA122E">
        <w:t>r. This evidence remained unchallenged during the investigation</w:t>
      </w:r>
      <w:r w:rsidR="00B513C6" w:rsidRPr="00EA122E">
        <w:t xml:space="preserve"> of the case by the police</w:t>
      </w:r>
      <w:r w:rsidR="004612E4" w:rsidRPr="00EA122E">
        <w:t xml:space="preserve"> and</w:t>
      </w:r>
      <w:r w:rsidR="00B513C6" w:rsidRPr="00EA122E">
        <w:t xml:space="preserve"> during the</w:t>
      </w:r>
      <w:r w:rsidR="004612E4" w:rsidRPr="00EA122E">
        <w:t xml:space="preserve"> hearing</w:t>
      </w:r>
      <w:r w:rsidR="00B513C6" w:rsidRPr="00EA122E">
        <w:t xml:space="preserve"> of the case</w:t>
      </w:r>
      <w:r w:rsidR="004612E4" w:rsidRPr="00EA122E">
        <w:t xml:space="preserve">. Mr. </w:t>
      </w:r>
      <w:proofErr w:type="spellStart"/>
      <w:r w:rsidR="004612E4" w:rsidRPr="00EA122E">
        <w:t>Shariwa</w:t>
      </w:r>
      <w:proofErr w:type="spellEnd"/>
      <w:r w:rsidR="004612E4" w:rsidRPr="00EA122E">
        <w:t xml:space="preserve"> testified that the deceased and his colleagues were his employees and produced an employee register containing their names, surnames, and ID numbers. Although the defen</w:t>
      </w:r>
      <w:r w:rsidR="00B513C6" w:rsidRPr="00EA122E">
        <w:t>c</w:t>
      </w:r>
      <w:r w:rsidR="004612E4" w:rsidRPr="00EA122E">
        <w:t xml:space="preserve">e questioned the register’s authenticity, arguing that it lacked details such as employment dates and salaries </w:t>
      </w:r>
      <w:r w:rsidR="00B513C6" w:rsidRPr="00EA122E">
        <w:t xml:space="preserve">and </w:t>
      </w:r>
      <w:r w:rsidR="00E45F5C">
        <w:t xml:space="preserve">said </w:t>
      </w:r>
      <w:r w:rsidR="00B513C6" w:rsidRPr="00EA122E">
        <w:t>that the register was not registered with the Ministry of Mines</w:t>
      </w:r>
      <w:r w:rsidR="00B513C6" w:rsidRPr="00EA122E">
        <w:rPr>
          <w:i/>
          <w:iCs/>
        </w:rPr>
        <w:t>,</w:t>
      </w:r>
      <w:r w:rsidR="00B513C6" w:rsidRPr="00EA122E">
        <w:t xml:space="preserve"> </w:t>
      </w:r>
      <w:r w:rsidR="004612E4" w:rsidRPr="00EA122E">
        <w:t xml:space="preserve">Mr. </w:t>
      </w:r>
      <w:proofErr w:type="spellStart"/>
      <w:r w:rsidR="004612E4" w:rsidRPr="00EA122E">
        <w:t>Shariwa</w:t>
      </w:r>
      <w:proofErr w:type="spellEnd"/>
      <w:r w:rsidR="004612E4" w:rsidRPr="00EA122E">
        <w:t xml:space="preserve"> explained that there is no legal requirement for such registers to be furnished to the Ministry of Mines. </w:t>
      </w:r>
      <w:r w:rsidR="00432583" w:rsidRPr="00EA122E">
        <w:t>He said t</w:t>
      </w:r>
      <w:r w:rsidR="004612E4" w:rsidRPr="00EA122E">
        <w:t>he register served its intended purpose of being available for inspection during visits by Ministry of Mines officials.</w:t>
      </w:r>
      <w:r w:rsidR="00AB6FD3">
        <w:t xml:space="preserve"> </w:t>
      </w:r>
      <w:r w:rsidR="004612E4" w:rsidRPr="00EA122E">
        <w:t>The defen</w:t>
      </w:r>
      <w:r w:rsidR="00432583" w:rsidRPr="00EA122E">
        <w:t>c</w:t>
      </w:r>
      <w:r w:rsidR="004612E4" w:rsidRPr="00EA122E">
        <w:t>e failed to cite any specific law mandating the format</w:t>
      </w:r>
      <w:r w:rsidR="00E45F5C">
        <w:t xml:space="preserve"> of the register, the details to be included </w:t>
      </w:r>
      <w:r w:rsidR="00AB6FD3">
        <w:t>therein</w:t>
      </w:r>
      <w:r w:rsidR="00E45F5C">
        <w:t>, and the need to</w:t>
      </w:r>
      <w:r w:rsidR="004612E4" w:rsidRPr="00EA122E">
        <w:t xml:space="preserve"> regist</w:t>
      </w:r>
      <w:r w:rsidR="00E45F5C">
        <w:t>er the</w:t>
      </w:r>
      <w:r w:rsidR="004612E4" w:rsidRPr="00EA122E">
        <w:t xml:space="preserve"> employee records</w:t>
      </w:r>
      <w:r w:rsidR="00E45F5C">
        <w:t xml:space="preserve"> with the Ministry of Mines</w:t>
      </w:r>
      <w:r w:rsidR="004612E4" w:rsidRPr="00EA122E">
        <w:t xml:space="preserve">, leaving no grounds to dispute the validity of the register. </w:t>
      </w:r>
    </w:p>
    <w:p w14:paraId="4962CEDD" w14:textId="77777777" w:rsidR="00027E3E" w:rsidRDefault="00027E3E" w:rsidP="00AB6FD3">
      <w:pPr>
        <w:pStyle w:val="NormalWeb"/>
        <w:spacing w:before="0" w:beforeAutospacing="0" w:after="0" w:afterAutospacing="0" w:line="360" w:lineRule="auto"/>
        <w:jc w:val="both"/>
      </w:pPr>
    </w:p>
    <w:p w14:paraId="5F2F9296" w14:textId="029AA1BA" w:rsidR="00023E16" w:rsidRDefault="00027E3E" w:rsidP="00023E16">
      <w:pPr>
        <w:pStyle w:val="NormalWeb"/>
        <w:spacing w:before="0" w:beforeAutospacing="0" w:after="0" w:afterAutospacing="0" w:line="360" w:lineRule="auto"/>
        <w:jc w:val="both"/>
      </w:pPr>
      <w:r>
        <w:t>[1</w:t>
      </w:r>
      <w:r w:rsidR="00D36BF2">
        <w:t>8</w:t>
      </w:r>
      <w:r>
        <w:t>]</w:t>
      </w:r>
      <w:r>
        <w:tab/>
      </w:r>
      <w:r w:rsidR="004612E4" w:rsidRPr="00EA122E">
        <w:t xml:space="preserve">Furthermore, even without the register, Mr. </w:t>
      </w:r>
      <w:proofErr w:type="spellStart"/>
      <w:r w:rsidR="004612E4" w:rsidRPr="00EA122E">
        <w:t>Shariwa’s</w:t>
      </w:r>
      <w:proofErr w:type="spellEnd"/>
      <w:r w:rsidR="004612E4" w:rsidRPr="00EA122E">
        <w:t xml:space="preserve"> oral testimony was sufficient </w:t>
      </w:r>
      <w:r w:rsidR="00AB6FD3">
        <w:t xml:space="preserve">for the purpose of this trial </w:t>
      </w:r>
      <w:r w:rsidR="004612E4" w:rsidRPr="00EA122E">
        <w:t>to establish that the deceased and complainants were his employees.</w:t>
      </w:r>
      <w:r>
        <w:rPr>
          <w:i/>
          <w:iCs/>
        </w:rPr>
        <w:t xml:space="preserve"> </w:t>
      </w:r>
      <w:r w:rsidR="00507513" w:rsidRPr="00507513">
        <w:t xml:space="preserve">It is undisputed that Cornelius </w:t>
      </w:r>
      <w:proofErr w:type="spellStart"/>
      <w:r w:rsidR="00507513" w:rsidRPr="00507513">
        <w:t>Shariwa</w:t>
      </w:r>
      <w:proofErr w:type="spellEnd"/>
      <w:r w:rsidR="00507513" w:rsidRPr="00507513">
        <w:t xml:space="preserve"> is the owner of a neighbo</w:t>
      </w:r>
      <w:r w:rsidR="006E29BB" w:rsidRPr="00EA122E">
        <w:t>u</w:t>
      </w:r>
      <w:r w:rsidR="00507513" w:rsidRPr="00507513">
        <w:t>ring mine to the accused and that he had employees</w:t>
      </w:r>
      <w:r>
        <w:t xml:space="preserve"> at the time material to this case</w:t>
      </w:r>
      <w:r w:rsidR="00507513" w:rsidRPr="00507513">
        <w:t>. If the deceased and his colleagues were illegal gold panners intruding into the accused’s mine</w:t>
      </w:r>
      <w:r w:rsidR="00023E16">
        <w:t xml:space="preserve"> through Mr </w:t>
      </w:r>
      <w:proofErr w:type="spellStart"/>
      <w:r w:rsidR="00023E16">
        <w:t>Shariwa’s</w:t>
      </w:r>
      <w:proofErr w:type="spellEnd"/>
      <w:r w:rsidR="00023E16">
        <w:t xml:space="preserve"> mine</w:t>
      </w:r>
      <w:r w:rsidR="00507513" w:rsidRPr="00507513">
        <w:t xml:space="preserve">, it is illogical that Mr. </w:t>
      </w:r>
      <w:proofErr w:type="spellStart"/>
      <w:r w:rsidR="00507513" w:rsidRPr="00507513">
        <w:t>Shariwa</w:t>
      </w:r>
      <w:proofErr w:type="spellEnd"/>
      <w:r w:rsidR="00507513" w:rsidRPr="00507513">
        <w:t xml:space="preserve"> would claim them as his employees. What benefit would he derive from making such a false claim? Notably, the accused himself acknowledged knowing Mr. </w:t>
      </w:r>
      <w:proofErr w:type="spellStart"/>
      <w:r w:rsidR="00507513" w:rsidRPr="00507513">
        <w:t>Shariwa</w:t>
      </w:r>
      <w:proofErr w:type="spellEnd"/>
      <w:r w:rsidR="00507513" w:rsidRPr="00507513">
        <w:t xml:space="preserve"> as his neighbo</w:t>
      </w:r>
      <w:r w:rsidR="00A00364" w:rsidRPr="00EA122E">
        <w:t>u</w:t>
      </w:r>
      <w:r w:rsidR="00507513" w:rsidRPr="00507513">
        <w:t xml:space="preserve">r, with whom he shares a mining boundary. The accused did not present any evidence to show that Mr. </w:t>
      </w:r>
      <w:proofErr w:type="spellStart"/>
      <w:r w:rsidR="00507513" w:rsidRPr="00507513">
        <w:t>Shariwa</w:t>
      </w:r>
      <w:proofErr w:type="spellEnd"/>
      <w:r w:rsidR="00507513" w:rsidRPr="00507513">
        <w:t xml:space="preserve"> was not conducting mining activities or that he lacked employees.</w:t>
      </w:r>
      <w:r w:rsidR="006E29BB" w:rsidRPr="00EA122E">
        <w:t xml:space="preserve"> </w:t>
      </w:r>
      <w:r w:rsidR="00507513" w:rsidRPr="00507513">
        <w:t xml:space="preserve">Given this, it is difficult to comprehend why the accused’s employee, </w:t>
      </w:r>
      <w:proofErr w:type="spellStart"/>
      <w:r w:rsidR="00507513" w:rsidRPr="00507513">
        <w:t>Takesure</w:t>
      </w:r>
      <w:proofErr w:type="spellEnd"/>
      <w:r w:rsidR="00507513" w:rsidRPr="00507513">
        <w:t xml:space="preserve"> </w:t>
      </w:r>
      <w:proofErr w:type="spellStart"/>
      <w:r w:rsidR="00507513" w:rsidRPr="00507513">
        <w:t>Ndlovu</w:t>
      </w:r>
      <w:proofErr w:type="spellEnd"/>
      <w:r w:rsidR="00507513" w:rsidRPr="00507513">
        <w:t xml:space="preserve">, concluded that the individuals he allegedly saw entering Mr. </w:t>
      </w:r>
      <w:proofErr w:type="spellStart"/>
      <w:r w:rsidR="00507513" w:rsidRPr="00507513">
        <w:t>Shariwa’s</w:t>
      </w:r>
      <w:proofErr w:type="spellEnd"/>
      <w:r w:rsidR="00507513" w:rsidRPr="00507513">
        <w:t xml:space="preserve"> shaft were illegal gold panners rather than Mr. </w:t>
      </w:r>
      <w:proofErr w:type="spellStart"/>
      <w:r w:rsidR="00507513" w:rsidRPr="00507513">
        <w:t>Shariwa’s</w:t>
      </w:r>
      <w:proofErr w:type="spellEnd"/>
      <w:r w:rsidR="00507513" w:rsidRPr="00507513">
        <w:t xml:space="preserve"> employees. During the trial, the court specifically asked the accused to explain this matter, but he failed to provide a satisfactory answer. His responses were unrelated to the question, further undermining his position. Additionally, it was established </w:t>
      </w:r>
      <w:r w:rsidR="008E1A19">
        <w:t xml:space="preserve">during trial </w:t>
      </w:r>
      <w:r w:rsidR="00507513" w:rsidRPr="00507513">
        <w:t xml:space="preserve">that the deceased and his colleagues were </w:t>
      </w:r>
      <w:r w:rsidR="008E1A19">
        <w:t xml:space="preserve">with </w:t>
      </w:r>
      <w:proofErr w:type="spellStart"/>
      <w:r w:rsidR="00507513" w:rsidRPr="00507513">
        <w:t>K</w:t>
      </w:r>
      <w:r w:rsidR="00023E16">
        <w:t>o</w:t>
      </w:r>
      <w:r w:rsidR="00507513" w:rsidRPr="00507513">
        <w:t>mborerai</w:t>
      </w:r>
      <w:proofErr w:type="spellEnd"/>
      <w:r w:rsidR="00507513" w:rsidRPr="00507513">
        <w:t xml:space="preserve"> </w:t>
      </w:r>
      <w:proofErr w:type="spellStart"/>
      <w:r w:rsidR="00507513" w:rsidRPr="00507513">
        <w:t>Shariwa</w:t>
      </w:r>
      <w:proofErr w:type="spellEnd"/>
      <w:r w:rsidR="00507513" w:rsidRPr="00507513">
        <w:t xml:space="preserve">, Mr. </w:t>
      </w:r>
      <w:proofErr w:type="spellStart"/>
      <w:r w:rsidR="00507513" w:rsidRPr="00507513">
        <w:t>Shariwa’s</w:t>
      </w:r>
      <w:proofErr w:type="spellEnd"/>
      <w:r w:rsidR="00507513" w:rsidRPr="00507513">
        <w:t xml:space="preserve"> son</w:t>
      </w:r>
      <w:r w:rsidR="008E1A19">
        <w:t xml:space="preserve"> as they were working on the barricade underground</w:t>
      </w:r>
      <w:r w:rsidR="00507513" w:rsidRPr="00507513">
        <w:t>. It is implausible to suggest that the son of the mine owner was an illegal gold panner.</w:t>
      </w:r>
    </w:p>
    <w:p w14:paraId="1BE4F872" w14:textId="35FA5EDC" w:rsidR="009A31CF" w:rsidRPr="00245099" w:rsidRDefault="00023E16" w:rsidP="00FC4DEC">
      <w:pPr>
        <w:pStyle w:val="NormalWeb"/>
        <w:spacing w:after="0" w:line="360" w:lineRule="auto"/>
        <w:jc w:val="both"/>
        <w:rPr>
          <w:color w:val="FF0000"/>
        </w:rPr>
      </w:pPr>
      <w:r>
        <w:t>[1</w:t>
      </w:r>
      <w:r w:rsidR="00D36BF2">
        <w:t>9</w:t>
      </w:r>
      <w:r>
        <w:t>]</w:t>
      </w:r>
      <w:r>
        <w:tab/>
      </w:r>
      <w:r w:rsidR="00507513" w:rsidRPr="00507513">
        <w:t xml:space="preserve">The accused stated </w:t>
      </w:r>
      <w:r w:rsidR="00396A0A">
        <w:t xml:space="preserve">in his defence outline </w:t>
      </w:r>
      <w:r w:rsidR="00507513" w:rsidRPr="00507513">
        <w:t xml:space="preserve">that </w:t>
      </w:r>
      <w:r w:rsidR="00887DBD">
        <w:t xml:space="preserve">his security guard, </w:t>
      </w:r>
      <w:proofErr w:type="spellStart"/>
      <w:r w:rsidR="00507513" w:rsidRPr="00507513">
        <w:t>Takesure</w:t>
      </w:r>
      <w:proofErr w:type="spellEnd"/>
      <w:r w:rsidR="00507513" w:rsidRPr="00507513">
        <w:t xml:space="preserve"> </w:t>
      </w:r>
      <w:proofErr w:type="spellStart"/>
      <w:r w:rsidR="00507513" w:rsidRPr="00507513">
        <w:t>Ndlovu</w:t>
      </w:r>
      <w:proofErr w:type="spellEnd"/>
      <w:r w:rsidR="00507513" w:rsidRPr="00507513">
        <w:t xml:space="preserve">, who was patrolling underground, informed him of the presence of armed intruders in his mine. According to the accused, these intruders were carrying axes, machetes, hammers, and chisels, and had even attempted to attack </w:t>
      </w:r>
      <w:proofErr w:type="spellStart"/>
      <w:r w:rsidR="00507513" w:rsidRPr="00507513">
        <w:t>Takesure</w:t>
      </w:r>
      <w:proofErr w:type="spellEnd"/>
      <w:r w:rsidR="00507513" w:rsidRPr="00507513">
        <w:t xml:space="preserve">. However, </w:t>
      </w:r>
      <w:proofErr w:type="spellStart"/>
      <w:r w:rsidR="00507513" w:rsidRPr="00507513">
        <w:t>Takesure</w:t>
      </w:r>
      <w:proofErr w:type="spellEnd"/>
      <w:r w:rsidR="00507513" w:rsidRPr="00507513">
        <w:t xml:space="preserve"> was not called to testify. His testimony was crucial to clarify where exactly he saw the alleged intruders, what they were doing, how they tried to attack him, and how he escaped. The defen</w:t>
      </w:r>
      <w:r w:rsidR="009343C5" w:rsidRPr="00EA122E">
        <w:t>c</w:t>
      </w:r>
      <w:r w:rsidR="00507513" w:rsidRPr="00507513">
        <w:t>e failed to call him as a witness or provide any explanation for this omission.</w:t>
      </w:r>
      <w:r w:rsidR="00396A0A">
        <w:t xml:space="preserve"> </w:t>
      </w:r>
      <w:r w:rsidR="00396A0A" w:rsidRPr="008C3820">
        <w:t>This is not to say that the accused has a duty to prove his innocence or to prove his defences of self-defence and defence of property.</w:t>
      </w:r>
      <w:r w:rsidR="008750A7">
        <w:t xml:space="preserve"> The duty to prove the accused’s guilt lies </w:t>
      </w:r>
      <w:r w:rsidR="00AF1817">
        <w:t>with</w:t>
      </w:r>
      <w:r w:rsidR="008750A7">
        <w:t xml:space="preserve"> the prosecution.</w:t>
      </w:r>
      <w:r w:rsidR="00BD54F8">
        <w:rPr>
          <w:rStyle w:val="FootnoteReference"/>
        </w:rPr>
        <w:footnoteReference w:id="1"/>
      </w:r>
      <w:r w:rsidR="008750A7">
        <w:t xml:space="preserve"> See </w:t>
      </w:r>
      <w:r w:rsidR="00BD54F8">
        <w:t xml:space="preserve">also </w:t>
      </w:r>
      <w:r w:rsidR="008750A7">
        <w:t xml:space="preserve">s 18 of the Criminal Law Code. </w:t>
      </w:r>
      <w:r w:rsidR="009C0882" w:rsidRPr="009C0882">
        <w:t xml:space="preserve">The burden of proof rests entirely with the prosecution throughout the trial, and it does not shift to the accused. However, </w:t>
      </w:r>
      <w:r w:rsidR="009C0882" w:rsidRPr="009C0882">
        <w:lastRenderedPageBreak/>
        <w:t xml:space="preserve">the evidential burden may fall on the accused if, at the conclusion of the prosecution's case, an explanation is required. While the prosecution must prove every essential element of the crime beyond a reasonable doubt, the accused may need to present evidence or an explanation if the prosecution’s case establishes a presumption of guilt. Importantly, the accused is not required to prove </w:t>
      </w:r>
      <w:r w:rsidR="00887DBD">
        <w:t>his/her</w:t>
      </w:r>
      <w:r w:rsidR="009C0882" w:rsidRPr="009C0882">
        <w:t xml:space="preserve"> innocence but only to raise a reasonable doubt regarding the prosecution’s claims. If the accused succeeds in doing so, </w:t>
      </w:r>
      <w:r w:rsidR="00887DBD">
        <w:t>he/she</w:t>
      </w:r>
      <w:r w:rsidR="009C0882" w:rsidRPr="009C0882">
        <w:t xml:space="preserve"> must be acquitted. This </w:t>
      </w:r>
      <w:r w:rsidR="0068043A">
        <w:t>demonstrates a</w:t>
      </w:r>
      <w:r w:rsidR="009C0882" w:rsidRPr="009C0882">
        <w:t xml:space="preserve"> balance in criminal justice: the prosecution carries the primary responsibility for proving guilt, but the accused may be expected to respond when the evidence demands it.</w:t>
      </w:r>
      <w:r w:rsidR="00396A0A" w:rsidRPr="008C3820">
        <w:t xml:space="preserve"> </w:t>
      </w:r>
    </w:p>
    <w:p w14:paraId="58B4095E" w14:textId="6E6C1597" w:rsidR="007D2C59" w:rsidRDefault="007D2C59" w:rsidP="007D2C59">
      <w:pPr>
        <w:pStyle w:val="NormalWeb"/>
        <w:spacing w:before="0" w:beforeAutospacing="0" w:after="0" w:afterAutospacing="0" w:line="360" w:lineRule="auto"/>
        <w:jc w:val="both"/>
      </w:pPr>
      <w:r w:rsidRPr="007D2C59">
        <w:t>[</w:t>
      </w:r>
      <w:r w:rsidR="00D36BF2">
        <w:t>20</w:t>
      </w:r>
      <w:r w:rsidRPr="007D2C59">
        <w:t>]</w:t>
      </w:r>
      <w:r>
        <w:rPr>
          <w:color w:val="FF0000"/>
        </w:rPr>
        <w:tab/>
      </w:r>
      <w:r w:rsidR="00507513" w:rsidRPr="00507513">
        <w:t xml:space="preserve">Instead of </w:t>
      </w:r>
      <w:proofErr w:type="spellStart"/>
      <w:r w:rsidR="00507513" w:rsidRPr="00507513">
        <w:t>Takesure</w:t>
      </w:r>
      <w:proofErr w:type="spellEnd"/>
      <w:r w:rsidR="00507513" w:rsidRPr="00507513">
        <w:t xml:space="preserve"> </w:t>
      </w:r>
      <w:proofErr w:type="spellStart"/>
      <w:r w:rsidR="00507513" w:rsidRPr="00507513">
        <w:t>Ndlovu</w:t>
      </w:r>
      <w:proofErr w:type="spellEnd"/>
      <w:r w:rsidR="00507513" w:rsidRPr="00507513">
        <w:t>, the defen</w:t>
      </w:r>
      <w:r w:rsidR="00D81C3A" w:rsidRPr="00EA122E">
        <w:t>c</w:t>
      </w:r>
      <w:r w:rsidR="00507513" w:rsidRPr="00507513">
        <w:t xml:space="preserve">e called Roy </w:t>
      </w:r>
      <w:proofErr w:type="spellStart"/>
      <w:r w:rsidR="00507513" w:rsidRPr="00507513">
        <w:t>Taguma</w:t>
      </w:r>
      <w:proofErr w:type="spellEnd"/>
      <w:r w:rsidR="00507513" w:rsidRPr="00507513">
        <w:t>, who identified himself as the manager and head of security at the accused’s mine. Roy testified that on the day of the incident, he conducted a patrol underground at the 35-met</w:t>
      </w:r>
      <w:r>
        <w:t>re</w:t>
      </w:r>
      <w:r w:rsidR="00507513" w:rsidRPr="00507513">
        <w:t xml:space="preserve"> level (Level One). He claimed to have seen three wet sacks resembling those used for gold ore. Looking down to the 50-met</w:t>
      </w:r>
      <w:r>
        <w:t>re</w:t>
      </w:r>
      <w:r w:rsidR="00507513" w:rsidRPr="00507513">
        <w:t xml:space="preserve"> level (Level Two), he observed illuminated torches and heard the sounds of hammers and chisels, indicative of mining activity. Panicked, he switched off his torch and instructed the hoist operator, Milton, to bring him to the surface. </w:t>
      </w:r>
      <w:bookmarkStart w:id="2" w:name="_Hlk194645259"/>
      <w:r w:rsidR="00507513" w:rsidRPr="00507513">
        <w:t xml:space="preserve">He then instructed </w:t>
      </w:r>
      <w:proofErr w:type="spellStart"/>
      <w:r w:rsidR="00507513" w:rsidRPr="00507513">
        <w:t>Takesure</w:t>
      </w:r>
      <w:proofErr w:type="spellEnd"/>
      <w:r w:rsidR="00507513" w:rsidRPr="00507513">
        <w:t xml:space="preserve"> to radio the accused about the intruders before leaving for the plant to charge his phone</w:t>
      </w:r>
      <w:bookmarkEnd w:id="2"/>
      <w:r w:rsidR="00507513" w:rsidRPr="00507513">
        <w:t>. While there, he received a radio call informing him of a mishap at the mine. Upon returning, he saw the deceased being brought out of the mine, already deceased. He learn</w:t>
      </w:r>
      <w:r w:rsidR="00B86B3C">
        <w:t>t</w:t>
      </w:r>
      <w:r w:rsidR="00507513" w:rsidRPr="00507513">
        <w:t xml:space="preserve"> that the accused had shot </w:t>
      </w:r>
      <w:r w:rsidR="00D81C3A" w:rsidRPr="00EA122E">
        <w:t>people</w:t>
      </w:r>
      <w:r w:rsidR="00507513" w:rsidRPr="00507513">
        <w:t xml:space="preserve"> underground.</w:t>
      </w:r>
      <w:r>
        <w:t xml:space="preserve"> </w:t>
      </w:r>
    </w:p>
    <w:p w14:paraId="38CCF2DB" w14:textId="352C49E5" w:rsidR="00C11E14" w:rsidRDefault="007D2C59" w:rsidP="00C11E14">
      <w:pPr>
        <w:pStyle w:val="NormalWeb"/>
        <w:spacing w:after="0" w:line="360" w:lineRule="auto"/>
        <w:jc w:val="both"/>
      </w:pPr>
      <w:r>
        <w:t>[</w:t>
      </w:r>
      <w:r w:rsidR="00D36BF2">
        <w:t>21</w:t>
      </w:r>
      <w:r>
        <w:t>]</w:t>
      </w:r>
      <w:r>
        <w:tab/>
      </w:r>
      <w:r w:rsidR="00C1770B" w:rsidRPr="00C1770B">
        <w:t xml:space="preserve">Roy’s testimony clearly introduced inconsistencies with the accused’s </w:t>
      </w:r>
      <w:proofErr w:type="spellStart"/>
      <w:r w:rsidR="00C1770B" w:rsidRPr="00C1770B">
        <w:t>defense</w:t>
      </w:r>
      <w:proofErr w:type="spellEnd"/>
      <w:r w:rsidR="00C1770B" w:rsidRPr="00C1770B">
        <w:t xml:space="preserve"> outline. In the outline, the accused had claimed that </w:t>
      </w:r>
      <w:proofErr w:type="spellStart"/>
      <w:r w:rsidR="00C1770B" w:rsidRPr="00C1770B">
        <w:t>Takesure</w:t>
      </w:r>
      <w:proofErr w:type="spellEnd"/>
      <w:r w:rsidR="00C1770B" w:rsidRPr="00C1770B">
        <w:t xml:space="preserve">, during his patrol, encountered the intruders, saw that they were armed with dangerous weapons, and was threatened by them. This, according to the accused, was the reason </w:t>
      </w:r>
      <w:proofErr w:type="spellStart"/>
      <w:r w:rsidR="00C1770B" w:rsidRPr="00C1770B">
        <w:t>Takesure</w:t>
      </w:r>
      <w:proofErr w:type="spellEnd"/>
      <w:r w:rsidR="00C1770B" w:rsidRPr="00C1770B">
        <w:t xml:space="preserve"> refused to accompany him underground. However, during the defen</w:t>
      </w:r>
      <w:r w:rsidR="007A6830">
        <w:t>c</w:t>
      </w:r>
      <w:r w:rsidR="00C1770B" w:rsidRPr="00C1770B">
        <w:t>e case, the accused altered his position, asserting that it was Roy who had observed the intruders. This shift indicates that the accused had not been truthful in his defen</w:t>
      </w:r>
      <w:r w:rsidR="00C1770B">
        <w:t>c</w:t>
      </w:r>
      <w:r w:rsidR="00C1770B" w:rsidRPr="00C1770B">
        <w:t xml:space="preserve">e outline regarding </w:t>
      </w:r>
      <w:proofErr w:type="spellStart"/>
      <w:r w:rsidR="00C1770B" w:rsidRPr="00C1770B">
        <w:t>Takesure’s</w:t>
      </w:r>
      <w:proofErr w:type="spellEnd"/>
      <w:r w:rsidR="00C1770B" w:rsidRPr="00C1770B">
        <w:t xml:space="preserve"> involvement in seeing the intruders.</w:t>
      </w:r>
      <w:r w:rsidR="00C1770B">
        <w:t xml:space="preserve"> </w:t>
      </w:r>
      <w:r w:rsidR="00C1770B" w:rsidRPr="00C1770B">
        <w:t xml:space="preserve">Roy’s testimony further clarified the matter. He stated that upon exiting the mine and coming to the surface, he instructed </w:t>
      </w:r>
      <w:proofErr w:type="spellStart"/>
      <w:r w:rsidR="00C1770B" w:rsidRPr="00C1770B">
        <w:t>Takesure</w:t>
      </w:r>
      <w:proofErr w:type="spellEnd"/>
      <w:r w:rsidR="00C1770B" w:rsidRPr="00C1770B">
        <w:t xml:space="preserve"> to radio the accused about the intruders before heading to the plant to charge his phone. Roy’s account unequivocally establishes that he, not </w:t>
      </w:r>
      <w:proofErr w:type="spellStart"/>
      <w:r w:rsidR="00C1770B" w:rsidRPr="00C1770B">
        <w:t>Takesure</w:t>
      </w:r>
      <w:proofErr w:type="spellEnd"/>
      <w:r w:rsidR="00C1770B" w:rsidRPr="00C1770B">
        <w:t xml:space="preserve">, was the one who saw the intruders underground. It is evident from Roy’s testimony that </w:t>
      </w:r>
      <w:proofErr w:type="spellStart"/>
      <w:r w:rsidR="00C1770B" w:rsidRPr="00C1770B">
        <w:t>Takesure</w:t>
      </w:r>
      <w:proofErr w:type="spellEnd"/>
      <w:r w:rsidR="00C1770B" w:rsidRPr="00C1770B">
        <w:t xml:space="preserve"> never ventured into the mine nor confronted the </w:t>
      </w:r>
      <w:r w:rsidR="00C1770B" w:rsidRPr="00C1770B">
        <w:lastRenderedPageBreak/>
        <w:t>intruders directly.</w:t>
      </w:r>
      <w:r w:rsidR="00C1770B">
        <w:t xml:space="preserve"> </w:t>
      </w:r>
      <w:r w:rsidR="00C1770B" w:rsidRPr="00C1770B">
        <w:t>This contradiction in the accused’s account significantly undermines his credibility and casts doubt on the reliability of his defen</w:t>
      </w:r>
      <w:r w:rsidR="00C1770B">
        <w:t>c</w:t>
      </w:r>
      <w:r w:rsidR="00C1770B" w:rsidRPr="00C1770B">
        <w:t>e. By presenting conflicting narratives regarding a critical aspect of the case, the accused’s defen</w:t>
      </w:r>
      <w:r w:rsidR="00C1770B" w:rsidRPr="007A6830">
        <w:t>c</w:t>
      </w:r>
      <w:r w:rsidR="00C1770B" w:rsidRPr="00C1770B">
        <w:t>e lacks coherence and believability.</w:t>
      </w:r>
      <w:r w:rsidR="008C3820" w:rsidRPr="007A6830">
        <w:rPr>
          <w:rFonts w:asciiTheme="minorHAnsi" w:hAnsiTheme="minorHAnsi"/>
        </w:rPr>
        <w:t xml:space="preserve"> </w:t>
      </w:r>
      <w:r w:rsidR="00CE37DB" w:rsidRPr="007A6830">
        <w:t>This</w:t>
      </w:r>
      <w:r w:rsidR="00CE37DB" w:rsidRPr="00CE37DB">
        <w:t xml:space="preserve"> renders the accused incredible</w:t>
      </w:r>
      <w:r w:rsidR="007A6830">
        <w:t xml:space="preserve"> as a witness</w:t>
      </w:r>
      <w:r w:rsidR="00CE37DB" w:rsidRPr="00CE37DB">
        <w:t>. I</w:t>
      </w:r>
      <w:r w:rsidR="008C3820" w:rsidRPr="00CE37DB">
        <w:t>n</w:t>
      </w:r>
      <w:r w:rsidR="008C3820" w:rsidRPr="008C3820">
        <w:t xml:space="preserve"> </w:t>
      </w:r>
      <w:proofErr w:type="spellStart"/>
      <w:r w:rsidR="008C3820" w:rsidRPr="00CE37DB">
        <w:rPr>
          <w:i/>
          <w:iCs/>
        </w:rPr>
        <w:t>Ephias</w:t>
      </w:r>
      <w:proofErr w:type="spellEnd"/>
      <w:r w:rsidR="008C3820" w:rsidRPr="00CE37DB">
        <w:rPr>
          <w:i/>
          <w:iCs/>
        </w:rPr>
        <w:t xml:space="preserve"> </w:t>
      </w:r>
      <w:proofErr w:type="spellStart"/>
      <w:r w:rsidR="008C3820" w:rsidRPr="00CE37DB">
        <w:rPr>
          <w:i/>
          <w:iCs/>
        </w:rPr>
        <w:t>Chigova</w:t>
      </w:r>
      <w:proofErr w:type="spellEnd"/>
      <w:r w:rsidR="008C3820" w:rsidRPr="00CE37DB">
        <w:rPr>
          <w:i/>
          <w:iCs/>
        </w:rPr>
        <w:t xml:space="preserve"> v State </w:t>
      </w:r>
      <w:r w:rsidR="008C3820" w:rsidRPr="00CE37DB">
        <w:t>1992 (2) ZLR 206 at 213</w:t>
      </w:r>
      <w:r w:rsidR="00CE37DB" w:rsidRPr="00CE37DB">
        <w:t xml:space="preserve">D </w:t>
      </w:r>
      <w:r w:rsidR="008C3820" w:rsidRPr="00CE37DB">
        <w:t>- F KORSAH JA</w:t>
      </w:r>
      <w:r w:rsidR="008C3820" w:rsidRPr="00507AFC">
        <w:rPr>
          <w:color w:val="FF0000"/>
        </w:rPr>
        <w:t xml:space="preserve"> </w:t>
      </w:r>
      <w:r w:rsidR="008C3820" w:rsidRPr="00CE37DB">
        <w:t>said:</w:t>
      </w:r>
    </w:p>
    <w:p w14:paraId="6431BBF2" w14:textId="415A1B0F" w:rsidR="00C1770B" w:rsidRPr="00C11E14" w:rsidRDefault="008C3820" w:rsidP="00C11E14">
      <w:pPr>
        <w:pStyle w:val="NormalWeb"/>
        <w:spacing w:after="0"/>
        <w:ind w:left="720"/>
        <w:jc w:val="both"/>
      </w:pPr>
      <w:r w:rsidRPr="008C3820">
        <w:rPr>
          <w:sz w:val="22"/>
          <w:szCs w:val="22"/>
        </w:rPr>
        <w:t xml:space="preserve">“The complainant’s credibility is not to be assessed on apparent conflicts between her </w:t>
      </w:r>
      <w:r w:rsidRPr="008C3820">
        <w:rPr>
          <w:i/>
          <w:iCs/>
          <w:sz w:val="22"/>
          <w:szCs w:val="22"/>
        </w:rPr>
        <w:t>viva voce</w:t>
      </w:r>
      <w:r w:rsidRPr="008C3820">
        <w:rPr>
          <w:sz w:val="22"/>
          <w:szCs w:val="22"/>
        </w:rPr>
        <w:t xml:space="preserve"> testimony and a summary of the case prepared by someone else. The “defence outline”, however, is prepared at the behest of the accused and usually read over by, or to, him and then signed by him or on his behalf. A complainant cannot be discredited because of discrepancies between a summary of the State case and her testimony, in the same way as an accused who, having made categorical statements in his “defence outline”, testifies to something other than that which may tend to underscore the veracity or otherwise of the accused.”</w:t>
      </w:r>
    </w:p>
    <w:p w14:paraId="1E16BF90" w14:textId="1E840D66" w:rsidR="00C11E14" w:rsidRDefault="00C1770B" w:rsidP="00C11E14">
      <w:pPr>
        <w:pStyle w:val="NormalWeb"/>
        <w:spacing w:before="0" w:beforeAutospacing="0" w:after="0" w:afterAutospacing="0" w:line="360" w:lineRule="auto"/>
        <w:jc w:val="both"/>
      </w:pPr>
      <w:r w:rsidRPr="00C1770B">
        <w:t>[</w:t>
      </w:r>
      <w:r w:rsidR="00D36BF2">
        <w:t>22</w:t>
      </w:r>
      <w:r w:rsidRPr="00C1770B">
        <w:t>]</w:t>
      </w:r>
      <w:r>
        <w:rPr>
          <w:color w:val="FF0000"/>
        </w:rPr>
        <w:tab/>
      </w:r>
      <w:r w:rsidR="006B43A2" w:rsidRPr="006B43A2">
        <w:t xml:space="preserve">Furthermore, Roy admitted that he did not see the alleged intruders directly, as they were at Level Two while he remained at Level One. He stated that he only heard the sounds of mining activities and retreated out of fear, noting that the intruders neither saw nor threatened him. This contradicts the accused’s claim that </w:t>
      </w:r>
      <w:proofErr w:type="spellStart"/>
      <w:r w:rsidR="006B43A2" w:rsidRPr="006B43A2">
        <w:t>Takesure</w:t>
      </w:r>
      <w:proofErr w:type="spellEnd"/>
      <w:r w:rsidR="006B43A2" w:rsidRPr="006B43A2">
        <w:t xml:space="preserve"> refused to go underground due to threats from armed intruders. As previously established, </w:t>
      </w:r>
      <w:proofErr w:type="spellStart"/>
      <w:r w:rsidR="006B43A2" w:rsidRPr="006B43A2">
        <w:t>Takesure</w:t>
      </w:r>
      <w:proofErr w:type="spellEnd"/>
      <w:r w:rsidR="006B43A2" w:rsidRPr="006B43A2">
        <w:t xml:space="preserve"> never went underground.</w:t>
      </w:r>
      <w:r w:rsidR="006B43A2">
        <w:t xml:space="preserve"> </w:t>
      </w:r>
      <w:r w:rsidR="006B43A2" w:rsidRPr="006B43A2">
        <w:t xml:space="preserve">These discrepancies cast significant doubt on the accused’s account of the events that allegedly prompted him to go underground. It even raises questions about Roy </w:t>
      </w:r>
      <w:proofErr w:type="spellStart"/>
      <w:r w:rsidR="006B43A2" w:rsidRPr="006B43A2">
        <w:t>Taguma’s</w:t>
      </w:r>
      <w:proofErr w:type="spellEnd"/>
      <w:r w:rsidR="006B43A2" w:rsidRPr="006B43A2">
        <w:t xml:space="preserve"> truthfulness regarding whether he was the one who went underground. There remains the possibility that the accused fabricated the story entirely. It cannot be ruled out that the accused went down the mine on his own initiative, perhaps on a routine patrol, and encountered the deceased and his colleagues. In such a scenario, the accused may have opened fire on the workers merely under the suspicion that they were intruders, without realizing they were employees of the neighbo</w:t>
      </w:r>
      <w:r w:rsidR="006B43A2">
        <w:t>u</w:t>
      </w:r>
      <w:r w:rsidR="006B43A2" w:rsidRPr="006B43A2">
        <w:t>ring mine engaged in constructing a barricade at the intersection of the two tunnels.</w:t>
      </w:r>
    </w:p>
    <w:p w14:paraId="45EBE6AF" w14:textId="77777777" w:rsidR="006B43A2" w:rsidRPr="006B43A2" w:rsidRDefault="006B43A2" w:rsidP="00C11E14">
      <w:pPr>
        <w:pStyle w:val="NormalWeb"/>
        <w:spacing w:before="0" w:beforeAutospacing="0" w:after="0" w:afterAutospacing="0" w:line="360" w:lineRule="auto"/>
        <w:jc w:val="both"/>
      </w:pPr>
    </w:p>
    <w:p w14:paraId="4C318A64" w14:textId="08C7D600" w:rsidR="00507513" w:rsidRPr="00507513" w:rsidRDefault="00C11E14" w:rsidP="00C11E14">
      <w:pPr>
        <w:pStyle w:val="NormalWeb"/>
        <w:spacing w:before="0" w:beforeAutospacing="0" w:after="0" w:afterAutospacing="0" w:line="360" w:lineRule="auto"/>
        <w:jc w:val="both"/>
        <w:rPr>
          <w:color w:val="FF0000"/>
        </w:rPr>
      </w:pPr>
      <w:r w:rsidRPr="00C11E14">
        <w:t>[</w:t>
      </w:r>
      <w:r w:rsidR="00D36BF2">
        <w:t>23</w:t>
      </w:r>
      <w:r w:rsidRPr="00C11E14">
        <w:t>]</w:t>
      </w:r>
      <w:r>
        <w:rPr>
          <w:i/>
          <w:iCs/>
        </w:rPr>
        <w:t xml:space="preserve"> </w:t>
      </w:r>
      <w:r w:rsidR="00AB0CB7">
        <w:rPr>
          <w:i/>
          <w:iCs/>
        </w:rPr>
        <w:tab/>
      </w:r>
      <w:r>
        <w:t>What</w:t>
      </w:r>
      <w:r w:rsidR="00507513" w:rsidRPr="00507513">
        <w:t xml:space="preserve"> is evident</w:t>
      </w:r>
      <w:r>
        <w:t xml:space="preserve"> is</w:t>
      </w:r>
      <w:r w:rsidR="00507513" w:rsidRPr="00507513">
        <w:t xml:space="preserve"> that the accused went underground alone</w:t>
      </w:r>
      <w:r>
        <w:t xml:space="preserve">. </w:t>
      </w:r>
      <w:r w:rsidR="00AB0CB7">
        <w:t>He explained that he did not inform the police</w:t>
      </w:r>
      <w:r w:rsidR="0062003C">
        <w:t xml:space="preserve"> about the intruders before going down the mine</w:t>
      </w:r>
      <w:r w:rsidR="00AB0CB7">
        <w:t xml:space="preserve"> </w:t>
      </w:r>
      <w:r w:rsidR="00507513" w:rsidRPr="00507513">
        <w:t>because they had failed to respond to previous reports of intruders at his mine. He claimed that</w:t>
      </w:r>
      <w:r w:rsidR="00AB0CB7">
        <w:t xml:space="preserve"> when he went down the mine,</w:t>
      </w:r>
      <w:r w:rsidR="00507513" w:rsidRPr="00507513">
        <w:t xml:space="preserve"> he intended to scare away the intruders, believing that his presence would make them flee. This explanation suggests that the accused relied heavily on his firearm and was prepared to confront the intruders, taking the law into his own hands</w:t>
      </w:r>
      <w:r w:rsidR="00AB0CB7">
        <w:t xml:space="preserve"> if necessary</w:t>
      </w:r>
      <w:r w:rsidR="00507513" w:rsidRPr="00507513">
        <w:t>.</w:t>
      </w:r>
    </w:p>
    <w:p w14:paraId="645712E7" w14:textId="77777777" w:rsidR="005B2EC9" w:rsidRDefault="005B2EC9" w:rsidP="00EA122E">
      <w:pPr>
        <w:pStyle w:val="NoSpacing"/>
        <w:spacing w:line="360" w:lineRule="auto"/>
        <w:jc w:val="both"/>
        <w:rPr>
          <w:rFonts w:ascii="Times New Roman" w:hAnsi="Times New Roman" w:cs="Times New Roman"/>
          <w:b/>
          <w:bCs/>
          <w:sz w:val="24"/>
          <w:szCs w:val="24"/>
          <w:lang w:val="en-ZW"/>
        </w:rPr>
      </w:pPr>
    </w:p>
    <w:p w14:paraId="026CEDF1" w14:textId="4275D011" w:rsidR="00572BF6" w:rsidRDefault="005B2EC9" w:rsidP="00EA122E">
      <w:pPr>
        <w:pStyle w:val="NoSpacing"/>
        <w:spacing w:line="360" w:lineRule="auto"/>
        <w:jc w:val="both"/>
        <w:rPr>
          <w:rFonts w:ascii="Times New Roman" w:hAnsi="Times New Roman" w:cs="Times New Roman"/>
          <w:sz w:val="24"/>
          <w:szCs w:val="24"/>
          <w:lang w:val="en-ZW"/>
        </w:rPr>
      </w:pPr>
      <w:r w:rsidRPr="005B2EC9">
        <w:rPr>
          <w:rFonts w:ascii="Times New Roman" w:hAnsi="Times New Roman" w:cs="Times New Roman"/>
          <w:sz w:val="24"/>
          <w:szCs w:val="24"/>
          <w:lang w:val="en-ZW"/>
        </w:rPr>
        <w:t>[</w:t>
      </w:r>
      <w:r w:rsidR="00D36BF2">
        <w:rPr>
          <w:rFonts w:ascii="Times New Roman" w:hAnsi="Times New Roman" w:cs="Times New Roman"/>
          <w:sz w:val="24"/>
          <w:szCs w:val="24"/>
          <w:lang w:val="en-ZW"/>
        </w:rPr>
        <w:t>24</w:t>
      </w:r>
      <w:r w:rsidRPr="005B2EC9">
        <w:rPr>
          <w:rFonts w:ascii="Times New Roman" w:hAnsi="Times New Roman" w:cs="Times New Roman"/>
          <w:sz w:val="24"/>
          <w:szCs w:val="24"/>
          <w:lang w:val="en-ZW"/>
        </w:rPr>
        <w:t>]</w:t>
      </w:r>
      <w:r w:rsidRPr="005B2EC9">
        <w:rPr>
          <w:rFonts w:ascii="Times New Roman" w:hAnsi="Times New Roman" w:cs="Times New Roman"/>
          <w:sz w:val="24"/>
          <w:szCs w:val="24"/>
          <w:lang w:val="en-ZW"/>
        </w:rPr>
        <w:tab/>
      </w:r>
      <w:r w:rsidR="00507513" w:rsidRPr="00507513">
        <w:rPr>
          <w:rFonts w:ascii="Times New Roman" w:hAnsi="Times New Roman" w:cs="Times New Roman"/>
          <w:sz w:val="24"/>
          <w:szCs w:val="24"/>
          <w:lang w:val="en-ZW"/>
        </w:rPr>
        <w:t xml:space="preserve">State witnesses Lovemore </w:t>
      </w:r>
      <w:proofErr w:type="spellStart"/>
      <w:r w:rsidR="00507513" w:rsidRPr="00507513">
        <w:rPr>
          <w:rFonts w:ascii="Times New Roman" w:hAnsi="Times New Roman" w:cs="Times New Roman"/>
          <w:sz w:val="24"/>
          <w:szCs w:val="24"/>
          <w:lang w:val="en-ZW"/>
        </w:rPr>
        <w:t>Mapfanya</w:t>
      </w:r>
      <w:proofErr w:type="spellEnd"/>
      <w:r w:rsidR="00507513" w:rsidRPr="00507513">
        <w:rPr>
          <w:rFonts w:ascii="Times New Roman" w:hAnsi="Times New Roman" w:cs="Times New Roman"/>
          <w:sz w:val="24"/>
          <w:szCs w:val="24"/>
          <w:lang w:val="en-ZW"/>
        </w:rPr>
        <w:t xml:space="preserve">, John </w:t>
      </w:r>
      <w:proofErr w:type="spellStart"/>
      <w:r w:rsidR="00507513" w:rsidRPr="00507513">
        <w:rPr>
          <w:rFonts w:ascii="Times New Roman" w:hAnsi="Times New Roman" w:cs="Times New Roman"/>
          <w:sz w:val="24"/>
          <w:szCs w:val="24"/>
          <w:lang w:val="en-ZW"/>
        </w:rPr>
        <w:t>Muchawaya</w:t>
      </w:r>
      <w:proofErr w:type="spellEnd"/>
      <w:r w:rsidR="00507513" w:rsidRPr="00507513">
        <w:rPr>
          <w:rFonts w:ascii="Times New Roman" w:hAnsi="Times New Roman" w:cs="Times New Roman"/>
          <w:sz w:val="24"/>
          <w:szCs w:val="24"/>
          <w:lang w:val="en-ZW"/>
        </w:rPr>
        <w:t xml:space="preserve"> </w:t>
      </w:r>
      <w:proofErr w:type="spellStart"/>
      <w:r w:rsidR="00507513" w:rsidRPr="00507513">
        <w:rPr>
          <w:rFonts w:ascii="Times New Roman" w:hAnsi="Times New Roman" w:cs="Times New Roman"/>
          <w:sz w:val="24"/>
          <w:szCs w:val="24"/>
          <w:lang w:val="en-ZW"/>
        </w:rPr>
        <w:t>Bera</w:t>
      </w:r>
      <w:proofErr w:type="spellEnd"/>
      <w:r w:rsidR="00507513" w:rsidRPr="00507513">
        <w:rPr>
          <w:rFonts w:ascii="Times New Roman" w:hAnsi="Times New Roman" w:cs="Times New Roman"/>
          <w:sz w:val="24"/>
          <w:szCs w:val="24"/>
          <w:lang w:val="en-ZW"/>
        </w:rPr>
        <w:t xml:space="preserve">, </w:t>
      </w:r>
      <w:proofErr w:type="spellStart"/>
      <w:r w:rsidR="00507513" w:rsidRPr="00507513">
        <w:rPr>
          <w:rFonts w:ascii="Times New Roman" w:hAnsi="Times New Roman" w:cs="Times New Roman"/>
          <w:sz w:val="24"/>
          <w:szCs w:val="24"/>
          <w:lang w:val="en-ZW"/>
        </w:rPr>
        <w:t>Kumborerai</w:t>
      </w:r>
      <w:proofErr w:type="spellEnd"/>
      <w:r w:rsidR="00507513" w:rsidRPr="00507513">
        <w:rPr>
          <w:rFonts w:ascii="Times New Roman" w:hAnsi="Times New Roman" w:cs="Times New Roman"/>
          <w:sz w:val="24"/>
          <w:szCs w:val="24"/>
          <w:lang w:val="en-ZW"/>
        </w:rPr>
        <w:t xml:space="preserve"> </w:t>
      </w:r>
      <w:proofErr w:type="spellStart"/>
      <w:r w:rsidR="00507513" w:rsidRPr="00507513">
        <w:rPr>
          <w:rFonts w:ascii="Times New Roman" w:hAnsi="Times New Roman" w:cs="Times New Roman"/>
          <w:sz w:val="24"/>
          <w:szCs w:val="24"/>
          <w:lang w:val="en-ZW"/>
        </w:rPr>
        <w:t>Shariwa</w:t>
      </w:r>
      <w:proofErr w:type="spellEnd"/>
      <w:r w:rsidR="00507513" w:rsidRPr="00507513">
        <w:rPr>
          <w:rFonts w:ascii="Times New Roman" w:hAnsi="Times New Roman" w:cs="Times New Roman"/>
          <w:sz w:val="24"/>
          <w:szCs w:val="24"/>
          <w:lang w:val="en-ZW"/>
        </w:rPr>
        <w:t xml:space="preserve">, and </w:t>
      </w:r>
      <w:proofErr w:type="spellStart"/>
      <w:r w:rsidR="00507513" w:rsidRPr="00507513">
        <w:rPr>
          <w:rFonts w:ascii="Times New Roman" w:hAnsi="Times New Roman" w:cs="Times New Roman"/>
          <w:sz w:val="24"/>
          <w:szCs w:val="24"/>
          <w:lang w:val="en-ZW"/>
        </w:rPr>
        <w:t>Gonai</w:t>
      </w:r>
      <w:proofErr w:type="spellEnd"/>
      <w:r w:rsidR="00507513" w:rsidRPr="00507513">
        <w:rPr>
          <w:rFonts w:ascii="Times New Roman" w:hAnsi="Times New Roman" w:cs="Times New Roman"/>
          <w:sz w:val="24"/>
          <w:szCs w:val="24"/>
          <w:lang w:val="en-ZW"/>
        </w:rPr>
        <w:t xml:space="preserve"> </w:t>
      </w:r>
      <w:proofErr w:type="spellStart"/>
      <w:r w:rsidR="00507513" w:rsidRPr="00507513">
        <w:rPr>
          <w:rFonts w:ascii="Times New Roman" w:hAnsi="Times New Roman" w:cs="Times New Roman"/>
          <w:sz w:val="24"/>
          <w:szCs w:val="24"/>
          <w:lang w:val="en-ZW"/>
        </w:rPr>
        <w:t>Masundire</w:t>
      </w:r>
      <w:proofErr w:type="spellEnd"/>
      <w:r w:rsidR="00507513" w:rsidRPr="00507513">
        <w:rPr>
          <w:rFonts w:ascii="Times New Roman" w:hAnsi="Times New Roman" w:cs="Times New Roman"/>
          <w:sz w:val="24"/>
          <w:szCs w:val="24"/>
          <w:lang w:val="en-ZW"/>
        </w:rPr>
        <w:t xml:space="preserve"> testified that they had gone underground to erect a barricade at Level One between their tunnel and the accused’s tunnel. The encroachment of the tunnels was not disputed by the accused, who acknowledged that there was no barricade underground. He claimed that unauthorized </w:t>
      </w:r>
      <w:r>
        <w:rPr>
          <w:rFonts w:ascii="Times New Roman" w:hAnsi="Times New Roman" w:cs="Times New Roman"/>
          <w:sz w:val="24"/>
          <w:szCs w:val="24"/>
          <w:lang w:val="en-ZW"/>
        </w:rPr>
        <w:t>persons</w:t>
      </w:r>
      <w:r w:rsidR="00507513" w:rsidRPr="00507513">
        <w:rPr>
          <w:rFonts w:ascii="Times New Roman" w:hAnsi="Times New Roman" w:cs="Times New Roman"/>
          <w:sz w:val="24"/>
          <w:szCs w:val="24"/>
          <w:lang w:val="en-ZW"/>
        </w:rPr>
        <w:t xml:space="preserve"> had breached the boundary and encroached over 10 meters into his mine</w:t>
      </w:r>
      <w:r>
        <w:rPr>
          <w:rFonts w:ascii="Times New Roman" w:hAnsi="Times New Roman" w:cs="Times New Roman"/>
          <w:sz w:val="24"/>
          <w:szCs w:val="24"/>
          <w:lang w:val="en-ZW"/>
        </w:rPr>
        <w:t xml:space="preserve"> from Mr </w:t>
      </w:r>
      <w:proofErr w:type="spellStart"/>
      <w:r>
        <w:rPr>
          <w:rFonts w:ascii="Times New Roman" w:hAnsi="Times New Roman" w:cs="Times New Roman"/>
          <w:sz w:val="24"/>
          <w:szCs w:val="24"/>
          <w:lang w:val="en-ZW"/>
        </w:rPr>
        <w:t>Shariwa’s</w:t>
      </w:r>
      <w:proofErr w:type="spellEnd"/>
      <w:r>
        <w:rPr>
          <w:rFonts w:ascii="Times New Roman" w:hAnsi="Times New Roman" w:cs="Times New Roman"/>
          <w:sz w:val="24"/>
          <w:szCs w:val="24"/>
          <w:lang w:val="en-ZW"/>
        </w:rPr>
        <w:t xml:space="preserve"> side</w:t>
      </w:r>
      <w:r w:rsidR="00507513" w:rsidRPr="00507513">
        <w:rPr>
          <w:rFonts w:ascii="Times New Roman" w:hAnsi="Times New Roman" w:cs="Times New Roman"/>
          <w:sz w:val="24"/>
          <w:szCs w:val="24"/>
          <w:lang w:val="en-ZW"/>
        </w:rPr>
        <w:t>.</w:t>
      </w:r>
      <w:r w:rsidR="003F5E9D" w:rsidRPr="00EA122E">
        <w:rPr>
          <w:rFonts w:ascii="Times New Roman" w:hAnsi="Times New Roman" w:cs="Times New Roman"/>
          <w:sz w:val="24"/>
          <w:szCs w:val="24"/>
          <w:lang w:val="en-ZW"/>
        </w:rPr>
        <w:t xml:space="preserve"> </w:t>
      </w:r>
      <w:r w:rsidR="00507513" w:rsidRPr="00507513">
        <w:rPr>
          <w:rFonts w:ascii="Times New Roman" w:hAnsi="Times New Roman" w:cs="Times New Roman"/>
          <w:sz w:val="24"/>
          <w:szCs w:val="24"/>
          <w:lang w:val="en-ZW"/>
        </w:rPr>
        <w:t xml:space="preserve">Mr. Cornelius </w:t>
      </w:r>
      <w:proofErr w:type="spellStart"/>
      <w:r w:rsidR="00507513" w:rsidRPr="00507513">
        <w:rPr>
          <w:rFonts w:ascii="Times New Roman" w:hAnsi="Times New Roman" w:cs="Times New Roman"/>
          <w:sz w:val="24"/>
          <w:szCs w:val="24"/>
          <w:lang w:val="en-ZW"/>
        </w:rPr>
        <w:t>Shariwa</w:t>
      </w:r>
      <w:proofErr w:type="spellEnd"/>
      <w:r w:rsidR="00507513" w:rsidRPr="00507513">
        <w:rPr>
          <w:rFonts w:ascii="Times New Roman" w:hAnsi="Times New Roman" w:cs="Times New Roman"/>
          <w:sz w:val="24"/>
          <w:szCs w:val="24"/>
          <w:lang w:val="en-ZW"/>
        </w:rPr>
        <w:t xml:space="preserve"> corroborated the issue of encroachment, stating that he had noticed smoke from explosives coming from the accused’s side. He testified that he had agreed with the accused’s blaster</w:t>
      </w:r>
      <w:r w:rsidR="000208D7">
        <w:rPr>
          <w:rFonts w:ascii="Times New Roman" w:hAnsi="Times New Roman" w:cs="Times New Roman"/>
          <w:sz w:val="24"/>
          <w:szCs w:val="24"/>
          <w:lang w:val="en-ZW"/>
        </w:rPr>
        <w:t>s on the need</w:t>
      </w:r>
      <w:r w:rsidR="00507513" w:rsidRPr="00507513">
        <w:rPr>
          <w:rFonts w:ascii="Times New Roman" w:hAnsi="Times New Roman" w:cs="Times New Roman"/>
          <w:sz w:val="24"/>
          <w:szCs w:val="24"/>
          <w:lang w:val="en-ZW"/>
        </w:rPr>
        <w:t xml:space="preserve"> to erect a barricade and </w:t>
      </w:r>
      <w:r w:rsidR="000208D7">
        <w:rPr>
          <w:rFonts w:ascii="Times New Roman" w:hAnsi="Times New Roman" w:cs="Times New Roman"/>
          <w:sz w:val="24"/>
          <w:szCs w:val="24"/>
          <w:lang w:val="en-ZW"/>
        </w:rPr>
        <w:t xml:space="preserve">that </w:t>
      </w:r>
      <w:r>
        <w:rPr>
          <w:rFonts w:ascii="Times New Roman" w:hAnsi="Times New Roman" w:cs="Times New Roman"/>
          <w:sz w:val="24"/>
          <w:szCs w:val="24"/>
          <w:lang w:val="en-ZW"/>
        </w:rPr>
        <w:t xml:space="preserve">he </w:t>
      </w:r>
      <w:r w:rsidR="00507513" w:rsidRPr="00507513">
        <w:rPr>
          <w:rFonts w:ascii="Times New Roman" w:hAnsi="Times New Roman" w:cs="Times New Roman"/>
          <w:sz w:val="24"/>
          <w:szCs w:val="24"/>
          <w:lang w:val="en-ZW"/>
        </w:rPr>
        <w:t>had</w:t>
      </w:r>
      <w:r>
        <w:rPr>
          <w:rFonts w:ascii="Times New Roman" w:hAnsi="Times New Roman" w:cs="Times New Roman"/>
          <w:sz w:val="24"/>
          <w:szCs w:val="24"/>
          <w:lang w:val="en-ZW"/>
        </w:rPr>
        <w:t xml:space="preserve"> then gone on to</w:t>
      </w:r>
      <w:r w:rsidR="00507513" w:rsidRPr="00507513">
        <w:rPr>
          <w:rFonts w:ascii="Times New Roman" w:hAnsi="Times New Roman" w:cs="Times New Roman"/>
          <w:sz w:val="24"/>
          <w:szCs w:val="24"/>
          <w:lang w:val="en-ZW"/>
        </w:rPr>
        <w:t xml:space="preserve"> instruct his employees to do so.</w:t>
      </w:r>
      <w:r w:rsidR="00FE29B7">
        <w:rPr>
          <w:rFonts w:ascii="Times New Roman" w:hAnsi="Times New Roman" w:cs="Times New Roman"/>
          <w:sz w:val="24"/>
          <w:szCs w:val="24"/>
          <w:lang w:val="en-ZW"/>
        </w:rPr>
        <w:t xml:space="preserve"> He further said that this is what </w:t>
      </w:r>
      <w:r w:rsidR="000208D7">
        <w:rPr>
          <w:rFonts w:ascii="Times New Roman" w:hAnsi="Times New Roman" w:cs="Times New Roman"/>
          <w:sz w:val="24"/>
          <w:szCs w:val="24"/>
          <w:lang w:val="en-ZW"/>
        </w:rPr>
        <w:t xml:space="preserve">his employees </w:t>
      </w:r>
      <w:r w:rsidR="00FE29B7">
        <w:rPr>
          <w:rFonts w:ascii="Times New Roman" w:hAnsi="Times New Roman" w:cs="Times New Roman"/>
          <w:sz w:val="24"/>
          <w:szCs w:val="24"/>
          <w:lang w:val="en-ZW"/>
        </w:rPr>
        <w:t xml:space="preserve">were doing </w:t>
      </w:r>
      <w:r w:rsidR="001C6E87">
        <w:rPr>
          <w:rFonts w:ascii="Times New Roman" w:hAnsi="Times New Roman" w:cs="Times New Roman"/>
          <w:sz w:val="24"/>
          <w:szCs w:val="24"/>
          <w:lang w:val="en-ZW"/>
        </w:rPr>
        <w:t>on the day the accused shot them.</w:t>
      </w:r>
      <w:r w:rsidR="00F7510A">
        <w:rPr>
          <w:rFonts w:ascii="Times New Roman" w:hAnsi="Times New Roman" w:cs="Times New Roman"/>
          <w:sz w:val="24"/>
          <w:szCs w:val="24"/>
          <w:lang w:val="en-ZW"/>
        </w:rPr>
        <w:t xml:space="preserve"> He </w:t>
      </w:r>
      <w:r w:rsidR="000208D7">
        <w:rPr>
          <w:rFonts w:ascii="Times New Roman" w:hAnsi="Times New Roman" w:cs="Times New Roman"/>
          <w:sz w:val="24"/>
          <w:szCs w:val="24"/>
          <w:lang w:val="en-ZW"/>
        </w:rPr>
        <w:t xml:space="preserve">said he </w:t>
      </w:r>
      <w:r w:rsidR="00F7510A">
        <w:rPr>
          <w:rFonts w:ascii="Times New Roman" w:hAnsi="Times New Roman" w:cs="Times New Roman"/>
          <w:sz w:val="24"/>
          <w:szCs w:val="24"/>
          <w:lang w:val="en-ZW"/>
        </w:rPr>
        <w:t xml:space="preserve">was phoned and informed of the incident when he was in Kwekwe town. He rushed to the mine </w:t>
      </w:r>
      <w:r w:rsidR="000208D7">
        <w:rPr>
          <w:rFonts w:ascii="Times New Roman" w:hAnsi="Times New Roman" w:cs="Times New Roman"/>
          <w:sz w:val="24"/>
          <w:szCs w:val="24"/>
          <w:lang w:val="en-ZW"/>
        </w:rPr>
        <w:t xml:space="preserve">and arrived </w:t>
      </w:r>
      <w:r w:rsidR="00F7510A">
        <w:rPr>
          <w:rFonts w:ascii="Times New Roman" w:hAnsi="Times New Roman" w:cs="Times New Roman"/>
          <w:sz w:val="24"/>
          <w:szCs w:val="24"/>
          <w:lang w:val="en-ZW"/>
        </w:rPr>
        <w:t>at the same time with the police</w:t>
      </w:r>
      <w:r w:rsidR="000208D7">
        <w:rPr>
          <w:rFonts w:ascii="Times New Roman" w:hAnsi="Times New Roman" w:cs="Times New Roman"/>
          <w:sz w:val="24"/>
          <w:szCs w:val="24"/>
          <w:lang w:val="en-ZW"/>
        </w:rPr>
        <w:t xml:space="preserve"> who had </w:t>
      </w:r>
      <w:r w:rsidR="00DD435D">
        <w:rPr>
          <w:rFonts w:ascii="Times New Roman" w:hAnsi="Times New Roman" w:cs="Times New Roman"/>
          <w:sz w:val="24"/>
          <w:szCs w:val="24"/>
          <w:lang w:val="en-ZW"/>
        </w:rPr>
        <w:t>been reported to</w:t>
      </w:r>
      <w:r w:rsidR="00F7510A">
        <w:rPr>
          <w:rFonts w:ascii="Times New Roman" w:hAnsi="Times New Roman" w:cs="Times New Roman"/>
          <w:sz w:val="24"/>
          <w:szCs w:val="24"/>
          <w:lang w:val="en-ZW"/>
        </w:rPr>
        <w:t xml:space="preserve">. That Mr </w:t>
      </w:r>
      <w:proofErr w:type="spellStart"/>
      <w:r w:rsidR="00F7510A">
        <w:rPr>
          <w:rFonts w:ascii="Times New Roman" w:hAnsi="Times New Roman" w:cs="Times New Roman"/>
          <w:sz w:val="24"/>
          <w:szCs w:val="24"/>
          <w:lang w:val="en-ZW"/>
        </w:rPr>
        <w:t>Shariwa</w:t>
      </w:r>
      <w:proofErr w:type="spellEnd"/>
      <w:r w:rsidR="00F7510A">
        <w:rPr>
          <w:rFonts w:ascii="Times New Roman" w:hAnsi="Times New Roman" w:cs="Times New Roman"/>
          <w:sz w:val="24"/>
          <w:szCs w:val="24"/>
          <w:lang w:val="en-ZW"/>
        </w:rPr>
        <w:t xml:space="preserve"> was phoned about the shooting incident corroborates his averment that the people who were shot by the accused were his employees and not intruders. </w:t>
      </w:r>
    </w:p>
    <w:p w14:paraId="1902CA75" w14:textId="77777777" w:rsidR="00D76938" w:rsidRDefault="00D76938" w:rsidP="00EA122E">
      <w:pPr>
        <w:pStyle w:val="NoSpacing"/>
        <w:spacing w:line="360" w:lineRule="auto"/>
        <w:jc w:val="both"/>
        <w:rPr>
          <w:rFonts w:ascii="Times New Roman" w:hAnsi="Times New Roman" w:cs="Times New Roman"/>
          <w:sz w:val="24"/>
          <w:szCs w:val="24"/>
          <w:lang w:val="en-ZW"/>
        </w:rPr>
      </w:pPr>
    </w:p>
    <w:p w14:paraId="04EC0FB1" w14:textId="29BC0159" w:rsidR="00BE6928" w:rsidRDefault="00572BF6" w:rsidP="00D7693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lang w:val="en-ZW"/>
        </w:rPr>
        <w:t>[</w:t>
      </w:r>
      <w:r w:rsidR="00D36BF2">
        <w:rPr>
          <w:rFonts w:ascii="Times New Roman" w:hAnsi="Times New Roman" w:cs="Times New Roman"/>
          <w:sz w:val="24"/>
          <w:szCs w:val="24"/>
          <w:lang w:val="en-ZW"/>
        </w:rPr>
        <w:t>25</w:t>
      </w:r>
      <w:r>
        <w:rPr>
          <w:rFonts w:ascii="Times New Roman" w:hAnsi="Times New Roman" w:cs="Times New Roman"/>
          <w:sz w:val="24"/>
          <w:szCs w:val="24"/>
          <w:lang w:val="en-ZW"/>
        </w:rPr>
        <w:t>]</w:t>
      </w:r>
      <w:r>
        <w:rPr>
          <w:rFonts w:ascii="Times New Roman" w:hAnsi="Times New Roman" w:cs="Times New Roman"/>
          <w:sz w:val="24"/>
          <w:szCs w:val="24"/>
          <w:lang w:val="en-ZW"/>
        </w:rPr>
        <w:tab/>
      </w:r>
      <w:r w:rsidR="00507513" w:rsidRPr="00507513">
        <w:rPr>
          <w:rFonts w:ascii="Times New Roman" w:hAnsi="Times New Roman" w:cs="Times New Roman"/>
          <w:sz w:val="24"/>
          <w:szCs w:val="24"/>
        </w:rPr>
        <w:t>We are satisfied that the deceased and his colleagues were engaged in erecting a barricade between the two tunnels. This conclusion is supported by the consistency of the</w:t>
      </w:r>
      <w:r w:rsidR="00CA2243" w:rsidRPr="00D76938">
        <w:rPr>
          <w:rFonts w:ascii="Times New Roman" w:hAnsi="Times New Roman" w:cs="Times New Roman"/>
          <w:sz w:val="24"/>
          <w:szCs w:val="24"/>
        </w:rPr>
        <w:t xml:space="preserve"> State</w:t>
      </w:r>
      <w:r w:rsidR="00507513" w:rsidRPr="00507513">
        <w:rPr>
          <w:rFonts w:ascii="Times New Roman" w:hAnsi="Times New Roman" w:cs="Times New Roman"/>
          <w:sz w:val="24"/>
          <w:szCs w:val="24"/>
        </w:rPr>
        <w:t xml:space="preserve"> witnesses' testimonies on this issue, although there were minor discrepancies regarding when the work commenced. Some witnesses stated that the work began the previous day, while others claimed it started on the day of the shooting. Unfortunately, the State counsel </w:t>
      </w:r>
      <w:r w:rsidR="00CA2243" w:rsidRPr="00D76938">
        <w:rPr>
          <w:rFonts w:ascii="Times New Roman" w:hAnsi="Times New Roman" w:cs="Times New Roman"/>
          <w:sz w:val="24"/>
          <w:szCs w:val="24"/>
        </w:rPr>
        <w:t xml:space="preserve">did not see it necessary to seek </w:t>
      </w:r>
      <w:r w:rsidR="00507513" w:rsidRPr="00507513">
        <w:rPr>
          <w:rFonts w:ascii="Times New Roman" w:hAnsi="Times New Roman" w:cs="Times New Roman"/>
          <w:sz w:val="24"/>
          <w:szCs w:val="24"/>
        </w:rPr>
        <w:t>explanations for these discrepancies, which the defen</w:t>
      </w:r>
      <w:r w:rsidR="00CA2243" w:rsidRPr="00D76938">
        <w:rPr>
          <w:rFonts w:ascii="Times New Roman" w:hAnsi="Times New Roman" w:cs="Times New Roman"/>
          <w:sz w:val="24"/>
          <w:szCs w:val="24"/>
        </w:rPr>
        <w:t>c</w:t>
      </w:r>
      <w:r w:rsidR="00507513" w:rsidRPr="00507513">
        <w:rPr>
          <w:rFonts w:ascii="Times New Roman" w:hAnsi="Times New Roman" w:cs="Times New Roman"/>
          <w:sz w:val="24"/>
          <w:szCs w:val="24"/>
        </w:rPr>
        <w:t>e interpreted as indicative of fabrication by the State witnesses. However, we are not persuaded by th</w:t>
      </w:r>
      <w:r w:rsidR="00B62EF6" w:rsidRPr="00D76938">
        <w:rPr>
          <w:rFonts w:ascii="Times New Roman" w:hAnsi="Times New Roman" w:cs="Times New Roman"/>
          <w:sz w:val="24"/>
          <w:szCs w:val="24"/>
        </w:rPr>
        <w:t>e defence’s</w:t>
      </w:r>
      <w:r w:rsidR="00507513" w:rsidRPr="00507513">
        <w:rPr>
          <w:rFonts w:ascii="Times New Roman" w:hAnsi="Times New Roman" w:cs="Times New Roman"/>
          <w:sz w:val="24"/>
          <w:szCs w:val="24"/>
        </w:rPr>
        <w:t xml:space="preserve"> argument </w:t>
      </w:r>
      <w:r w:rsidRPr="00D76938">
        <w:rPr>
          <w:rFonts w:ascii="Times New Roman" w:hAnsi="Times New Roman" w:cs="Times New Roman"/>
          <w:sz w:val="24"/>
          <w:szCs w:val="24"/>
        </w:rPr>
        <w:t>because</w:t>
      </w:r>
      <w:r w:rsidR="00507513" w:rsidRPr="00507513">
        <w:rPr>
          <w:rFonts w:ascii="Times New Roman" w:hAnsi="Times New Roman" w:cs="Times New Roman"/>
          <w:sz w:val="24"/>
          <w:szCs w:val="24"/>
        </w:rPr>
        <w:t xml:space="preserve"> the</w:t>
      </w:r>
      <w:r w:rsidRPr="00D76938">
        <w:rPr>
          <w:rFonts w:ascii="Times New Roman" w:hAnsi="Times New Roman" w:cs="Times New Roman"/>
          <w:sz w:val="24"/>
          <w:szCs w:val="24"/>
        </w:rPr>
        <w:t>se people</w:t>
      </w:r>
      <w:r w:rsidR="00507513" w:rsidRPr="00507513">
        <w:rPr>
          <w:rFonts w:ascii="Times New Roman" w:hAnsi="Times New Roman" w:cs="Times New Roman"/>
          <w:sz w:val="24"/>
          <w:szCs w:val="24"/>
        </w:rPr>
        <w:t xml:space="preserve"> were not illegal miners, as they were employed by Cornelius </w:t>
      </w:r>
      <w:proofErr w:type="spellStart"/>
      <w:r w:rsidR="00507513" w:rsidRPr="00507513">
        <w:rPr>
          <w:rFonts w:ascii="Times New Roman" w:hAnsi="Times New Roman" w:cs="Times New Roman"/>
          <w:sz w:val="24"/>
          <w:szCs w:val="24"/>
        </w:rPr>
        <w:t>Shariwa</w:t>
      </w:r>
      <w:proofErr w:type="spellEnd"/>
      <w:r w:rsidR="00507513" w:rsidRPr="00507513">
        <w:rPr>
          <w:rFonts w:ascii="Times New Roman" w:hAnsi="Times New Roman" w:cs="Times New Roman"/>
          <w:sz w:val="24"/>
          <w:szCs w:val="24"/>
        </w:rPr>
        <w:t xml:space="preserve">. If they were not erecting a barricade, they could have simply stated that they were mining in their tunnel, a claim that would have been difficult to challenge given their right to mine in their tunnel. Even if they were accused of stealing gold from the accused’s side, they could still assert that they were mining in their tunnel, and this assertion would not have been easily disproved. The tools they carried were standard mining equipment. Their claim that they were erecting a barricade on the day in question, rather than mining, demonstrates their honesty. The discrepancies in </w:t>
      </w:r>
      <w:r w:rsidRPr="00D76938">
        <w:rPr>
          <w:rFonts w:ascii="Times New Roman" w:hAnsi="Times New Roman" w:cs="Times New Roman"/>
          <w:sz w:val="24"/>
          <w:szCs w:val="24"/>
        </w:rPr>
        <w:t xml:space="preserve">the time the work </w:t>
      </w:r>
      <w:r w:rsidRPr="00D76938">
        <w:rPr>
          <w:rFonts w:ascii="Times New Roman" w:hAnsi="Times New Roman" w:cs="Times New Roman"/>
          <w:sz w:val="24"/>
          <w:szCs w:val="24"/>
        </w:rPr>
        <w:lastRenderedPageBreak/>
        <w:t xml:space="preserve">commenced </w:t>
      </w:r>
      <w:r w:rsidR="00507513" w:rsidRPr="00507513">
        <w:rPr>
          <w:rFonts w:ascii="Times New Roman" w:hAnsi="Times New Roman" w:cs="Times New Roman"/>
          <w:sz w:val="24"/>
          <w:szCs w:val="24"/>
        </w:rPr>
        <w:t>can be attributed to the natural lapse of memory over time, which is common</w:t>
      </w:r>
      <w:r w:rsidR="00F774FF">
        <w:rPr>
          <w:rFonts w:ascii="Times New Roman" w:hAnsi="Times New Roman" w:cs="Times New Roman"/>
          <w:sz w:val="24"/>
          <w:szCs w:val="24"/>
        </w:rPr>
        <w:t xml:space="preserve"> to human beings</w:t>
      </w:r>
      <w:r w:rsidR="00507513" w:rsidRPr="00507513">
        <w:rPr>
          <w:rFonts w:ascii="Times New Roman" w:hAnsi="Times New Roman" w:cs="Times New Roman"/>
          <w:sz w:val="24"/>
          <w:szCs w:val="24"/>
        </w:rPr>
        <w:t>.</w:t>
      </w:r>
      <w:r w:rsidR="0076118E">
        <w:rPr>
          <w:rFonts w:ascii="Times New Roman" w:hAnsi="Times New Roman" w:cs="Times New Roman"/>
          <w:sz w:val="24"/>
          <w:szCs w:val="24"/>
        </w:rPr>
        <w:t xml:space="preserve"> This does </w:t>
      </w:r>
      <w:r w:rsidR="0076118E" w:rsidRPr="0076118E">
        <w:rPr>
          <w:rFonts w:ascii="Times New Roman" w:hAnsi="Times New Roman" w:cs="Times New Roman"/>
          <w:sz w:val="24"/>
          <w:szCs w:val="24"/>
        </w:rPr>
        <w:t>not undermine the credibility of their account.</w:t>
      </w:r>
    </w:p>
    <w:p w14:paraId="3ED797F8" w14:textId="77777777" w:rsidR="00717549" w:rsidRDefault="00717549" w:rsidP="00D76938">
      <w:pPr>
        <w:pStyle w:val="NoSpacing"/>
        <w:spacing w:line="360" w:lineRule="auto"/>
        <w:jc w:val="both"/>
        <w:rPr>
          <w:rFonts w:ascii="Times New Roman" w:hAnsi="Times New Roman" w:cs="Times New Roman"/>
          <w:sz w:val="24"/>
          <w:szCs w:val="24"/>
        </w:rPr>
      </w:pPr>
    </w:p>
    <w:p w14:paraId="1F739C19" w14:textId="2B41B4D6" w:rsidR="008A6C61" w:rsidRDefault="00D76938" w:rsidP="008A6C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36BF2">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507513" w:rsidRPr="00507513">
        <w:rPr>
          <w:rFonts w:ascii="Times New Roman" w:hAnsi="Times New Roman" w:cs="Times New Roman"/>
          <w:sz w:val="24"/>
          <w:szCs w:val="24"/>
        </w:rPr>
        <w:t>When the accused encountered the deceased and his colleagues, they were at Level One (35 meters</w:t>
      </w:r>
      <w:r w:rsidR="00426327">
        <w:rPr>
          <w:rFonts w:ascii="Times New Roman" w:hAnsi="Times New Roman" w:cs="Times New Roman"/>
          <w:sz w:val="24"/>
          <w:szCs w:val="24"/>
        </w:rPr>
        <w:t xml:space="preserve"> below the surface</w:t>
      </w:r>
      <w:r w:rsidR="00507513" w:rsidRPr="00507513">
        <w:rPr>
          <w:rFonts w:ascii="Times New Roman" w:hAnsi="Times New Roman" w:cs="Times New Roman"/>
          <w:sz w:val="24"/>
          <w:szCs w:val="24"/>
        </w:rPr>
        <w:t xml:space="preserve">), where </w:t>
      </w:r>
      <w:r w:rsidR="00B346FA" w:rsidRPr="00D76938">
        <w:rPr>
          <w:rFonts w:ascii="Times New Roman" w:hAnsi="Times New Roman" w:cs="Times New Roman"/>
          <w:sz w:val="24"/>
          <w:szCs w:val="24"/>
        </w:rPr>
        <w:t xml:space="preserve">his tunnel and </w:t>
      </w:r>
      <w:proofErr w:type="spellStart"/>
      <w:r w:rsidR="00B346FA" w:rsidRPr="00D76938">
        <w:rPr>
          <w:rFonts w:ascii="Times New Roman" w:hAnsi="Times New Roman" w:cs="Times New Roman"/>
          <w:sz w:val="24"/>
          <w:szCs w:val="24"/>
        </w:rPr>
        <w:t>Mr</w:t>
      </w:r>
      <w:proofErr w:type="spellEnd"/>
      <w:r w:rsidR="00B346FA" w:rsidRPr="00D76938">
        <w:rPr>
          <w:rFonts w:ascii="Times New Roman" w:hAnsi="Times New Roman" w:cs="Times New Roman"/>
          <w:sz w:val="24"/>
          <w:szCs w:val="24"/>
        </w:rPr>
        <w:t xml:space="preserve"> </w:t>
      </w:r>
      <w:proofErr w:type="spellStart"/>
      <w:r w:rsidR="00B346FA" w:rsidRPr="00D76938">
        <w:rPr>
          <w:rFonts w:ascii="Times New Roman" w:hAnsi="Times New Roman" w:cs="Times New Roman"/>
          <w:sz w:val="24"/>
          <w:szCs w:val="24"/>
        </w:rPr>
        <w:t>Shariwa’s</w:t>
      </w:r>
      <w:proofErr w:type="spellEnd"/>
      <w:r w:rsidR="00B346FA" w:rsidRPr="00D76938">
        <w:rPr>
          <w:rFonts w:ascii="Times New Roman" w:hAnsi="Times New Roman" w:cs="Times New Roman"/>
          <w:sz w:val="24"/>
          <w:szCs w:val="24"/>
        </w:rPr>
        <w:t xml:space="preserve"> tunnel</w:t>
      </w:r>
      <w:r w:rsidR="00507513" w:rsidRPr="00507513">
        <w:rPr>
          <w:rFonts w:ascii="Times New Roman" w:hAnsi="Times New Roman" w:cs="Times New Roman"/>
          <w:sz w:val="24"/>
          <w:szCs w:val="24"/>
        </w:rPr>
        <w:t xml:space="preserve"> had encroached. According to Roy </w:t>
      </w:r>
      <w:proofErr w:type="spellStart"/>
      <w:r w:rsidR="00507513" w:rsidRPr="00507513">
        <w:rPr>
          <w:rFonts w:ascii="Times New Roman" w:hAnsi="Times New Roman" w:cs="Times New Roman"/>
          <w:sz w:val="24"/>
          <w:szCs w:val="24"/>
        </w:rPr>
        <w:t>Taguma</w:t>
      </w:r>
      <w:proofErr w:type="spellEnd"/>
      <w:r w:rsidR="00507513" w:rsidRPr="00507513">
        <w:rPr>
          <w:rFonts w:ascii="Times New Roman" w:hAnsi="Times New Roman" w:cs="Times New Roman"/>
          <w:sz w:val="24"/>
          <w:szCs w:val="24"/>
        </w:rPr>
        <w:t xml:space="preserve">, the accused’s manager and head of security, </w:t>
      </w:r>
      <w:r w:rsidR="00B346FA" w:rsidRPr="00D76938">
        <w:rPr>
          <w:rFonts w:ascii="Times New Roman" w:hAnsi="Times New Roman" w:cs="Times New Roman"/>
          <w:sz w:val="24"/>
          <w:szCs w:val="24"/>
        </w:rPr>
        <w:t xml:space="preserve">the accused’s </w:t>
      </w:r>
      <w:r w:rsidR="00507513" w:rsidRPr="00507513">
        <w:rPr>
          <w:rFonts w:ascii="Times New Roman" w:hAnsi="Times New Roman" w:cs="Times New Roman"/>
          <w:sz w:val="24"/>
          <w:szCs w:val="24"/>
        </w:rPr>
        <w:t xml:space="preserve">mining activities at Level One had ceased a month prior due to the poor quality of the soil. The accused’s </w:t>
      </w:r>
      <w:r w:rsidRPr="00D76938">
        <w:rPr>
          <w:rFonts w:ascii="Times New Roman" w:hAnsi="Times New Roman" w:cs="Times New Roman"/>
          <w:sz w:val="24"/>
          <w:szCs w:val="24"/>
        </w:rPr>
        <w:t xml:space="preserve">mining </w:t>
      </w:r>
      <w:r w:rsidR="00507513" w:rsidRPr="00507513">
        <w:rPr>
          <w:rFonts w:ascii="Times New Roman" w:hAnsi="Times New Roman" w:cs="Times New Roman"/>
          <w:sz w:val="24"/>
          <w:szCs w:val="24"/>
        </w:rPr>
        <w:t>operations had since moved to Level Two at 50 meters</w:t>
      </w:r>
      <w:r w:rsidRPr="00D76938">
        <w:rPr>
          <w:rFonts w:ascii="Times New Roman" w:hAnsi="Times New Roman" w:cs="Times New Roman"/>
          <w:sz w:val="24"/>
          <w:szCs w:val="24"/>
        </w:rPr>
        <w:t xml:space="preserve"> below the surface</w:t>
      </w:r>
      <w:r w:rsidR="00507513" w:rsidRPr="00507513">
        <w:rPr>
          <w:rFonts w:ascii="Times New Roman" w:hAnsi="Times New Roman" w:cs="Times New Roman"/>
          <w:sz w:val="24"/>
          <w:szCs w:val="24"/>
        </w:rPr>
        <w:t>. No evidence was presented by the defen</w:t>
      </w:r>
      <w:r w:rsidR="00CA4C60" w:rsidRPr="00D76938">
        <w:rPr>
          <w:rFonts w:ascii="Times New Roman" w:hAnsi="Times New Roman" w:cs="Times New Roman"/>
          <w:sz w:val="24"/>
          <w:szCs w:val="24"/>
        </w:rPr>
        <w:t>c</w:t>
      </w:r>
      <w:r w:rsidR="00507513" w:rsidRPr="00507513">
        <w:rPr>
          <w:rFonts w:ascii="Times New Roman" w:hAnsi="Times New Roman" w:cs="Times New Roman"/>
          <w:sz w:val="24"/>
          <w:szCs w:val="24"/>
        </w:rPr>
        <w:t xml:space="preserve">e to show that the deceased and his colleagues were mining in the accused’s tunnel at the time of the encounter. The accused himself admitted that he did not see them mining but claimed they were stealing gold ore </w:t>
      </w:r>
      <w:r w:rsidRPr="00D76938">
        <w:rPr>
          <w:rFonts w:ascii="Times New Roman" w:hAnsi="Times New Roman" w:cs="Times New Roman"/>
          <w:sz w:val="24"/>
          <w:szCs w:val="24"/>
        </w:rPr>
        <w:t>because he saw</w:t>
      </w:r>
      <w:r w:rsidR="00507513" w:rsidRPr="00507513">
        <w:rPr>
          <w:rFonts w:ascii="Times New Roman" w:hAnsi="Times New Roman" w:cs="Times New Roman"/>
          <w:sz w:val="24"/>
          <w:szCs w:val="24"/>
        </w:rPr>
        <w:t xml:space="preserve"> sacks in the tunnel. However, he </w:t>
      </w:r>
      <w:r w:rsidRPr="00D76938">
        <w:rPr>
          <w:rFonts w:ascii="Times New Roman" w:hAnsi="Times New Roman" w:cs="Times New Roman"/>
          <w:sz w:val="24"/>
          <w:szCs w:val="24"/>
        </w:rPr>
        <w:t>did</w:t>
      </w:r>
      <w:r w:rsidR="00507513" w:rsidRPr="00507513">
        <w:rPr>
          <w:rFonts w:ascii="Times New Roman" w:hAnsi="Times New Roman" w:cs="Times New Roman"/>
          <w:sz w:val="24"/>
          <w:szCs w:val="24"/>
        </w:rPr>
        <w:t xml:space="preserve"> </w:t>
      </w:r>
      <w:r w:rsidR="00426327">
        <w:rPr>
          <w:rFonts w:ascii="Times New Roman" w:hAnsi="Times New Roman" w:cs="Times New Roman"/>
          <w:sz w:val="24"/>
          <w:szCs w:val="24"/>
        </w:rPr>
        <w:t>not</w:t>
      </w:r>
      <w:r w:rsidR="00507513" w:rsidRPr="00507513">
        <w:rPr>
          <w:rFonts w:ascii="Times New Roman" w:hAnsi="Times New Roman" w:cs="Times New Roman"/>
          <w:sz w:val="24"/>
          <w:szCs w:val="24"/>
        </w:rPr>
        <w:t xml:space="preserve"> explain where the gold ore came from</w:t>
      </w:r>
      <w:r w:rsidR="00541927" w:rsidRPr="00D76938">
        <w:rPr>
          <w:rFonts w:ascii="Times New Roman" w:hAnsi="Times New Roman" w:cs="Times New Roman"/>
          <w:sz w:val="24"/>
          <w:szCs w:val="24"/>
        </w:rPr>
        <w:t>, particularly considering that he was no longer mining in Tunnel One</w:t>
      </w:r>
      <w:r w:rsidR="00507513" w:rsidRPr="00507513">
        <w:rPr>
          <w:rFonts w:ascii="Times New Roman" w:hAnsi="Times New Roman" w:cs="Times New Roman"/>
          <w:sz w:val="24"/>
          <w:szCs w:val="24"/>
        </w:rPr>
        <w:t xml:space="preserve">, when </w:t>
      </w:r>
      <w:r w:rsidR="00426327">
        <w:rPr>
          <w:rFonts w:ascii="Times New Roman" w:hAnsi="Times New Roman" w:cs="Times New Roman"/>
          <w:sz w:val="24"/>
          <w:szCs w:val="24"/>
        </w:rPr>
        <w:t>the ore</w:t>
      </w:r>
      <w:r w:rsidR="00507513" w:rsidRPr="00507513">
        <w:rPr>
          <w:rFonts w:ascii="Times New Roman" w:hAnsi="Times New Roman" w:cs="Times New Roman"/>
          <w:sz w:val="24"/>
          <w:szCs w:val="24"/>
        </w:rPr>
        <w:t xml:space="preserve"> was mined, or why it was left exposed in a location accessible to thieves. This lack of explanation lends credibility to the testimony of the deceased’s colleagues, who stated that the sacks contained waste material</w:t>
      </w:r>
      <w:r w:rsidR="00CA4C60" w:rsidRPr="00D76938">
        <w:rPr>
          <w:rFonts w:ascii="Times New Roman" w:hAnsi="Times New Roman" w:cs="Times New Roman"/>
          <w:sz w:val="24"/>
          <w:szCs w:val="24"/>
        </w:rPr>
        <w:t xml:space="preserve"> which </w:t>
      </w:r>
      <w:r w:rsidR="008A6C61">
        <w:rPr>
          <w:rFonts w:ascii="Times New Roman" w:hAnsi="Times New Roman" w:cs="Times New Roman"/>
          <w:sz w:val="24"/>
          <w:szCs w:val="24"/>
        </w:rPr>
        <w:t>they were using</w:t>
      </w:r>
      <w:r w:rsidR="00507513" w:rsidRPr="00507513">
        <w:rPr>
          <w:rFonts w:ascii="Times New Roman" w:hAnsi="Times New Roman" w:cs="Times New Roman"/>
          <w:sz w:val="24"/>
          <w:szCs w:val="24"/>
        </w:rPr>
        <w:t xml:space="preserve"> for the barricade construction.</w:t>
      </w:r>
      <w:r w:rsidR="008A6C61">
        <w:rPr>
          <w:rFonts w:ascii="Times New Roman" w:hAnsi="Times New Roman" w:cs="Times New Roman"/>
          <w:sz w:val="24"/>
          <w:szCs w:val="24"/>
        </w:rPr>
        <w:t xml:space="preserve"> </w:t>
      </w:r>
    </w:p>
    <w:p w14:paraId="2B364083" w14:textId="77777777" w:rsidR="008A6C61" w:rsidRDefault="008A6C61" w:rsidP="008A6C61">
      <w:pPr>
        <w:pStyle w:val="NoSpacing"/>
        <w:spacing w:line="360" w:lineRule="auto"/>
        <w:jc w:val="both"/>
        <w:rPr>
          <w:rFonts w:ascii="Times New Roman" w:hAnsi="Times New Roman" w:cs="Times New Roman"/>
          <w:sz w:val="24"/>
          <w:szCs w:val="24"/>
        </w:rPr>
      </w:pPr>
    </w:p>
    <w:p w14:paraId="3C388C20" w14:textId="53471FF8" w:rsidR="00507513" w:rsidRDefault="008A6C61" w:rsidP="008A6C61">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D36BF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507513" w:rsidRPr="00507513">
        <w:rPr>
          <w:rFonts w:ascii="Times New Roman" w:hAnsi="Times New Roman" w:cs="Times New Roman"/>
          <w:sz w:val="24"/>
          <w:szCs w:val="24"/>
        </w:rPr>
        <w:t>Regarding the encounter, the accused claimed that he saw</w:t>
      </w:r>
      <w:r w:rsidR="00556E9F">
        <w:rPr>
          <w:rFonts w:ascii="Times New Roman" w:hAnsi="Times New Roman" w:cs="Times New Roman"/>
          <w:sz w:val="24"/>
          <w:szCs w:val="24"/>
        </w:rPr>
        <w:t xml:space="preserve"> about 8</w:t>
      </w:r>
      <w:r w:rsidR="00507513" w:rsidRPr="00507513">
        <w:rPr>
          <w:rFonts w:ascii="Times New Roman" w:hAnsi="Times New Roman" w:cs="Times New Roman"/>
          <w:sz w:val="24"/>
          <w:szCs w:val="24"/>
        </w:rPr>
        <w:t xml:space="preserve"> artisanal miners with torches approximately 10 meters away from him. He stated that they began advancing toward him, armed with </w:t>
      </w:r>
      <w:bookmarkStart w:id="3" w:name="_Hlk194932993"/>
      <w:r w:rsidR="00507513" w:rsidRPr="00507513">
        <w:rPr>
          <w:rFonts w:ascii="Times New Roman" w:hAnsi="Times New Roman" w:cs="Times New Roman"/>
          <w:sz w:val="24"/>
          <w:szCs w:val="24"/>
        </w:rPr>
        <w:t>machetes, axes, shovels, hammers, and chisels</w:t>
      </w:r>
      <w:bookmarkEnd w:id="3"/>
      <w:r w:rsidR="00507513" w:rsidRPr="00507513">
        <w:rPr>
          <w:rFonts w:ascii="Times New Roman" w:hAnsi="Times New Roman" w:cs="Times New Roman"/>
          <w:sz w:val="24"/>
          <w:szCs w:val="24"/>
        </w:rPr>
        <w:t xml:space="preserve">, and carrying sacks of gold ore. </w:t>
      </w:r>
      <w:r>
        <w:rPr>
          <w:rFonts w:ascii="Times New Roman" w:hAnsi="Times New Roman" w:cs="Times New Roman"/>
          <w:sz w:val="24"/>
          <w:szCs w:val="24"/>
        </w:rPr>
        <w:t xml:space="preserve">He said </w:t>
      </w:r>
      <w:r w:rsidR="00556E9F">
        <w:rPr>
          <w:rFonts w:ascii="Times New Roman" w:hAnsi="Times New Roman" w:cs="Times New Roman"/>
          <w:sz w:val="24"/>
          <w:szCs w:val="24"/>
        </w:rPr>
        <w:t>s</w:t>
      </w:r>
      <w:r w:rsidR="00507513" w:rsidRPr="00507513">
        <w:rPr>
          <w:rFonts w:ascii="Times New Roman" w:hAnsi="Times New Roman" w:cs="Times New Roman"/>
          <w:sz w:val="24"/>
          <w:szCs w:val="24"/>
        </w:rPr>
        <w:t>ensing danger, he fired three warning shots into the roof of the tunnel when they were about six to seven meters away. Despite this, he alleged that they continued advancing, with the complainant in the attempted murder charge leading the group, wielding a long metal object, possibly a chisel. The accused stated that he shot th</w:t>
      </w:r>
      <w:r w:rsidR="003B04E3" w:rsidRPr="008A6C61">
        <w:rPr>
          <w:rFonts w:ascii="Times New Roman" w:hAnsi="Times New Roman" w:cs="Times New Roman"/>
          <w:sz w:val="24"/>
          <w:szCs w:val="24"/>
        </w:rPr>
        <w:t>is</w:t>
      </w:r>
      <w:r w:rsidR="00507513" w:rsidRPr="00507513">
        <w:rPr>
          <w:rFonts w:ascii="Times New Roman" w:hAnsi="Times New Roman" w:cs="Times New Roman"/>
          <w:sz w:val="24"/>
          <w:szCs w:val="24"/>
        </w:rPr>
        <w:t xml:space="preserve"> complainant in the leg</w:t>
      </w:r>
      <w:r w:rsidR="00556E9F">
        <w:rPr>
          <w:rFonts w:ascii="Times New Roman" w:hAnsi="Times New Roman" w:cs="Times New Roman"/>
          <w:sz w:val="24"/>
          <w:szCs w:val="24"/>
        </w:rPr>
        <w:t>, but he kept on advancing and he had to shoot him in the other leg.  He said he</w:t>
      </w:r>
      <w:r w:rsidR="00507513" w:rsidRPr="00507513">
        <w:rPr>
          <w:rFonts w:ascii="Times New Roman" w:hAnsi="Times New Roman" w:cs="Times New Roman"/>
          <w:sz w:val="24"/>
          <w:szCs w:val="24"/>
        </w:rPr>
        <w:t xml:space="preserve"> later shot the deceased</w:t>
      </w:r>
      <w:r w:rsidR="00556E9F">
        <w:rPr>
          <w:rFonts w:ascii="Times New Roman" w:hAnsi="Times New Roman" w:cs="Times New Roman"/>
          <w:sz w:val="24"/>
          <w:szCs w:val="24"/>
        </w:rPr>
        <w:t xml:space="preserve"> in the leg because he kept on advancing </w:t>
      </w:r>
      <w:r w:rsidR="00507513" w:rsidRPr="00507513">
        <w:rPr>
          <w:rFonts w:ascii="Times New Roman" w:hAnsi="Times New Roman" w:cs="Times New Roman"/>
          <w:sz w:val="24"/>
          <w:szCs w:val="24"/>
        </w:rPr>
        <w:t xml:space="preserve">wielding an axe in </w:t>
      </w:r>
      <w:r w:rsidR="00556E9F">
        <w:rPr>
          <w:rFonts w:ascii="Times New Roman" w:hAnsi="Times New Roman" w:cs="Times New Roman"/>
          <w:sz w:val="24"/>
          <w:szCs w:val="24"/>
        </w:rPr>
        <w:t>a raised position ready to strike him</w:t>
      </w:r>
      <w:r w:rsidR="00507513" w:rsidRPr="00507513">
        <w:rPr>
          <w:rFonts w:ascii="Times New Roman" w:hAnsi="Times New Roman" w:cs="Times New Roman"/>
          <w:sz w:val="24"/>
          <w:szCs w:val="24"/>
        </w:rPr>
        <w:t>. The deceased fell, and</w:t>
      </w:r>
      <w:r w:rsidR="00556E9F">
        <w:rPr>
          <w:rFonts w:ascii="Times New Roman" w:hAnsi="Times New Roman" w:cs="Times New Roman"/>
          <w:sz w:val="24"/>
          <w:szCs w:val="24"/>
        </w:rPr>
        <w:t xml:space="preserve"> that is when</w:t>
      </w:r>
      <w:r w:rsidR="00507513" w:rsidRPr="00507513">
        <w:rPr>
          <w:rFonts w:ascii="Times New Roman" w:hAnsi="Times New Roman" w:cs="Times New Roman"/>
          <w:sz w:val="24"/>
          <w:szCs w:val="24"/>
        </w:rPr>
        <w:t xml:space="preserve"> the rest of the group fled</w:t>
      </w:r>
      <w:r w:rsidR="002C09DA" w:rsidRPr="008A6C61">
        <w:rPr>
          <w:rFonts w:ascii="Times New Roman" w:hAnsi="Times New Roman" w:cs="Times New Roman"/>
          <w:sz w:val="24"/>
          <w:szCs w:val="24"/>
        </w:rPr>
        <w:t xml:space="preserve"> and exited through Mr</w:t>
      </w:r>
      <w:r w:rsidR="00426327">
        <w:rPr>
          <w:rFonts w:ascii="Times New Roman" w:hAnsi="Times New Roman" w:cs="Times New Roman"/>
          <w:sz w:val="24"/>
          <w:szCs w:val="24"/>
        </w:rPr>
        <w:t>.</w:t>
      </w:r>
      <w:r w:rsidR="002C09DA" w:rsidRPr="008A6C61">
        <w:rPr>
          <w:rFonts w:ascii="Times New Roman" w:hAnsi="Times New Roman" w:cs="Times New Roman"/>
          <w:sz w:val="24"/>
          <w:szCs w:val="24"/>
        </w:rPr>
        <w:t xml:space="preserve"> </w:t>
      </w:r>
      <w:proofErr w:type="spellStart"/>
      <w:r w:rsidR="002C09DA" w:rsidRPr="008A6C61">
        <w:rPr>
          <w:rFonts w:ascii="Times New Roman" w:hAnsi="Times New Roman" w:cs="Times New Roman"/>
          <w:sz w:val="24"/>
          <w:szCs w:val="24"/>
        </w:rPr>
        <w:t>Shariwa’s</w:t>
      </w:r>
      <w:proofErr w:type="spellEnd"/>
      <w:r w:rsidR="002C09DA" w:rsidRPr="008A6C61">
        <w:rPr>
          <w:rFonts w:ascii="Times New Roman" w:hAnsi="Times New Roman" w:cs="Times New Roman"/>
          <w:sz w:val="24"/>
          <w:szCs w:val="24"/>
        </w:rPr>
        <w:t xml:space="preserve"> </w:t>
      </w:r>
      <w:r w:rsidR="00426327">
        <w:rPr>
          <w:rFonts w:ascii="Times New Roman" w:hAnsi="Times New Roman" w:cs="Times New Roman"/>
          <w:sz w:val="24"/>
          <w:szCs w:val="24"/>
        </w:rPr>
        <w:t>shaft</w:t>
      </w:r>
      <w:r w:rsidR="00507513" w:rsidRPr="00507513">
        <w:rPr>
          <w:rFonts w:ascii="Times New Roman" w:hAnsi="Times New Roman" w:cs="Times New Roman"/>
          <w:sz w:val="24"/>
          <w:szCs w:val="24"/>
        </w:rPr>
        <w:t>.</w:t>
      </w:r>
    </w:p>
    <w:p w14:paraId="2F68822B" w14:textId="77777777" w:rsidR="00F548CA" w:rsidRPr="00507513" w:rsidRDefault="00F548CA" w:rsidP="008A6C61">
      <w:pPr>
        <w:pStyle w:val="NoSpacing"/>
        <w:spacing w:line="360" w:lineRule="auto"/>
        <w:jc w:val="both"/>
        <w:rPr>
          <w:rFonts w:ascii="Times New Roman" w:hAnsi="Times New Roman" w:cs="Times New Roman"/>
          <w:sz w:val="24"/>
          <w:szCs w:val="24"/>
        </w:rPr>
      </w:pPr>
    </w:p>
    <w:p w14:paraId="080091F3" w14:textId="2791865E" w:rsidR="00F548CA" w:rsidRDefault="00F548CA" w:rsidP="00507513">
      <w:pPr>
        <w:spacing w:after="0"/>
        <w:ind w:left="0"/>
      </w:pPr>
      <w:r w:rsidRPr="00F548CA">
        <w:t>[2</w:t>
      </w:r>
      <w:r w:rsidR="00D36BF2">
        <w:t>8</w:t>
      </w:r>
      <w:r w:rsidRPr="00F548CA">
        <w:t>]</w:t>
      </w:r>
      <w:r w:rsidRPr="00F548CA">
        <w:tab/>
      </w:r>
      <w:r w:rsidR="00507513" w:rsidRPr="00507513">
        <w:t xml:space="preserve">We find the accused’s account highly implausible. It is difficult to believe that </w:t>
      </w:r>
      <w:r w:rsidRPr="00F548CA">
        <w:t>persons</w:t>
      </w:r>
      <w:r w:rsidR="00507513" w:rsidRPr="00507513">
        <w:t xml:space="preserve"> armed with </w:t>
      </w:r>
      <w:r w:rsidRPr="00507513">
        <w:t>machetes, axes, shovels, hammers, and chisels</w:t>
      </w:r>
      <w:r w:rsidRPr="00F548CA">
        <w:t xml:space="preserve"> </w:t>
      </w:r>
      <w:r w:rsidR="00507513" w:rsidRPr="00507513">
        <w:t xml:space="preserve">would continue advancing toward a man armed with a gun after he had fired warning shots. The suggestion that they were advancing </w:t>
      </w:r>
      <w:r w:rsidR="00507513" w:rsidRPr="00507513">
        <w:lastRenderedPageBreak/>
        <w:t xml:space="preserve">with weapons raised to strike him is even less credible. When asked why he shot the complainant </w:t>
      </w:r>
      <w:r w:rsidR="008763B6" w:rsidRPr="00F548CA">
        <w:t>in the attempted murder</w:t>
      </w:r>
      <w:r w:rsidRPr="00F548CA">
        <w:t xml:space="preserve"> charge</w:t>
      </w:r>
      <w:r w:rsidR="008763B6" w:rsidRPr="00F548CA">
        <w:t xml:space="preserve"> </w:t>
      </w:r>
      <w:r w:rsidR="00507513" w:rsidRPr="00507513">
        <w:t>twice, the accused claimed that th</w:t>
      </w:r>
      <w:r w:rsidRPr="00F548CA">
        <w:t>is</w:t>
      </w:r>
      <w:r w:rsidR="00507513" w:rsidRPr="00507513">
        <w:t xml:space="preserve"> complainant continued advancing after being shot in one leg, necessitating a second shot. Similarly, he alleged that the deceased continued advancing while wielding an axe</w:t>
      </w:r>
      <w:r w:rsidR="008763B6" w:rsidRPr="00F548CA">
        <w:t xml:space="preserve"> at the time his colleague was being shot</w:t>
      </w:r>
      <w:r w:rsidR="00507513" w:rsidRPr="00507513">
        <w:t>. This account is unconvincing, as it defies logic and human behavio</w:t>
      </w:r>
      <w:r w:rsidR="008763B6" w:rsidRPr="00F548CA">
        <w:t>u</w:t>
      </w:r>
      <w:r w:rsidR="00507513" w:rsidRPr="00507513">
        <w:t>r. No reasonable person would act in the manner described by the accused.</w:t>
      </w:r>
      <w:r w:rsidR="0066198A">
        <w:t xml:space="preserve"> </w:t>
      </w:r>
      <w:r w:rsidR="007B2ABB" w:rsidRPr="007B2ABB">
        <w:t>Human instinct generally prioritizes self-preservation, making it unlikely that the</w:t>
      </w:r>
      <w:r w:rsidR="007B2ABB">
        <w:t xml:space="preserve"> deceased and his colleagues</w:t>
      </w:r>
      <w:r w:rsidR="007B2ABB" w:rsidRPr="007B2ABB">
        <w:t xml:space="preserve"> would willingly risk their lives to attack someone armed with </w:t>
      </w:r>
      <w:r w:rsidR="00717549">
        <w:t>a gun</w:t>
      </w:r>
      <w:r w:rsidR="007B2ABB" w:rsidRPr="007B2ABB">
        <w:t>. This aspect of the accused's account not only defies logic but also paints an unrealistic picture of the behavio</w:t>
      </w:r>
      <w:r w:rsidR="007B2ABB">
        <w:t>ur</w:t>
      </w:r>
      <w:r w:rsidR="007B2ABB" w:rsidRPr="007B2ABB">
        <w:t xml:space="preserve"> of the deceased and his colleagues. If the complainant </w:t>
      </w:r>
      <w:r w:rsidR="007B2ABB">
        <w:t xml:space="preserve">in the attempted murder charge </w:t>
      </w:r>
      <w:r w:rsidR="007B2ABB" w:rsidRPr="007B2ABB">
        <w:t>had already been wounded</w:t>
      </w:r>
      <w:r w:rsidR="007B2ABB">
        <w:t xml:space="preserve"> after the first shot</w:t>
      </w:r>
      <w:r w:rsidR="007B2ABB" w:rsidRPr="007B2ABB">
        <w:t xml:space="preserve">, it is implausible that </w:t>
      </w:r>
      <w:r w:rsidR="007B2ABB">
        <w:t>he</w:t>
      </w:r>
      <w:r w:rsidR="007B2ABB" w:rsidRPr="007B2ABB">
        <w:t xml:space="preserve"> would still attempt to advance aggressively, especially given the fear and pain that would accompany </w:t>
      </w:r>
      <w:r w:rsidR="001C5026">
        <w:t>his</w:t>
      </w:r>
      <w:r w:rsidR="007B2ABB" w:rsidRPr="007B2ABB">
        <w:t xml:space="preserve"> injury. Similarly, the assertion that the deceased continued advancing with an axe while his colleague was being shot seems equally unconvincing. These details portray a sequence of events that lacks consistency with typical human responses in such circumstances. </w:t>
      </w:r>
    </w:p>
    <w:p w14:paraId="7B9EDE8D" w14:textId="77777777" w:rsidR="007B2ABB" w:rsidRPr="00507513" w:rsidRDefault="007B2ABB" w:rsidP="00507513">
      <w:pPr>
        <w:spacing w:after="0"/>
        <w:ind w:left="0"/>
      </w:pPr>
    </w:p>
    <w:p w14:paraId="76A82761" w14:textId="5B0B5CF1" w:rsidR="00916417" w:rsidRPr="00916417" w:rsidRDefault="00F548CA" w:rsidP="00916417">
      <w:pPr>
        <w:spacing w:after="0"/>
        <w:ind w:left="0"/>
      </w:pPr>
      <w:r w:rsidRPr="001E1059">
        <w:t>[2</w:t>
      </w:r>
      <w:r w:rsidR="00D36BF2">
        <w:t>9</w:t>
      </w:r>
      <w:r w:rsidRPr="001E1059">
        <w:t>]</w:t>
      </w:r>
      <w:r>
        <w:rPr>
          <w:i/>
          <w:iCs/>
        </w:rPr>
        <w:tab/>
      </w:r>
      <w:r w:rsidR="00331F5A">
        <w:t>In contrast, t</w:t>
      </w:r>
      <w:r w:rsidR="00507513" w:rsidRPr="00507513">
        <w:t>he deceased’s colleagues provided a coherent account of the incident, stating that they were working on the barricade</w:t>
      </w:r>
      <w:r w:rsidR="0068015B" w:rsidRPr="00331220">
        <w:t xml:space="preserve"> (at the intersection of the accused’s tunnel and their tunnel) </w:t>
      </w:r>
      <w:r w:rsidR="00507513" w:rsidRPr="00507513">
        <w:t>when they heard gunfire and ran toward the exit shaft</w:t>
      </w:r>
      <w:r w:rsidR="0068015B" w:rsidRPr="00331220">
        <w:t xml:space="preserve"> of their mine</w:t>
      </w:r>
      <w:r w:rsidR="00507513" w:rsidRPr="00507513">
        <w:t xml:space="preserve">. </w:t>
      </w:r>
      <w:r w:rsidR="0068015B" w:rsidRPr="00331220">
        <w:t>They said they were all in a state of panic and confus</w:t>
      </w:r>
      <w:r w:rsidR="00F97109" w:rsidRPr="00331220">
        <w:t xml:space="preserve">ion </w:t>
      </w:r>
      <w:r w:rsidR="0068015B" w:rsidRPr="00331220">
        <w:t xml:space="preserve">about what was going on. Instinct told them to </w:t>
      </w:r>
      <w:r w:rsidR="00F97109" w:rsidRPr="00331220">
        <w:t>flee</w:t>
      </w:r>
      <w:r w:rsidR="0068015B" w:rsidRPr="00331220">
        <w:t xml:space="preserve">. </w:t>
      </w:r>
      <w:r w:rsidR="00507513" w:rsidRPr="00507513">
        <w:t>Some managed to climb up</w:t>
      </w:r>
      <w:r w:rsidR="0068015B" w:rsidRPr="00331220">
        <w:t xml:space="preserve"> the shaft</w:t>
      </w:r>
      <w:r w:rsidR="00507513" w:rsidRPr="00507513">
        <w:t xml:space="preserve">, while others were grounded at the exit, pushing and shoving to escape. </w:t>
      </w:r>
      <w:r w:rsidR="00380E92" w:rsidRPr="00331220">
        <w:t>They all g</w:t>
      </w:r>
      <w:r w:rsidR="00331F5A">
        <w:t>a</w:t>
      </w:r>
      <w:r w:rsidR="00380E92" w:rsidRPr="00331220">
        <w:t xml:space="preserve">ve detailed accounts of how the accused </w:t>
      </w:r>
      <w:r w:rsidR="00331F5A">
        <w:t xml:space="preserve">who followed them to the exit shaft, </w:t>
      </w:r>
      <w:r w:rsidR="00380E92" w:rsidRPr="00331220">
        <w:t xml:space="preserve">struck and shot at them while he was standing at the exit. </w:t>
      </w:r>
      <w:r w:rsidR="00916417" w:rsidRPr="00916417">
        <w:t>The summary of their accounts is as follows</w:t>
      </w:r>
      <w:r w:rsidR="00916417">
        <w:t>.</w:t>
      </w:r>
      <w:r w:rsidR="00916417" w:rsidRPr="00916417">
        <w:t xml:space="preserve"> The accused arrived at the exit shaft, fired his gun upward, and struck Lovemore </w:t>
      </w:r>
      <w:proofErr w:type="spellStart"/>
      <w:r w:rsidR="00916417" w:rsidRPr="00916417">
        <w:t>Mapfanya</w:t>
      </w:r>
      <w:proofErr w:type="spellEnd"/>
      <w:r w:rsidR="00916417" w:rsidRPr="00916417">
        <w:t xml:space="preserve">, who was among those pushing and shoving at the exit. He hit Lovemore on the head with a clenched fist, causing him to fall. Once Lovemore was out of the way, the accused grabbed John </w:t>
      </w:r>
      <w:proofErr w:type="spellStart"/>
      <w:r w:rsidR="00916417" w:rsidRPr="00916417">
        <w:t>Muchawaya</w:t>
      </w:r>
      <w:proofErr w:type="spellEnd"/>
      <w:r w:rsidR="00916417" w:rsidRPr="00916417">
        <w:t xml:space="preserve"> </w:t>
      </w:r>
      <w:proofErr w:type="spellStart"/>
      <w:r w:rsidR="00916417" w:rsidRPr="00916417">
        <w:t>Bera’s</w:t>
      </w:r>
      <w:proofErr w:type="spellEnd"/>
      <w:r w:rsidR="00916417" w:rsidRPr="00916417">
        <w:t xml:space="preserve"> leg with one hand as he was climbing up the shaft and shot him twice—once in the thigh of one leg and once below the knee of the other leg. Despite being shot, John did not fall, as his colleagues ahead of him in the shaft held onto his upper body while he screamed for help, pulling him up until they reached the surface. The accused released John’s legs after shooting him.</w:t>
      </w:r>
      <w:r w:rsidR="00916417">
        <w:t xml:space="preserve"> </w:t>
      </w:r>
      <w:r w:rsidR="00916417" w:rsidRPr="00916417">
        <w:t xml:space="preserve">No one witnessed exactly how or when the deceased was shot. Lovemore </w:t>
      </w:r>
      <w:proofErr w:type="spellStart"/>
      <w:r w:rsidR="00916417" w:rsidRPr="00916417">
        <w:t>Mapfanya</w:t>
      </w:r>
      <w:proofErr w:type="spellEnd"/>
      <w:r w:rsidR="00916417" w:rsidRPr="00916417">
        <w:t xml:space="preserve"> was the only one who noticed </w:t>
      </w:r>
      <w:r w:rsidR="00916417" w:rsidRPr="00916417">
        <w:lastRenderedPageBreak/>
        <w:t>that the deceased, who had been ahead of the others in climbing the shaft, had fallen to the ground. Lovemore observed this while trying to get up after being struck on the head by the accused.</w:t>
      </w:r>
    </w:p>
    <w:p w14:paraId="76E4FF6E" w14:textId="2BFB9E6A" w:rsidR="001E1059" w:rsidRDefault="001E1059" w:rsidP="00507513">
      <w:pPr>
        <w:spacing w:after="0"/>
        <w:ind w:left="0"/>
      </w:pPr>
    </w:p>
    <w:p w14:paraId="7F464B2D" w14:textId="69D9FA00" w:rsidR="001E1059" w:rsidRDefault="001E1059" w:rsidP="00507513">
      <w:pPr>
        <w:spacing w:after="0"/>
        <w:ind w:left="0"/>
      </w:pPr>
      <w:r>
        <w:t>[</w:t>
      </w:r>
      <w:r w:rsidR="00D36BF2">
        <w:t>30</w:t>
      </w:r>
      <w:r w:rsidR="00331F5A">
        <w:t>]</w:t>
      </w:r>
      <w:r w:rsidR="00331F5A">
        <w:tab/>
        <w:t xml:space="preserve">The deceased’s colleagues made it clear that they never attempted to attack the accused who caught them unaware. </w:t>
      </w:r>
      <w:r w:rsidR="00331F5A" w:rsidRPr="00331F5A">
        <w:t>They testified that they were working on the barricade when they heard gunfire and fled toward the exit shaft. They described a scene of panic, confusion, and an instinctive attempt to escape, rather than an orchestrated attack on the accused. Their testimon</w:t>
      </w:r>
      <w:r w:rsidR="00106CE5">
        <w:t>ies</w:t>
      </w:r>
      <w:r w:rsidR="00331F5A" w:rsidRPr="00331F5A">
        <w:t xml:space="preserve"> </w:t>
      </w:r>
      <w:r w:rsidR="00717549">
        <w:t xml:space="preserve">which we find believable </w:t>
      </w:r>
      <w:r w:rsidR="00331F5A" w:rsidRPr="00331F5A">
        <w:t>cast doubt on the accused's version of events.</w:t>
      </w:r>
      <w:r w:rsidR="00331F5A">
        <w:t xml:space="preserve"> </w:t>
      </w:r>
      <w:r w:rsidR="00331F5A" w:rsidRPr="00331F5A">
        <w:t>The discrepancies and implausibilities in the accused's account suggest that he fabricated or distorted the circumstances surrounding the attack. Instead of presenting a truthful and credible defen</w:t>
      </w:r>
      <w:r w:rsidR="008777F8">
        <w:t>c</w:t>
      </w:r>
      <w:r w:rsidR="00331F5A" w:rsidRPr="00331F5A">
        <w:t>e, his narrative appears designed to justify his actions, which were disproportionate and unjustifiable under the circumstances. This lack of truthfulness reinforces the conclusion that the accused was not acting in self-defen</w:t>
      </w:r>
      <w:r w:rsidR="008777F8">
        <w:t>c</w:t>
      </w:r>
      <w:r w:rsidR="00331F5A" w:rsidRPr="00331F5A">
        <w:t>e or defen</w:t>
      </w:r>
      <w:r w:rsidR="008777F8">
        <w:t>c</w:t>
      </w:r>
      <w:r w:rsidR="00331F5A" w:rsidRPr="00331F5A">
        <w:t xml:space="preserve">e of property, but rather attacked the deceased and his colleagues unlawfully. </w:t>
      </w:r>
      <w:r w:rsidR="00DC724B">
        <w:t xml:space="preserve">Below are detailed accounts of the testimonies of the deceased’s colleagues. </w:t>
      </w:r>
    </w:p>
    <w:p w14:paraId="4A85110A" w14:textId="77777777" w:rsidR="00EC0E21" w:rsidRDefault="00EC0E21" w:rsidP="00507513">
      <w:pPr>
        <w:spacing w:after="0"/>
        <w:ind w:left="0"/>
      </w:pPr>
    </w:p>
    <w:p w14:paraId="2628E1F2" w14:textId="3180AF7F" w:rsidR="00E2341C" w:rsidRDefault="00EC0E21" w:rsidP="00A12B5A">
      <w:pPr>
        <w:spacing w:after="0"/>
        <w:ind w:left="0"/>
      </w:pPr>
      <w:r>
        <w:t>[3</w:t>
      </w:r>
      <w:r w:rsidR="00CB1B1A">
        <w:t>1</w:t>
      </w:r>
      <w:r>
        <w:t>]</w:t>
      </w:r>
      <w:r w:rsidR="003A0DEC">
        <w:tab/>
      </w:r>
      <w:r w:rsidR="00A12B5A" w:rsidRPr="00A12B5A">
        <w:t xml:space="preserve">John </w:t>
      </w:r>
      <w:proofErr w:type="spellStart"/>
      <w:r w:rsidR="00A12B5A" w:rsidRPr="00A12B5A">
        <w:t>Muchawaya</w:t>
      </w:r>
      <w:proofErr w:type="spellEnd"/>
      <w:r w:rsidR="00A12B5A" w:rsidRPr="00A12B5A">
        <w:t xml:space="preserve"> </w:t>
      </w:r>
      <w:proofErr w:type="spellStart"/>
      <w:r w:rsidR="00A12B5A" w:rsidRPr="00A12B5A">
        <w:t>Bera</w:t>
      </w:r>
      <w:proofErr w:type="spellEnd"/>
      <w:r w:rsidR="00A12B5A" w:rsidRPr="00A12B5A">
        <w:t xml:space="preserve"> testified that he had been employed by Mr. </w:t>
      </w:r>
      <w:proofErr w:type="spellStart"/>
      <w:r w:rsidR="00A12B5A" w:rsidRPr="00A12B5A">
        <w:t>Shariwa</w:t>
      </w:r>
      <w:proofErr w:type="spellEnd"/>
      <w:r w:rsidR="00A12B5A" w:rsidRPr="00A12B5A">
        <w:t xml:space="preserve"> at </w:t>
      </w:r>
      <w:proofErr w:type="spellStart"/>
      <w:r w:rsidR="00A12B5A" w:rsidRPr="00A12B5A">
        <w:t>Blackhand</w:t>
      </w:r>
      <w:proofErr w:type="spellEnd"/>
      <w:r w:rsidR="00A12B5A" w:rsidRPr="00A12B5A">
        <w:t xml:space="preserve"> 10 Mine for only 16 days, starting on 10 May 2024. On the fateful day, 26 May 2024, at around 3 p.m., he and his colleagues—</w:t>
      </w:r>
      <w:proofErr w:type="spellStart"/>
      <w:r w:rsidR="00A12B5A" w:rsidRPr="00A12B5A">
        <w:t>Goni</w:t>
      </w:r>
      <w:proofErr w:type="spellEnd"/>
      <w:r w:rsidR="00A12B5A" w:rsidRPr="00A12B5A">
        <w:t xml:space="preserve"> </w:t>
      </w:r>
      <w:proofErr w:type="spellStart"/>
      <w:r w:rsidR="00A12B5A" w:rsidRPr="00A12B5A">
        <w:t>Goni</w:t>
      </w:r>
      <w:proofErr w:type="spellEnd"/>
      <w:r w:rsidR="00A12B5A" w:rsidRPr="00A12B5A">
        <w:t xml:space="preserve">, Lovemore </w:t>
      </w:r>
      <w:proofErr w:type="spellStart"/>
      <w:r w:rsidR="00A12B5A" w:rsidRPr="00A12B5A">
        <w:t>Mapfanya</w:t>
      </w:r>
      <w:proofErr w:type="spellEnd"/>
      <w:r w:rsidR="00A12B5A" w:rsidRPr="00A12B5A">
        <w:t xml:space="preserve">, </w:t>
      </w:r>
      <w:proofErr w:type="spellStart"/>
      <w:r w:rsidR="00A12B5A" w:rsidRPr="00A12B5A">
        <w:t>Komborerai</w:t>
      </w:r>
      <w:proofErr w:type="spellEnd"/>
      <w:r w:rsidR="00A12B5A" w:rsidRPr="00A12B5A">
        <w:t xml:space="preserve"> </w:t>
      </w:r>
      <w:proofErr w:type="spellStart"/>
      <w:r w:rsidR="00A12B5A" w:rsidRPr="00A12B5A">
        <w:t>Shariwa</w:t>
      </w:r>
      <w:proofErr w:type="spellEnd"/>
      <w:r w:rsidR="00A12B5A" w:rsidRPr="00A12B5A">
        <w:t xml:space="preserve">, and </w:t>
      </w:r>
      <w:proofErr w:type="spellStart"/>
      <w:r w:rsidR="00A12B5A" w:rsidRPr="00A12B5A">
        <w:t>Gonai</w:t>
      </w:r>
      <w:proofErr w:type="spellEnd"/>
      <w:r w:rsidR="00A12B5A" w:rsidRPr="00A12B5A">
        <w:t xml:space="preserve"> </w:t>
      </w:r>
      <w:proofErr w:type="spellStart"/>
      <w:r w:rsidR="00A12B5A" w:rsidRPr="00A12B5A">
        <w:t>Masundure</w:t>
      </w:r>
      <w:proofErr w:type="spellEnd"/>
      <w:r w:rsidR="002E401B">
        <w:t xml:space="preserve"> </w:t>
      </w:r>
      <w:r w:rsidR="00A12B5A" w:rsidRPr="00A12B5A">
        <w:t>went down the mine to construct a barricade at the intersection of their mine and the accused’s mine. They carried tools</w:t>
      </w:r>
      <w:r w:rsidR="00A12B5A">
        <w:t xml:space="preserve">: </w:t>
      </w:r>
      <w:r w:rsidR="00A12B5A" w:rsidRPr="00A12B5A">
        <w:t>a shovel, chisel, hammer, and axe.</w:t>
      </w:r>
      <w:r w:rsidR="00A12B5A">
        <w:t xml:space="preserve"> </w:t>
      </w:r>
      <w:r w:rsidR="00A12B5A" w:rsidRPr="00A12B5A">
        <w:t>While working on the barricade, John noticed the light of a torch approaching from the direction of the accused’s mine through the tunnel they were closing. Shortly afterward, he heard gunfire aimed at the barricade. In a panic, everyone began running toward the exit shaft of their tunnel. John managed to climb up the shaft, but as he was ascending, the accused, who was below him, grabbed his right leg from behind with his left hand and shot him in the legs.</w:t>
      </w:r>
      <w:r w:rsidR="00A12B5A">
        <w:t xml:space="preserve"> </w:t>
      </w:r>
      <w:r w:rsidR="00A12B5A" w:rsidRPr="00A12B5A">
        <w:t xml:space="preserve">John was shot below the knee on the shin of his right leg, where the bullet grazed him, leaving a large wound but not entering the leg. No bullet was found inside. He was also shot in the backside of his left leg, just below the knee, where the bullet lodged and was later surgically removed at the hospital. Throughout the ordeal, John said the accused never uttered a word to them. He only identified the accused when he was being shot, as he had not </w:t>
      </w:r>
      <w:r w:rsidR="002E401B">
        <w:t>identified him</w:t>
      </w:r>
      <w:r w:rsidR="00A12B5A" w:rsidRPr="00A12B5A">
        <w:t xml:space="preserve"> prior to that moment.</w:t>
      </w:r>
      <w:r w:rsidR="00A12B5A">
        <w:t xml:space="preserve"> All he had seen prior was the torch light and </w:t>
      </w:r>
      <w:r w:rsidR="00A12B5A">
        <w:lastRenderedPageBreak/>
        <w:t xml:space="preserve">then </w:t>
      </w:r>
      <w:r w:rsidR="00143181">
        <w:t xml:space="preserve">soon after, heard </w:t>
      </w:r>
      <w:r w:rsidR="00A12B5A">
        <w:t xml:space="preserve">the gunfire. </w:t>
      </w:r>
      <w:r w:rsidR="00A12B5A" w:rsidRPr="00A12B5A">
        <w:t>John stated that he had no recollection of the deceased’s location at the time he was shot and did not know how or when the deceased was shot. He only learn</w:t>
      </w:r>
      <w:r w:rsidR="00143181">
        <w:t xml:space="preserve">t </w:t>
      </w:r>
      <w:r w:rsidR="00A12B5A" w:rsidRPr="00A12B5A">
        <w:t>of the deceased’s death after being taken out of the mine.</w:t>
      </w:r>
      <w:r w:rsidR="00A12B5A">
        <w:t xml:space="preserve"> </w:t>
      </w:r>
      <w:r w:rsidR="00A12B5A" w:rsidRPr="00A12B5A">
        <w:t xml:space="preserve">John recalled that Lovemore </w:t>
      </w:r>
      <w:proofErr w:type="spellStart"/>
      <w:r w:rsidR="00A12B5A" w:rsidRPr="00A12B5A">
        <w:t>Mapfanya</w:t>
      </w:r>
      <w:proofErr w:type="spellEnd"/>
      <w:r w:rsidR="00A12B5A" w:rsidRPr="00A12B5A">
        <w:t>, the assault complainant, was below him in the shaft. When the accused grabbed and began shooting him, John cried out to his colleagues ahead of him, who helped pull him up by his upper body until they reached the surface. He remained hospitalized until 7 Ju</w:t>
      </w:r>
      <w:r w:rsidR="00143181">
        <w:t>ne</w:t>
      </w:r>
      <w:r w:rsidR="00A12B5A" w:rsidRPr="00A12B5A">
        <w:t xml:space="preserve"> 2024</w:t>
      </w:r>
      <w:r w:rsidR="00143181">
        <w:t xml:space="preserve">. </w:t>
      </w:r>
      <w:r w:rsidR="00A12B5A" w:rsidRPr="00A12B5A">
        <w:t>John described the pain he experienced as indescribable.</w:t>
      </w:r>
      <w:r w:rsidR="00A12B5A">
        <w:t xml:space="preserve"> </w:t>
      </w:r>
      <w:r w:rsidR="00A12B5A" w:rsidRPr="00A12B5A">
        <w:t>When he appeared in court on 11 September 2024, he was walking with the aid of crutches, and his right leg was still in plaster. He stated that he continued to feel pain but could no longer afford medication. John denied allegations that he and his colleagues were illegal miners stealing from the accused and asserted that they had not attempted to attack him. He explained that they were constructing a barricade using timber and sacks. The timber was stacked from the ground upward and nailed to the tunnel ends to prevent it from falling. Sacks filled with waste soil were placed against the timber to create a barricade, ensuring workers from either side could not cross into the other tunnel.</w:t>
      </w:r>
    </w:p>
    <w:p w14:paraId="42E88692" w14:textId="77777777" w:rsidR="00143181" w:rsidRDefault="00143181" w:rsidP="00A12B5A">
      <w:pPr>
        <w:spacing w:after="0"/>
        <w:ind w:left="0"/>
      </w:pPr>
    </w:p>
    <w:p w14:paraId="28E3BF60" w14:textId="3F965B4F" w:rsidR="0044469F" w:rsidRDefault="00E2341C" w:rsidP="0044469F">
      <w:pPr>
        <w:spacing w:after="0"/>
        <w:ind w:left="0"/>
      </w:pPr>
      <w:r>
        <w:t>[3</w:t>
      </w:r>
      <w:r w:rsidR="00CB1B1A">
        <w:t>2</w:t>
      </w:r>
      <w:r>
        <w:t>]</w:t>
      </w:r>
      <w:r>
        <w:tab/>
      </w:r>
      <w:r w:rsidR="0044469F" w:rsidRPr="0044469F">
        <w:t xml:space="preserve">Lovemore </w:t>
      </w:r>
      <w:proofErr w:type="spellStart"/>
      <w:r w:rsidR="0044469F" w:rsidRPr="0044469F">
        <w:t>Mapfanya’s</w:t>
      </w:r>
      <w:proofErr w:type="spellEnd"/>
      <w:r w:rsidR="0044469F" w:rsidRPr="0044469F">
        <w:t xml:space="preserve"> testimony closely mirrored that of John </w:t>
      </w:r>
      <w:proofErr w:type="spellStart"/>
      <w:r w:rsidR="0044469F" w:rsidRPr="0044469F">
        <w:t>Muchawaya</w:t>
      </w:r>
      <w:proofErr w:type="spellEnd"/>
      <w:r w:rsidR="0044469F" w:rsidRPr="0044469F">
        <w:t xml:space="preserve"> </w:t>
      </w:r>
      <w:proofErr w:type="spellStart"/>
      <w:r w:rsidR="0044469F" w:rsidRPr="0044469F">
        <w:t>Bera</w:t>
      </w:r>
      <w:proofErr w:type="spellEnd"/>
      <w:r w:rsidR="0044469F" w:rsidRPr="0044469F">
        <w:t xml:space="preserve"> in all material respects. Lovemore, a 20-year-old, stated that he was employed at Mr. </w:t>
      </w:r>
      <w:proofErr w:type="spellStart"/>
      <w:r w:rsidR="0044469F" w:rsidRPr="0044469F">
        <w:t>Shariwa’s</w:t>
      </w:r>
      <w:proofErr w:type="spellEnd"/>
      <w:r w:rsidR="0044469F" w:rsidRPr="0044469F">
        <w:t xml:space="preserve"> mine, and that Mr. </w:t>
      </w:r>
      <w:proofErr w:type="spellStart"/>
      <w:r w:rsidR="0044469F" w:rsidRPr="0044469F">
        <w:t>Shariwa</w:t>
      </w:r>
      <w:proofErr w:type="spellEnd"/>
      <w:r w:rsidR="0044469F" w:rsidRPr="0044469F">
        <w:t xml:space="preserve"> was his uncle, his mother’s brother. He explained that while they were working on the barricade, he did not see the accused approach, as he was positioned at the back of the barricade. Instead, he heard the sound of gunfire from approximately two meters away, with the shot striking the barricade. This caused panic among the group, and they all ran toward the exit shaft, which was about three meters from the barricade. At the exit, chaos ensued as they pushed and shoved each other in an attempt to climb up the shaft. While some managed to ascend, Lovemore was unable to do so.</w:t>
      </w:r>
      <w:r w:rsidR="0044469F">
        <w:t xml:space="preserve"> </w:t>
      </w:r>
      <w:r w:rsidR="0044469F" w:rsidRPr="0044469F">
        <w:t xml:space="preserve">The accused then approached the exit and began firing shots up the shaft. He struck Lovemore on the side of the head with a clenched fist, causing him to fall. As Lovemore tried to rise, he realized he had stepped on someone, who turned out to be the deceased. Lovemore did not witness when or how the deceased was shot but recalled that the deceased had been the first to climb up the shaft. Upon rising, Lovemore saw the accused holding John </w:t>
      </w:r>
      <w:proofErr w:type="spellStart"/>
      <w:r w:rsidR="0044469F" w:rsidRPr="0044469F">
        <w:t>Muchawaya</w:t>
      </w:r>
      <w:proofErr w:type="spellEnd"/>
      <w:r w:rsidR="0044469F" w:rsidRPr="0044469F">
        <w:t xml:space="preserve"> </w:t>
      </w:r>
      <w:proofErr w:type="spellStart"/>
      <w:r w:rsidR="0044469F" w:rsidRPr="0044469F">
        <w:t>Bera’s</w:t>
      </w:r>
      <w:proofErr w:type="spellEnd"/>
      <w:r w:rsidR="0044469F" w:rsidRPr="0044469F">
        <w:t xml:space="preserve"> leg with one hand and shooting him with the other. Lovemore began crying and raised his hands in surrender</w:t>
      </w:r>
      <w:r w:rsidR="0044469F">
        <w:t xml:space="preserve">. The accused </w:t>
      </w:r>
      <w:r w:rsidR="0044469F" w:rsidRPr="0044469F">
        <w:t>stop</w:t>
      </w:r>
      <w:r w:rsidR="0044469F">
        <w:t>ped</w:t>
      </w:r>
      <w:r w:rsidR="0044469F" w:rsidRPr="0044469F">
        <w:t xml:space="preserve"> shooting John</w:t>
      </w:r>
      <w:r w:rsidR="0044469F">
        <w:t xml:space="preserve"> on his own</w:t>
      </w:r>
      <w:r w:rsidR="0044469F" w:rsidRPr="0044469F">
        <w:t xml:space="preserve">. Those ahead of </w:t>
      </w:r>
      <w:r w:rsidR="0044469F" w:rsidRPr="0044469F">
        <w:lastRenderedPageBreak/>
        <w:t>John pulled him up until they reached the surface, and Lovemore eventually managed to climb up the shaft as well. He assisted in lifting John, who was unable to walk.</w:t>
      </w:r>
      <w:r w:rsidR="0044469F">
        <w:t xml:space="preserve"> </w:t>
      </w:r>
      <w:r w:rsidR="0044469F" w:rsidRPr="0044469F">
        <w:t xml:space="preserve">Once out of the mine, Lovemore walked toward the accused’s mine and, at a distance of 15 to 20 meters, saw the accused emerging with a bucket. The deceased’s body was inside the bucket, positioned with the legs up and head down. The accused </w:t>
      </w:r>
      <w:r w:rsidR="00143181">
        <w:t xml:space="preserve">who was in the company of his employees </w:t>
      </w:r>
      <w:r w:rsidR="0044469F" w:rsidRPr="0044469F">
        <w:t xml:space="preserve">removed the deceased from the bucket and threw him onto the ground near the gate of Mr. </w:t>
      </w:r>
      <w:proofErr w:type="spellStart"/>
      <w:r w:rsidR="0044469F" w:rsidRPr="0044469F">
        <w:t>Shariwa’s</w:t>
      </w:r>
      <w:proofErr w:type="spellEnd"/>
      <w:r w:rsidR="0044469F" w:rsidRPr="0044469F">
        <w:t xml:space="preserve"> mine. Lovemore approached and observed that the deceased was lifeless. He retrieved a blanket from their mine and covered the deceased’s body, noting that the deceased’s leg had been bandaged with a blue cloth.</w:t>
      </w:r>
      <w:r w:rsidR="00F205F9">
        <w:t xml:space="preserve"> </w:t>
      </w:r>
      <w:r w:rsidR="0044469F" w:rsidRPr="0044469F">
        <w:t>Lovemore stated that when the accused shot at them, none of them had attempted to attack him. He denied allegations that they were armed with machetes or intended to harm the accused. He also had no recollection of how many shots the accused fired. Lovemore concluded that when the accused struck him on the head, it was likely to move him aside to create space for shooting up the shaft at those who had climbed. He firmly disputed claims that they were illegal gold miners.</w:t>
      </w:r>
    </w:p>
    <w:p w14:paraId="4C08EFAC" w14:textId="77777777" w:rsidR="00D76E8F" w:rsidRDefault="00D76E8F" w:rsidP="0044469F">
      <w:pPr>
        <w:spacing w:after="0"/>
        <w:ind w:left="0"/>
      </w:pPr>
    </w:p>
    <w:p w14:paraId="2B97B33C" w14:textId="1F1001F5" w:rsidR="0043221C" w:rsidRDefault="00D76E8F" w:rsidP="00507513">
      <w:pPr>
        <w:spacing w:after="0"/>
        <w:ind w:left="0"/>
      </w:pPr>
      <w:r>
        <w:t>[3</w:t>
      </w:r>
      <w:r w:rsidR="00CB1B1A">
        <w:t>3</w:t>
      </w:r>
      <w:r>
        <w:t>]</w:t>
      </w:r>
      <w:r>
        <w:tab/>
      </w:r>
      <w:proofErr w:type="spellStart"/>
      <w:r w:rsidR="00913EB6" w:rsidRPr="00913EB6">
        <w:t>Komborerai</w:t>
      </w:r>
      <w:proofErr w:type="spellEnd"/>
      <w:r w:rsidR="00913EB6" w:rsidRPr="00913EB6">
        <w:t xml:space="preserve"> </w:t>
      </w:r>
      <w:proofErr w:type="spellStart"/>
      <w:r w:rsidR="00913EB6" w:rsidRPr="00913EB6">
        <w:t>Shariwa’s</w:t>
      </w:r>
      <w:proofErr w:type="spellEnd"/>
      <w:r w:rsidR="00913EB6" w:rsidRPr="00913EB6">
        <w:t xml:space="preserve"> testimony was consistent with that of Lovemore </w:t>
      </w:r>
      <w:proofErr w:type="spellStart"/>
      <w:r w:rsidR="00913EB6" w:rsidRPr="00913EB6">
        <w:t>Mapfanya</w:t>
      </w:r>
      <w:proofErr w:type="spellEnd"/>
      <w:r w:rsidR="00913EB6" w:rsidRPr="00913EB6">
        <w:t xml:space="preserve"> in all material respects. Like Lovemore, he did not see the accused approach; instead, he was alerted by the sound of gunfire. Chaos ensued as everyone fled in disarray, fearing for their lives. Upon reaching the exit shaft, </w:t>
      </w:r>
      <w:proofErr w:type="spellStart"/>
      <w:r w:rsidR="00913EB6" w:rsidRPr="00913EB6">
        <w:t>Komborerai</w:t>
      </w:r>
      <w:proofErr w:type="spellEnd"/>
      <w:r w:rsidR="00913EB6" w:rsidRPr="00913EB6">
        <w:t xml:space="preserve"> managed to climb up, continuing to hear the sounds of gunfire as he ascended, though he never saw the accused. He then heard John </w:t>
      </w:r>
      <w:proofErr w:type="spellStart"/>
      <w:r w:rsidR="00913EB6" w:rsidRPr="00913EB6">
        <w:t>Muchawaya</w:t>
      </w:r>
      <w:proofErr w:type="spellEnd"/>
      <w:r w:rsidR="00913EB6" w:rsidRPr="00913EB6">
        <w:t xml:space="preserve"> </w:t>
      </w:r>
      <w:proofErr w:type="spellStart"/>
      <w:r w:rsidR="00913EB6" w:rsidRPr="00913EB6">
        <w:t>Bera</w:t>
      </w:r>
      <w:proofErr w:type="spellEnd"/>
      <w:r w:rsidR="00913EB6" w:rsidRPr="00913EB6">
        <w:t xml:space="preserve">, who was below him, crying for help. </w:t>
      </w:r>
      <w:proofErr w:type="spellStart"/>
      <w:r w:rsidR="00913EB6" w:rsidRPr="00913EB6">
        <w:t>Komborerai</w:t>
      </w:r>
      <w:proofErr w:type="spellEnd"/>
      <w:r w:rsidR="00913EB6" w:rsidRPr="00913EB6">
        <w:t xml:space="preserve"> reached down to assist and successfully helped pull John out of the shaft.</w:t>
      </w:r>
      <w:r w:rsidR="00913EB6">
        <w:t xml:space="preserve"> </w:t>
      </w:r>
      <w:proofErr w:type="spellStart"/>
      <w:r w:rsidR="00913EB6" w:rsidRPr="00913EB6">
        <w:t>Komborerai</w:t>
      </w:r>
      <w:proofErr w:type="spellEnd"/>
      <w:r w:rsidR="00913EB6" w:rsidRPr="00913EB6">
        <w:t xml:space="preserve"> firmly denied that they were illegal gold miners, stating that they were employees of Blackhand </w:t>
      </w:r>
      <w:r w:rsidR="00143181">
        <w:t xml:space="preserve">10 </w:t>
      </w:r>
      <w:r w:rsidR="00913EB6" w:rsidRPr="00913EB6">
        <w:t xml:space="preserve">Mine. He identified Cornelius </w:t>
      </w:r>
      <w:proofErr w:type="spellStart"/>
      <w:r w:rsidR="00913EB6" w:rsidRPr="00913EB6">
        <w:t>Shariwa</w:t>
      </w:r>
      <w:proofErr w:type="spellEnd"/>
      <w:r w:rsidR="00913EB6" w:rsidRPr="00913EB6">
        <w:t>, the mine owner, as his father. He also confirmed that he had known the accused as the owner of the neighbo</w:t>
      </w:r>
      <w:r w:rsidR="00143181">
        <w:t>u</w:t>
      </w:r>
      <w:r w:rsidR="00913EB6" w:rsidRPr="00913EB6">
        <w:t xml:space="preserve">ring mine since 2018 or 2019, when </w:t>
      </w:r>
      <w:r w:rsidR="00143181">
        <w:t>t</w:t>
      </w:r>
      <w:r w:rsidR="00913EB6" w:rsidRPr="00913EB6">
        <w:t>he</w:t>
      </w:r>
      <w:r w:rsidR="00143181">
        <w:t xml:space="preserve"> accused</w:t>
      </w:r>
      <w:r w:rsidR="00913EB6" w:rsidRPr="00913EB6">
        <w:t xml:space="preserve"> began working </w:t>
      </w:r>
      <w:r w:rsidR="00143181">
        <w:t>at his mine</w:t>
      </w:r>
      <w:r w:rsidR="00913EB6" w:rsidRPr="00913EB6">
        <w:t>.</w:t>
      </w:r>
      <w:r w:rsidR="00913EB6">
        <w:t xml:space="preserve"> </w:t>
      </w:r>
      <w:r w:rsidR="00913EB6" w:rsidRPr="00913EB6">
        <w:t xml:space="preserve">Similarly, </w:t>
      </w:r>
      <w:proofErr w:type="spellStart"/>
      <w:r w:rsidR="00913EB6" w:rsidRPr="00913EB6">
        <w:t>Gonai</w:t>
      </w:r>
      <w:proofErr w:type="spellEnd"/>
      <w:r w:rsidR="00913EB6" w:rsidRPr="00913EB6">
        <w:t xml:space="preserve"> </w:t>
      </w:r>
      <w:proofErr w:type="spellStart"/>
      <w:r w:rsidR="00913EB6" w:rsidRPr="00913EB6">
        <w:t>Masundire’s</w:t>
      </w:r>
      <w:proofErr w:type="spellEnd"/>
      <w:r w:rsidR="00913EB6" w:rsidRPr="00913EB6">
        <w:t xml:space="preserve"> testimony aligned with the accounts of the others in all significant aspects. While it is unnecessary to repeat the details, </w:t>
      </w:r>
      <w:proofErr w:type="spellStart"/>
      <w:r w:rsidR="00913EB6" w:rsidRPr="00913EB6">
        <w:t>Gonai</w:t>
      </w:r>
      <w:proofErr w:type="spellEnd"/>
      <w:r w:rsidR="00913EB6" w:rsidRPr="00913EB6">
        <w:t xml:space="preserve"> </w:t>
      </w:r>
      <w:r w:rsidR="00AD4542">
        <w:t>sai</w:t>
      </w:r>
      <w:r w:rsidR="00913EB6" w:rsidRPr="00913EB6">
        <w:t>d that he had known the accused as the owner of the neighbo</w:t>
      </w:r>
      <w:r w:rsidR="00AD4542">
        <w:t>u</w:t>
      </w:r>
      <w:r w:rsidR="00913EB6" w:rsidRPr="00913EB6">
        <w:t>ring mine for approximately five years.</w:t>
      </w:r>
    </w:p>
    <w:p w14:paraId="1FE106F2" w14:textId="77777777" w:rsidR="00913EB6" w:rsidRDefault="00913EB6" w:rsidP="00507513">
      <w:pPr>
        <w:spacing w:after="0"/>
        <w:ind w:left="0"/>
      </w:pPr>
    </w:p>
    <w:p w14:paraId="7321C8D6" w14:textId="49DF5485" w:rsidR="0043221C" w:rsidRDefault="0043221C" w:rsidP="00507513">
      <w:pPr>
        <w:spacing w:after="0"/>
        <w:ind w:left="0"/>
      </w:pPr>
      <w:r>
        <w:t>[</w:t>
      </w:r>
      <w:r w:rsidR="00D36BF2">
        <w:t>3</w:t>
      </w:r>
      <w:r w:rsidR="00CB1B1A">
        <w:t>4</w:t>
      </w:r>
      <w:r>
        <w:t>]</w:t>
      </w:r>
      <w:r>
        <w:tab/>
      </w:r>
      <w:r w:rsidRPr="0043221C">
        <w:t xml:space="preserve">The accused’s use of a firearm against fleeing </w:t>
      </w:r>
      <w:r>
        <w:t>people</w:t>
      </w:r>
      <w:r w:rsidRPr="0043221C">
        <w:t xml:space="preserve"> was not necessary, as there was no imminent attack requiring such extreme measures. </w:t>
      </w:r>
      <w:r w:rsidR="00DC3843">
        <w:t xml:space="preserve">Even if the accused had wrongly suspected that </w:t>
      </w:r>
      <w:r w:rsidR="00DC3843">
        <w:lastRenderedPageBreak/>
        <w:t xml:space="preserve">the deceased and his colleagues were intruders, </w:t>
      </w:r>
      <w:r w:rsidRPr="0043221C">
        <w:t>he could have removed himself from the situation or sought assistance, rather than resorting to lethal force</w:t>
      </w:r>
      <w:r w:rsidR="00DC3843">
        <w:t xml:space="preserve"> since these people were now running away from him</w:t>
      </w:r>
      <w:r w:rsidRPr="0043221C">
        <w:t>.</w:t>
      </w:r>
      <w:r w:rsidR="0051711B" w:rsidRPr="0051711B">
        <w:t xml:space="preserve"> Section 253(2)</w:t>
      </w:r>
      <w:r w:rsidR="00E11DC0">
        <w:t xml:space="preserve"> of the Criminal Law Code</w:t>
      </w:r>
      <w:r w:rsidR="0051711B" w:rsidRPr="0051711B">
        <w:t xml:space="preserve"> emphasizes the importance of considering the circumstances in which the accused acted, including stress, fear, or capabilities. </w:t>
      </w:r>
      <w:r w:rsidR="00E11DC0">
        <w:t xml:space="preserve">In </w:t>
      </w:r>
      <w:r w:rsidR="00E11DC0" w:rsidRPr="00E11DC0">
        <w:rPr>
          <w:i/>
          <w:iCs/>
        </w:rPr>
        <w:t>casu</w:t>
      </w:r>
      <w:r w:rsidR="0051711B" w:rsidRPr="0051711B">
        <w:t xml:space="preserve"> the accused’s narrative is riddled with inconsistencies and implausibilities, such as contradictory statements about who saw the intruders and the behavio</w:t>
      </w:r>
      <w:r w:rsidR="0051711B">
        <w:t>u</w:t>
      </w:r>
      <w:r w:rsidR="0051711B" w:rsidRPr="0051711B">
        <w:t>r of the deceased and his colleagues. These issues undermine the credibility of his claim of self-defen</w:t>
      </w:r>
      <w:r w:rsidR="0051711B">
        <w:t>c</w:t>
      </w:r>
      <w:r w:rsidR="0051711B" w:rsidRPr="0051711B">
        <w:t>e.</w:t>
      </w:r>
      <w:r w:rsidR="0051711B">
        <w:t xml:space="preserve"> In any case the accused could not have been afraid </w:t>
      </w:r>
      <w:r w:rsidR="00DC3843">
        <w:t xml:space="preserve">of the suspected intruders </w:t>
      </w:r>
      <w:r w:rsidR="0051711B">
        <w:t xml:space="preserve">because he said that he decided to go </w:t>
      </w:r>
      <w:r w:rsidR="00E11DC0">
        <w:t xml:space="preserve">down the mine </w:t>
      </w:r>
      <w:r w:rsidR="0051711B">
        <w:t xml:space="preserve">and confront </w:t>
      </w:r>
      <w:r w:rsidR="00CC4EA8">
        <w:t>the</w:t>
      </w:r>
      <w:r w:rsidR="00DC3843">
        <w:t>se</w:t>
      </w:r>
      <w:r w:rsidR="00CC4EA8">
        <w:t xml:space="preserve"> </w:t>
      </w:r>
      <w:r w:rsidR="0051711B">
        <w:t xml:space="preserve">people </w:t>
      </w:r>
      <w:r w:rsidR="00DC3843">
        <w:t>after he had</w:t>
      </w:r>
      <w:r w:rsidR="0051711B">
        <w:t xml:space="preserve"> been informed </w:t>
      </w:r>
      <w:r w:rsidR="00DC3843">
        <w:t xml:space="preserve">that they </w:t>
      </w:r>
      <w:r w:rsidR="0051711B">
        <w:t>were armed.</w:t>
      </w:r>
      <w:r w:rsidR="0051711B" w:rsidRPr="0051711B">
        <w:t xml:space="preserve"> </w:t>
      </w:r>
      <w:r w:rsidR="00DC3843">
        <w:t>If this story is to be believed, c</w:t>
      </w:r>
      <w:r w:rsidR="00E11DC0">
        <w:t xml:space="preserve">learly, he went down prepared to fight. </w:t>
      </w:r>
      <w:r w:rsidR="0051711B">
        <w:t>T</w:t>
      </w:r>
      <w:r w:rsidR="0051711B" w:rsidRPr="0051711B">
        <w:t>he accused’s defen</w:t>
      </w:r>
      <w:r w:rsidR="0051711B">
        <w:t>c</w:t>
      </w:r>
      <w:r w:rsidR="0051711B" w:rsidRPr="0051711B">
        <w:t xml:space="preserve">e </w:t>
      </w:r>
      <w:r w:rsidR="00E11DC0">
        <w:t xml:space="preserve">therefore </w:t>
      </w:r>
      <w:r w:rsidR="0051711B" w:rsidRPr="0051711B">
        <w:t>fails to satisfy the statutory requirements of self-defen</w:t>
      </w:r>
      <w:r w:rsidR="0051711B">
        <w:t>c</w:t>
      </w:r>
      <w:r w:rsidR="0051711B" w:rsidRPr="0051711B">
        <w:t>e as outlined in Section 253</w:t>
      </w:r>
      <w:r w:rsidR="00C93773">
        <w:t xml:space="preserve"> of the Criminal Law Code</w:t>
      </w:r>
      <w:r w:rsidR="0051711B" w:rsidRPr="0051711B">
        <w:t>. His actions were neither necessary nor reasonable, and the harm caused was disproportionate to the alleged threat. This lack of justification for his conduct renders his self-defen</w:t>
      </w:r>
      <w:r w:rsidR="0051711B">
        <w:t>c</w:t>
      </w:r>
      <w:r w:rsidR="0051711B" w:rsidRPr="0051711B">
        <w:t>e claim unsustainable.</w:t>
      </w:r>
      <w:r w:rsidR="0051711B">
        <w:t xml:space="preserve"> </w:t>
      </w:r>
    </w:p>
    <w:p w14:paraId="2AC2954B" w14:textId="77777777" w:rsidR="00E21FC4" w:rsidRDefault="00E21FC4" w:rsidP="00507513">
      <w:pPr>
        <w:spacing w:after="0"/>
        <w:ind w:left="0"/>
      </w:pPr>
    </w:p>
    <w:p w14:paraId="28BC3EB3" w14:textId="63920EF9" w:rsidR="00E21FC4" w:rsidRPr="00E21FC4" w:rsidRDefault="00E21FC4" w:rsidP="00E21FC4">
      <w:pPr>
        <w:spacing w:after="0"/>
        <w:ind w:left="0"/>
      </w:pPr>
      <w:r>
        <w:t>[3</w:t>
      </w:r>
      <w:r w:rsidR="00CB1B1A">
        <w:t>5</w:t>
      </w:r>
      <w:r>
        <w:t>]</w:t>
      </w:r>
      <w:r>
        <w:rPr>
          <w:rFonts w:eastAsia="Times New Roman" w:cs="Times New Roman"/>
          <w:kern w:val="0"/>
          <w:szCs w:val="24"/>
          <w:lang w:eastAsia="en-ZW"/>
          <w14:ligatures w14:val="none"/>
        </w:rPr>
        <w:tab/>
      </w:r>
      <w:r w:rsidRPr="00E21FC4">
        <w:t>The defen</w:t>
      </w:r>
      <w:r>
        <w:t>c</w:t>
      </w:r>
      <w:r w:rsidRPr="00E21FC4">
        <w:t xml:space="preserve">e of property does not suffice under Section 257 of the Criminal Law Codification and Reform Act, against the charges of attempted murder and assault as </w:t>
      </w:r>
      <w:r>
        <w:t>the</w:t>
      </w:r>
      <w:r w:rsidRPr="00E21FC4">
        <w:t xml:space="preserve"> requirements of the provision are not met</w:t>
      </w:r>
      <w:r>
        <w:t>. T</w:t>
      </w:r>
      <w:r w:rsidRPr="00E21FC4">
        <w:t>he accused claimed the deceased and his colleagues were stealing gold ore. However, the evidence shows they were fleeing at the time of the incident, rather than actively engaging in an unlawful attack on the accused’s property. This lack of an imminent threat undermines the validity of the defen</w:t>
      </w:r>
      <w:r>
        <w:t>c</w:t>
      </w:r>
      <w:r w:rsidRPr="00E21FC4">
        <w:t>e.</w:t>
      </w:r>
      <w:r>
        <w:t xml:space="preserve"> L</w:t>
      </w:r>
      <w:r w:rsidRPr="00E21FC4">
        <w:t>ethal force was not necessary. There were other means to address the alleged threat, such as seeking assistance or taking non-lethal measures. The use of a firearm against individuals who were fleeing, rather than posing an immediate danger to the property, demonstrates a lack of necessity and proportionality.</w:t>
      </w:r>
      <w:r w:rsidR="00D540EB">
        <w:t xml:space="preserve"> Shooting and assaulting the complainants in counts 2 and 3 </w:t>
      </w:r>
      <w:r w:rsidRPr="00E21FC4">
        <w:t>cannot be considered reasonable when they were running away and posed no direct, immediate danger. The response was excessive and disproportionate to the alleged threat to the property.</w:t>
      </w:r>
      <w:r w:rsidR="00D540EB">
        <w:t xml:space="preserve"> </w:t>
      </w:r>
      <w:r w:rsidRPr="00E21FC4">
        <w:t xml:space="preserve">While the accused claimed the stolen property was gold ore, the </w:t>
      </w:r>
      <w:r w:rsidR="00D540EB">
        <w:t xml:space="preserve">state’s </w:t>
      </w:r>
      <w:r w:rsidRPr="00E21FC4">
        <w:t xml:space="preserve">evidence </w:t>
      </w:r>
      <w:r w:rsidR="00D540EB">
        <w:t>is that the sacks that the accused saw</w:t>
      </w:r>
      <w:r w:rsidRPr="00E21FC4">
        <w:t xml:space="preserve"> contain</w:t>
      </w:r>
      <w:r w:rsidR="00D540EB">
        <w:t>ed</w:t>
      </w:r>
      <w:r w:rsidRPr="00E21FC4">
        <w:t xml:space="preserve"> waste material used for barricade construction. Additionally, even if the material was valuable, the use of lethal force cannot be justified unless the property was of vital importance and could not be protected by other means. </w:t>
      </w:r>
      <w:r w:rsidRPr="00E21FC4">
        <w:lastRenderedPageBreak/>
        <w:t>No evidence suggests that the property in question met such criteria.</w:t>
      </w:r>
      <w:r w:rsidR="00D540EB">
        <w:t xml:space="preserve"> </w:t>
      </w:r>
      <w:r w:rsidRPr="00E21FC4">
        <w:t>The law emphasizes exploring non-lethal alternatives to protect property. The accused failed to take less extreme measures, such as notifying law enforcement</w:t>
      </w:r>
      <w:r w:rsidR="00DC3843">
        <w:t xml:space="preserve"> agents</w:t>
      </w:r>
      <w:r w:rsidRPr="00E21FC4">
        <w:t xml:space="preserve"> or employing reasonable deterrents. His immediate resort to shooting demonstrates disregard for the proportionality and necessity required under Section 257.</w:t>
      </w:r>
      <w:r w:rsidR="00D540EB">
        <w:t xml:space="preserve"> T</w:t>
      </w:r>
      <w:r w:rsidRPr="00E21FC4">
        <w:t>he accused’s actions were neither necessary nor reasonable, and the harm caused was grossly disproportionate to the alleged threat to the property. Consequently, the defen</w:t>
      </w:r>
      <w:r w:rsidR="00D540EB">
        <w:t>c</w:t>
      </w:r>
      <w:r w:rsidRPr="00E21FC4">
        <w:t>e of property cannot suffice as a complete defen</w:t>
      </w:r>
      <w:r w:rsidR="00D540EB">
        <w:t>c</w:t>
      </w:r>
      <w:r w:rsidRPr="00E21FC4">
        <w:t xml:space="preserve">e to the crimes of attempted murder and assault in this case. </w:t>
      </w:r>
    </w:p>
    <w:p w14:paraId="5981B065" w14:textId="35A85A38" w:rsidR="00C12EC3" w:rsidRDefault="00E21FC4" w:rsidP="00507513">
      <w:pPr>
        <w:spacing w:after="0"/>
        <w:ind w:left="0"/>
      </w:pPr>
      <w:r>
        <w:tab/>
      </w:r>
      <w:r>
        <w:tab/>
      </w:r>
    </w:p>
    <w:p w14:paraId="72B8E097" w14:textId="66A6C634" w:rsidR="00C12EC3" w:rsidRPr="00331220" w:rsidRDefault="00C12EC3" w:rsidP="003539FC">
      <w:pPr>
        <w:tabs>
          <w:tab w:val="num" w:pos="720"/>
        </w:tabs>
        <w:spacing w:after="0"/>
        <w:ind w:left="0"/>
      </w:pPr>
      <w:r>
        <w:t>[</w:t>
      </w:r>
      <w:r w:rsidR="00D36BF2">
        <w:t>3</w:t>
      </w:r>
      <w:r w:rsidR="00CB1B1A">
        <w:t>6</w:t>
      </w:r>
      <w:r>
        <w:t>]</w:t>
      </w:r>
      <w:r>
        <w:tab/>
      </w:r>
      <w:r w:rsidRPr="00C12EC3">
        <w:t>The defen</w:t>
      </w:r>
      <w:r w:rsidR="0071307D">
        <w:t>c</w:t>
      </w:r>
      <w:r w:rsidRPr="00C12EC3">
        <w:t xml:space="preserve">e of property is unsustainable for the accused </w:t>
      </w:r>
      <w:r w:rsidR="005D518D">
        <w:t xml:space="preserve">against the murder charge </w:t>
      </w:r>
      <w:r w:rsidRPr="00C12EC3">
        <w:t>in light of Section 258 because the strict requirements for invoking this defen</w:t>
      </w:r>
      <w:r w:rsidR="0071307D">
        <w:t>c</w:t>
      </w:r>
      <w:r w:rsidRPr="00C12EC3">
        <w:t>e are not met. Section 258</w:t>
      </w:r>
      <w:r w:rsidR="0071307D">
        <w:t xml:space="preserve"> of the Criminal Law Code</w:t>
      </w:r>
      <w:r w:rsidRPr="00C12EC3">
        <w:t xml:space="preserve"> requires that the accused must have taken all possible alternative steps to protect the property before resorting to killing. In this case, there is no evidence to suggest that the accused tried other measures</w:t>
      </w:r>
      <w:r w:rsidR="0071307D">
        <w:t xml:space="preserve"> </w:t>
      </w:r>
      <w:r w:rsidRPr="00C12EC3">
        <w:t>such as seeking police assistance or employing non-lethal means</w:t>
      </w:r>
      <w:r w:rsidR="0071307D">
        <w:t xml:space="preserve"> </w:t>
      </w:r>
      <w:r w:rsidRPr="00C12EC3">
        <w:t>to protect his property. Instead, the accused acted with lethal force, making no reasonable attempt to resolve the matter peacefully.</w:t>
      </w:r>
      <w:r w:rsidR="0071307D">
        <w:t xml:space="preserve"> T</w:t>
      </w:r>
      <w:r w:rsidRPr="00C12EC3">
        <w:t>he testimony of the deceased’s colleagues indicates they were fleeing at the time, which suggests there was no immediate threat that necessitated killing to protect the property. The use of lethal force was disproportionate and avoidable.</w:t>
      </w:r>
      <w:r w:rsidR="0071307D">
        <w:t xml:space="preserve"> </w:t>
      </w:r>
      <w:r w:rsidRPr="00C12EC3">
        <w:t>For the defen</w:t>
      </w:r>
      <w:r w:rsidR="0071307D">
        <w:t>c</w:t>
      </w:r>
      <w:r w:rsidRPr="00C12EC3">
        <w:t xml:space="preserve">e of property to apply, the property in question must be of vital importance to the accused. While the accused claimed that gold ore was being stolen, the sacks observed by the accused were </w:t>
      </w:r>
      <w:r w:rsidR="0071307D">
        <w:t>said</w:t>
      </w:r>
      <w:r w:rsidRPr="00C12EC3">
        <w:t xml:space="preserve"> to contain waste material</w:t>
      </w:r>
      <w:r w:rsidR="0071307D">
        <w:t xml:space="preserve"> by the deceased’s colleagues</w:t>
      </w:r>
      <w:r w:rsidRPr="00C12EC3">
        <w:t>, undermining the claim</w:t>
      </w:r>
      <w:r w:rsidR="0071307D">
        <w:t xml:space="preserve"> by the accused</w:t>
      </w:r>
      <w:r w:rsidRPr="00C12EC3">
        <w:t xml:space="preserve"> that valuable property was being threatened.</w:t>
      </w:r>
      <w:r w:rsidR="0071307D">
        <w:t xml:space="preserve"> </w:t>
      </w:r>
      <w:r w:rsidR="00717549">
        <w:t>It is not in dispute that all that the accused saw w</w:t>
      </w:r>
      <w:r w:rsidR="007A680E">
        <w:t xml:space="preserve">ere sacks, but he never got to see the contents thereof. He thus acted on suspicion that what was inside was gold ore stolen from him. </w:t>
      </w:r>
      <w:r w:rsidR="00E11DC0">
        <w:t>The accused’s</w:t>
      </w:r>
      <w:r w:rsidRPr="00C12EC3">
        <w:t xml:space="preserve"> actions appear driven more by a desire to confront the </w:t>
      </w:r>
      <w:r w:rsidR="00E11DC0">
        <w:t xml:space="preserve">persons he saw in the tunnel </w:t>
      </w:r>
      <w:r w:rsidRPr="00C12EC3">
        <w:t>than by a genuine fear of irreparable loss.</w:t>
      </w:r>
      <w:r w:rsidR="003539FC">
        <w:t xml:space="preserve"> </w:t>
      </w:r>
      <w:r w:rsidRPr="00C12EC3">
        <w:t>Consequently, the defen</w:t>
      </w:r>
      <w:r w:rsidR="003539FC">
        <w:t>c</w:t>
      </w:r>
      <w:r w:rsidRPr="00C12EC3">
        <w:t xml:space="preserve">e of property in this case is unsustainable. </w:t>
      </w:r>
    </w:p>
    <w:p w14:paraId="56BB5072" w14:textId="77777777" w:rsidR="00B14A76" w:rsidRDefault="00B14A76" w:rsidP="00507513">
      <w:pPr>
        <w:spacing w:after="0"/>
        <w:ind w:left="0"/>
        <w:rPr>
          <w:i/>
          <w:iCs/>
        </w:rPr>
      </w:pPr>
    </w:p>
    <w:p w14:paraId="1FB5928B" w14:textId="7A3EA6A1" w:rsidR="002977A0" w:rsidRPr="002977A0" w:rsidRDefault="00B14A76" w:rsidP="002977A0">
      <w:pPr>
        <w:spacing w:after="0"/>
        <w:ind w:left="0"/>
      </w:pPr>
      <w:r w:rsidRPr="00B14A76">
        <w:t>[</w:t>
      </w:r>
      <w:r w:rsidR="00D36BF2">
        <w:t>3</w:t>
      </w:r>
      <w:r w:rsidR="00CB1B1A">
        <w:t>7</w:t>
      </w:r>
      <w:r w:rsidR="00CE3676">
        <w:t>]</w:t>
      </w:r>
      <w:r w:rsidR="002977A0">
        <w:tab/>
      </w:r>
      <w:r w:rsidR="002977A0" w:rsidRPr="002977A0">
        <w:t>We observed notable shortcomings in the police investigation</w:t>
      </w:r>
      <w:r w:rsidR="00F3513A">
        <w:t>s</w:t>
      </w:r>
      <w:r w:rsidR="002977A0" w:rsidRPr="002977A0">
        <w:t xml:space="preserve">. The investigating officer, Memory </w:t>
      </w:r>
      <w:proofErr w:type="spellStart"/>
      <w:r w:rsidR="002977A0" w:rsidRPr="002977A0">
        <w:t>Derembwe</w:t>
      </w:r>
      <w:proofErr w:type="spellEnd"/>
      <w:r w:rsidR="002977A0" w:rsidRPr="002977A0">
        <w:t xml:space="preserve">, testified that she attended the </w:t>
      </w:r>
      <w:r w:rsidR="00F3513A">
        <w:t>mines where the incident happened</w:t>
      </w:r>
      <w:r w:rsidR="002977A0" w:rsidRPr="002977A0">
        <w:t xml:space="preserve"> on 28 May 2024, accompanied by officials from the Ministry of Mines. However, they were unable to go underground to inspect the crime scene as the Ministry officials deemed it unsafe. Consequently, </w:t>
      </w:r>
      <w:r w:rsidR="002977A0" w:rsidRPr="002977A0">
        <w:lastRenderedPageBreak/>
        <w:t>no spent cartridges were recovered.</w:t>
      </w:r>
      <w:r w:rsidR="002977A0">
        <w:t xml:space="preserve"> </w:t>
      </w:r>
      <w:r w:rsidR="002977A0" w:rsidRPr="002977A0">
        <w:t xml:space="preserve">The investigating officer could not independently determine the exact scene of the crime. The accused claimed the shooting occurred in his tunnel, while the deceased's colleagues asserted it happened at Mr. </w:t>
      </w:r>
      <w:proofErr w:type="spellStart"/>
      <w:r w:rsidR="002977A0" w:rsidRPr="002977A0">
        <w:t>Shariwa’s</w:t>
      </w:r>
      <w:proofErr w:type="spellEnd"/>
      <w:r w:rsidR="002977A0" w:rsidRPr="002977A0">
        <w:t xml:space="preserve"> exit shaft. Furthermore, the investigating officer was unable to confirm whether there was a barricade at the point where the accused’s tunnel intersected with Mr. </w:t>
      </w:r>
      <w:proofErr w:type="spellStart"/>
      <w:r w:rsidR="002977A0" w:rsidRPr="002977A0">
        <w:t>Shariwa’s</w:t>
      </w:r>
      <w:proofErr w:type="spellEnd"/>
      <w:r w:rsidR="002977A0" w:rsidRPr="002977A0">
        <w:t xml:space="preserve"> tunnel.</w:t>
      </w:r>
      <w:r w:rsidR="002977A0">
        <w:t xml:space="preserve"> </w:t>
      </w:r>
      <w:r w:rsidR="002977A0" w:rsidRPr="002977A0">
        <w:t>This lack of thorough investigation reflects poorly on the officer's performance. It is concerning that the Zimbabwe Republic Police failed to find a way to access the underground crime scene in a case involving</w:t>
      </w:r>
      <w:r w:rsidR="00D838D0">
        <w:t xml:space="preserve"> a</w:t>
      </w:r>
      <w:r w:rsidR="002977A0" w:rsidRPr="002977A0">
        <w:t xml:space="preserve"> fatali</w:t>
      </w:r>
      <w:r w:rsidR="002977A0">
        <w:t>ty</w:t>
      </w:r>
      <w:r w:rsidR="002977A0" w:rsidRPr="002977A0">
        <w:t xml:space="preserve"> and serious injuries. Given the gravity of the offen</w:t>
      </w:r>
      <w:r w:rsidR="00D838D0">
        <w:t>c</w:t>
      </w:r>
      <w:r w:rsidR="002977A0" w:rsidRPr="002977A0">
        <w:t>es, the investigation demanded a higher degree of seriousness and commitment. It is disheartening that no significant efforts were made to address the challenges of accessing the scene.</w:t>
      </w:r>
      <w:r w:rsidR="00D838D0">
        <w:t xml:space="preserve"> </w:t>
      </w:r>
      <w:r w:rsidR="002977A0" w:rsidRPr="002977A0">
        <w:t xml:space="preserve">During the investigation, it was established that Blackhand 10 Mine was legally registered in the name of Cornelius </w:t>
      </w:r>
      <w:proofErr w:type="spellStart"/>
      <w:r w:rsidR="002977A0" w:rsidRPr="002977A0">
        <w:t>Shariwa</w:t>
      </w:r>
      <w:proofErr w:type="spellEnd"/>
      <w:r w:rsidR="002977A0" w:rsidRPr="002977A0">
        <w:t>. The mine had a valid licen</w:t>
      </w:r>
      <w:r w:rsidR="00D838D0">
        <w:t>c</w:t>
      </w:r>
      <w:r w:rsidR="002977A0" w:rsidRPr="002977A0">
        <w:t>e set to expire on 13 June 2024 and was operating legally with employees on-site. A record book containing the names of employees, including the deceased and the two complainants, was also available.</w:t>
      </w:r>
      <w:r w:rsidR="00D838D0">
        <w:t xml:space="preserve"> It was produced </w:t>
      </w:r>
      <w:r w:rsidR="00F3513A">
        <w:t xml:space="preserve">as an exhibit </w:t>
      </w:r>
      <w:r w:rsidR="00D838D0">
        <w:t xml:space="preserve">through Mr </w:t>
      </w:r>
      <w:proofErr w:type="spellStart"/>
      <w:r w:rsidR="00D838D0">
        <w:t>Shariwa</w:t>
      </w:r>
      <w:proofErr w:type="spellEnd"/>
      <w:r w:rsidR="00D838D0">
        <w:t xml:space="preserve">, the owner of the mine. </w:t>
      </w:r>
    </w:p>
    <w:p w14:paraId="5F7EE139" w14:textId="13C3A741" w:rsidR="00CE3676" w:rsidRDefault="00CE3676" w:rsidP="00C00499">
      <w:pPr>
        <w:spacing w:after="0"/>
        <w:ind w:left="0"/>
      </w:pPr>
      <w:r>
        <w:tab/>
      </w:r>
    </w:p>
    <w:p w14:paraId="48486557" w14:textId="6BA5D67F" w:rsidR="003839C9" w:rsidRDefault="00CE3676" w:rsidP="00C00499">
      <w:pPr>
        <w:spacing w:after="0"/>
        <w:ind w:left="0"/>
      </w:pPr>
      <w:r>
        <w:t>[3</w:t>
      </w:r>
      <w:r w:rsidR="00CB1B1A">
        <w:t>8</w:t>
      </w:r>
      <w:r>
        <w:t>]</w:t>
      </w:r>
      <w:r>
        <w:tab/>
      </w:r>
      <w:r w:rsidRPr="00507513">
        <w:t xml:space="preserve">Despite the shortcomings in police investigations, </w:t>
      </w:r>
      <w:r w:rsidRPr="00CE3676">
        <w:t>in that they failed</w:t>
      </w:r>
      <w:r w:rsidRPr="00507513">
        <w:t xml:space="preserve"> to inspect the crime scene underground, we find the accused guilty of </w:t>
      </w:r>
      <w:r w:rsidRPr="00CE3676">
        <w:t>murder</w:t>
      </w:r>
      <w:r w:rsidRPr="00507513">
        <w:t>.</w:t>
      </w:r>
      <w:r w:rsidRPr="00CE3676">
        <w:t xml:space="preserve"> </w:t>
      </w:r>
      <w:r w:rsidR="006A7088">
        <w:t>The accused</w:t>
      </w:r>
      <w:r w:rsidR="00E71B94" w:rsidRPr="00B14A76">
        <w:t xml:space="preserve"> intentionally killed the deceased whom he shot</w:t>
      </w:r>
      <w:r w:rsidR="00D616D5" w:rsidRPr="00B14A76">
        <w:t xml:space="preserve"> as he was climbing up</w:t>
      </w:r>
      <w:r w:rsidR="00F4414B">
        <w:t xml:space="preserve"> the shaft</w:t>
      </w:r>
      <w:r w:rsidR="00D616D5" w:rsidRPr="00B14A76">
        <w:t xml:space="preserve">. The deceased was shot </w:t>
      </w:r>
      <w:r w:rsidR="00E71B94" w:rsidRPr="00B14A76">
        <w:t xml:space="preserve">in the leg. </w:t>
      </w:r>
      <w:r w:rsidR="00507513" w:rsidRPr="00507513">
        <w:t xml:space="preserve"> </w:t>
      </w:r>
      <w:r w:rsidR="003C2C9E">
        <w:t>According to the postmortem report, t</w:t>
      </w:r>
      <w:r w:rsidR="00507513" w:rsidRPr="00507513">
        <w:t>he deceased died from</w:t>
      </w:r>
      <w:r w:rsidR="003C2C9E">
        <w:t xml:space="preserve"> hypovolemic shock,</w:t>
      </w:r>
      <w:r w:rsidR="00507513" w:rsidRPr="00507513">
        <w:t xml:space="preserve"> a femoral artery laceration </w:t>
      </w:r>
      <w:r w:rsidR="003C2C9E">
        <w:t>and</w:t>
      </w:r>
      <w:r w:rsidR="00507513" w:rsidRPr="00507513">
        <w:t xml:space="preserve"> a gunshot wound to the </w:t>
      </w:r>
      <w:r w:rsidR="003C2C9E">
        <w:t xml:space="preserve">left thigh. This </w:t>
      </w:r>
      <w:r w:rsidR="00507513" w:rsidRPr="00507513">
        <w:t>disprov</w:t>
      </w:r>
      <w:r w:rsidR="003C2C9E">
        <w:t>es</w:t>
      </w:r>
      <w:r w:rsidR="00507513" w:rsidRPr="00507513">
        <w:t xml:space="preserve"> the </w:t>
      </w:r>
      <w:r w:rsidR="00E71B94" w:rsidRPr="00B14A76">
        <w:t xml:space="preserve">defence’s </w:t>
      </w:r>
      <w:r w:rsidR="00507513" w:rsidRPr="00507513">
        <w:t xml:space="preserve">argument that a leg wound cannot be fatal. </w:t>
      </w:r>
      <w:r w:rsidR="003C2C9E">
        <w:t xml:space="preserve">Hypovolemic shock is a medical condition in which rapid fluid </w:t>
      </w:r>
      <w:r w:rsidR="0068487D">
        <w:t xml:space="preserve">or blood </w:t>
      </w:r>
      <w:r w:rsidR="003C2C9E">
        <w:t xml:space="preserve">loss results </w:t>
      </w:r>
      <w:r w:rsidR="0068487D">
        <w:t>in multiple organ failure due to inadequate circulating volume.</w:t>
      </w:r>
      <w:r w:rsidR="0068487D">
        <w:rPr>
          <w:rStyle w:val="FootnoteReference"/>
        </w:rPr>
        <w:footnoteReference w:id="2"/>
      </w:r>
      <w:r w:rsidR="0068487D">
        <w:t xml:space="preserve"> </w:t>
      </w:r>
      <w:r w:rsidR="00507513" w:rsidRPr="00507513">
        <w:t xml:space="preserve">The complainant in the attempted murder charge </w:t>
      </w:r>
      <w:r w:rsidR="00E71B94" w:rsidRPr="00B14A76">
        <w:t>was shot twice in the legs</w:t>
      </w:r>
      <w:r w:rsidR="00133F31">
        <w:t>.</w:t>
      </w:r>
      <w:r w:rsidR="00CE1BE5" w:rsidRPr="00CE1BE5">
        <w:t xml:space="preserve"> The medical affidavit states that he suffered a gunshot wound of the backside of the left thigh and multiple bruises on the right foreleg. A bullet was also removed surgically.</w:t>
      </w:r>
      <w:r w:rsidR="00133F31">
        <w:t xml:space="preserve"> </w:t>
      </w:r>
      <w:r w:rsidR="00C463C9">
        <w:t>The complainant</w:t>
      </w:r>
      <w:r w:rsidR="00133F31">
        <w:t xml:space="preserve"> </w:t>
      </w:r>
      <w:r w:rsidR="00507513" w:rsidRPr="00507513">
        <w:t xml:space="preserve">could have died if he had been shot in the femoral artery. </w:t>
      </w:r>
      <w:r w:rsidR="00133F31">
        <w:t>This artery is the major blood vessel supplying oxygen</w:t>
      </w:r>
      <w:r w:rsidR="003839C9">
        <w:t>-</w:t>
      </w:r>
      <w:r w:rsidR="00133F31">
        <w:t>rich blood to the lower body and it starts from the upper thigh, near the groin and runs down to the back of the knee.</w:t>
      </w:r>
      <w:r w:rsidR="00133F31">
        <w:rPr>
          <w:rStyle w:val="FootnoteReference"/>
        </w:rPr>
        <w:footnoteReference w:id="3"/>
      </w:r>
      <w:r w:rsidR="00133F31">
        <w:t xml:space="preserve"> This shows that a</w:t>
      </w:r>
      <w:r w:rsidR="00DA517D" w:rsidRPr="00DA517D">
        <w:t xml:space="preserve"> leg wound</w:t>
      </w:r>
      <w:r w:rsidR="00DA517D">
        <w:t xml:space="preserve">, </w:t>
      </w:r>
      <w:r w:rsidR="00DA517D" w:rsidRPr="00DA517D">
        <w:t>depending on its severity</w:t>
      </w:r>
      <w:r w:rsidR="00DA517D">
        <w:t xml:space="preserve">, </w:t>
      </w:r>
      <w:r w:rsidR="00DA517D" w:rsidRPr="00DA517D">
        <w:t>can result in death.</w:t>
      </w:r>
      <w:r w:rsidR="00DA517D">
        <w:t xml:space="preserve"> </w:t>
      </w:r>
    </w:p>
    <w:p w14:paraId="53919649" w14:textId="77777777" w:rsidR="00D36BF2" w:rsidRDefault="00D36BF2" w:rsidP="00C00499">
      <w:pPr>
        <w:spacing w:after="0"/>
        <w:ind w:left="0"/>
      </w:pPr>
    </w:p>
    <w:p w14:paraId="7D3249D1" w14:textId="52E0E337" w:rsidR="00D36BF2" w:rsidRDefault="003839C9" w:rsidP="00C00499">
      <w:pPr>
        <w:spacing w:after="0"/>
        <w:ind w:left="0"/>
      </w:pPr>
      <w:r>
        <w:t>[</w:t>
      </w:r>
      <w:r w:rsidR="00D36BF2">
        <w:t>3</w:t>
      </w:r>
      <w:r w:rsidR="00CB1B1A">
        <w:t>9</w:t>
      </w:r>
      <w:r>
        <w:t>]</w:t>
      </w:r>
      <w:r>
        <w:tab/>
      </w:r>
      <w:r w:rsidR="00FE6C56">
        <w:t xml:space="preserve">It does not </w:t>
      </w:r>
      <w:r w:rsidR="00FE6C56" w:rsidRPr="00FE6C56">
        <w:t>matter that</w:t>
      </w:r>
      <w:r w:rsidR="00133F31">
        <w:t xml:space="preserve"> in </w:t>
      </w:r>
      <w:r w:rsidR="00133F31" w:rsidRPr="00133F31">
        <w:rPr>
          <w:i/>
          <w:iCs/>
        </w:rPr>
        <w:t>casu</w:t>
      </w:r>
      <w:r w:rsidR="00FE6C56" w:rsidRPr="00FE6C56">
        <w:t xml:space="preserve"> the doctor said th</w:t>
      </w:r>
      <w:r w:rsidR="00FE6C56">
        <w:t>at</w:t>
      </w:r>
      <w:r w:rsidR="00FE6C56" w:rsidRPr="00FE6C56">
        <w:t xml:space="preserve"> moderate force was used to inflict the injuries, that there </w:t>
      </w:r>
      <w:r w:rsidR="00FE6C56">
        <w:t>wa</w:t>
      </w:r>
      <w:r w:rsidR="00FE6C56" w:rsidRPr="00FE6C56">
        <w:t>s no likelihood of permanent injury and that there was no potential danger to life when he examined the complainant</w:t>
      </w:r>
      <w:r w:rsidR="00FE6C56">
        <w:t xml:space="preserve"> about</w:t>
      </w:r>
      <w:r w:rsidR="00FE6C56" w:rsidRPr="00FE6C56">
        <w:t xml:space="preserve"> </w:t>
      </w:r>
      <w:r>
        <w:t xml:space="preserve">1 </w:t>
      </w:r>
      <w:r w:rsidR="001D244E">
        <w:t xml:space="preserve">½ </w:t>
      </w:r>
      <w:r w:rsidR="001D244E" w:rsidRPr="00FE6C56">
        <w:t>months</w:t>
      </w:r>
      <w:r w:rsidR="00FE6C56" w:rsidRPr="00FE6C56">
        <w:t xml:space="preserve"> later</w:t>
      </w:r>
      <w:r w:rsidR="00FE6C56">
        <w:t xml:space="preserve">, on 12 July 2024. </w:t>
      </w:r>
      <w:r w:rsidR="00FE6C56" w:rsidRPr="00FE6C56">
        <w:t xml:space="preserve">While the doctor's findings are relevant, they do not absolve the accused of guilt for attempted murder. </w:t>
      </w:r>
      <w:r w:rsidR="00FE6C56">
        <w:t xml:space="preserve"> </w:t>
      </w:r>
      <w:r w:rsidR="00FE6C56" w:rsidRPr="00FE6C56">
        <w:t>The critical factor in determining guilt for attempted murder is the accused's intent at the time of the act, not the eventual outcome or the degree of harm inflicted. The accused deliberately shot the complainant twice in the legs, an act that demonstrates clear intent to cause serious harm. The fact that the injuries were later assessed as moderate does not negate the accused's initial intent to inflict harm that could have been fatal.</w:t>
      </w:r>
      <w:r w:rsidR="00C00499">
        <w:t xml:space="preserve"> </w:t>
      </w:r>
      <w:r w:rsidR="00FE6C56" w:rsidRPr="00FE6C56">
        <w:t xml:space="preserve">The complainant was shot in the thigh, and the deceased in the same incident died from a femoral artery laceration caused by a gunshot wound to the </w:t>
      </w:r>
      <w:r w:rsidR="00C00499">
        <w:t>thigh</w:t>
      </w:r>
      <w:r w:rsidR="00FE6C56" w:rsidRPr="00FE6C56">
        <w:t>. This establishes that leg wounds can be fatal, depending on the circumstances. The complainant could have suffered similar fatal consequences if the femoral artery had been struck, making the accused’s actions sufficiently grave to warrant an attempted murder charge</w:t>
      </w:r>
      <w:r w:rsidR="00F3513A">
        <w:t xml:space="preserve"> and conviction</w:t>
      </w:r>
      <w:r w:rsidR="00FE6C56" w:rsidRPr="00FE6C56">
        <w:t>.</w:t>
      </w:r>
      <w:r w:rsidR="00C00499">
        <w:t xml:space="preserve"> </w:t>
      </w:r>
    </w:p>
    <w:p w14:paraId="6F453AED" w14:textId="77777777" w:rsidR="00D36BF2" w:rsidRDefault="00D36BF2" w:rsidP="00C00499">
      <w:pPr>
        <w:spacing w:after="0"/>
        <w:ind w:left="0"/>
      </w:pPr>
    </w:p>
    <w:p w14:paraId="61CB44F4" w14:textId="6D54F313" w:rsidR="00507513" w:rsidRPr="00507513" w:rsidRDefault="00D36BF2" w:rsidP="00C00499">
      <w:pPr>
        <w:spacing w:after="0"/>
        <w:ind w:left="0"/>
      </w:pPr>
      <w:r>
        <w:t>[</w:t>
      </w:r>
      <w:r w:rsidR="00CB1B1A">
        <w:t>40</w:t>
      </w:r>
      <w:r>
        <w:t>]</w:t>
      </w:r>
      <w:r>
        <w:tab/>
      </w:r>
      <w:r w:rsidR="00C00499">
        <w:t>Besides,</w:t>
      </w:r>
      <w:r w:rsidR="00FE6C56" w:rsidRPr="00FE6C56">
        <w:t xml:space="preserve"> </w:t>
      </w:r>
      <w:r w:rsidR="00C00499">
        <w:t>t</w:t>
      </w:r>
      <w:r w:rsidR="00FE6C56" w:rsidRPr="00FE6C56">
        <w:t xml:space="preserve">he doctor’s examination occurred </w:t>
      </w:r>
      <w:r w:rsidR="00C00499">
        <w:t xml:space="preserve">1 ½ </w:t>
      </w:r>
      <w:r w:rsidR="00FE6C56" w:rsidRPr="00FE6C56">
        <w:t>months after the incident, when the injuries had already begun to heal. While the injuries were deemed non-life-threatening at that point, this does not diminish the severity of the act at the time it was committed.  Shooting someone twice in the legs, especially while they are fleeing, reflects a reckless disregard for human life. Even if the injuries did not result in permanent damage or immediate danger to life, the deliberate act of shooting demonstrates intent to cause harm, which satisfies the requirements for attempted murder.</w:t>
      </w:r>
      <w:r w:rsidR="00C00499">
        <w:t xml:space="preserve"> W</w:t>
      </w:r>
      <w:r w:rsidR="00FE6C56" w:rsidRPr="00FE6C56">
        <w:t xml:space="preserve">hile the doctor's findings provide insight into the extent of the injuries, they do not undermine the legal basis for the charge of attempted murder. The accused’s actions, intent, and the potential consequences of those actions are the determining factors in this case. </w:t>
      </w:r>
      <w:r w:rsidR="00C00499">
        <w:t xml:space="preserve"> </w:t>
      </w:r>
      <w:r w:rsidR="0080234A">
        <w:t>As such</w:t>
      </w:r>
      <w:r w:rsidR="00F16D0B">
        <w:t>,</w:t>
      </w:r>
      <w:r w:rsidR="0080234A">
        <w:t xml:space="preserve"> the charge </w:t>
      </w:r>
      <w:r w:rsidR="00F16D0B">
        <w:t xml:space="preserve">and conviction </w:t>
      </w:r>
      <w:r w:rsidR="0080234A">
        <w:t xml:space="preserve">of attempted murder in the second count suffices. </w:t>
      </w:r>
      <w:r w:rsidR="00507513" w:rsidRPr="00507513">
        <w:t xml:space="preserve">The accused is </w:t>
      </w:r>
      <w:r w:rsidR="00E71B94" w:rsidRPr="00B14A76">
        <w:t xml:space="preserve">therefore </w:t>
      </w:r>
      <w:r w:rsidR="00507513" w:rsidRPr="00507513">
        <w:t xml:space="preserve">guilty of attempted murder for </w:t>
      </w:r>
      <w:r w:rsidR="00E71B94" w:rsidRPr="00B14A76">
        <w:t xml:space="preserve">shooting </w:t>
      </w:r>
      <w:r w:rsidR="00EA122E" w:rsidRPr="00B14A76">
        <w:t xml:space="preserve">the complainant in the second </w:t>
      </w:r>
      <w:r w:rsidR="0080234A">
        <w:t xml:space="preserve">count </w:t>
      </w:r>
      <w:r w:rsidR="00E71B94" w:rsidRPr="00B14A76">
        <w:t>in the leg</w:t>
      </w:r>
      <w:r w:rsidR="00EA122E" w:rsidRPr="00B14A76">
        <w:t>s</w:t>
      </w:r>
      <w:r w:rsidR="00E71B94" w:rsidRPr="00B14A76">
        <w:t xml:space="preserve">. </w:t>
      </w:r>
      <w:r w:rsidR="000D3BF6">
        <w:t>The accused</w:t>
      </w:r>
      <w:r w:rsidR="00E71B94" w:rsidRPr="00B14A76">
        <w:t xml:space="preserve"> is also guilty of assault for </w:t>
      </w:r>
      <w:r w:rsidR="00507513" w:rsidRPr="00507513">
        <w:t xml:space="preserve">assaulting Lovemore </w:t>
      </w:r>
      <w:proofErr w:type="spellStart"/>
      <w:r w:rsidR="00507513" w:rsidRPr="00507513">
        <w:t>Mapfanya</w:t>
      </w:r>
      <w:proofErr w:type="spellEnd"/>
      <w:r w:rsidR="00E71B94" w:rsidRPr="00B14A76">
        <w:t xml:space="preserve"> on the head</w:t>
      </w:r>
      <w:r w:rsidR="00F16D0B">
        <w:t xml:space="preserve"> with a clenched fist</w:t>
      </w:r>
      <w:r w:rsidR="00E71B94" w:rsidRPr="00B14A76">
        <w:t xml:space="preserve">. </w:t>
      </w:r>
    </w:p>
    <w:p w14:paraId="26C2571D" w14:textId="77777777" w:rsidR="00BB7977" w:rsidRDefault="00BB7977" w:rsidP="006E107F">
      <w:pPr>
        <w:pStyle w:val="NoSpacing"/>
        <w:spacing w:line="360" w:lineRule="auto"/>
        <w:jc w:val="both"/>
        <w:rPr>
          <w:rFonts w:ascii="Times New Roman" w:hAnsi="Times New Roman" w:cs="Times New Roman"/>
          <w:b/>
          <w:bCs/>
          <w:i/>
          <w:iCs/>
          <w:sz w:val="32"/>
          <w:szCs w:val="32"/>
        </w:rPr>
      </w:pPr>
    </w:p>
    <w:p w14:paraId="263E0C91" w14:textId="51B4F907" w:rsidR="006E107F" w:rsidRPr="00CB1B1A" w:rsidRDefault="00CB1B1A" w:rsidP="006E107F">
      <w:pPr>
        <w:pStyle w:val="NoSpacing"/>
        <w:spacing w:line="360" w:lineRule="auto"/>
        <w:jc w:val="both"/>
        <w:rPr>
          <w:rFonts w:ascii="Times New Roman" w:hAnsi="Times New Roman" w:cs="Times New Roman"/>
          <w:b/>
          <w:bCs/>
          <w:i/>
          <w:iCs/>
          <w:sz w:val="32"/>
          <w:szCs w:val="32"/>
        </w:rPr>
      </w:pPr>
      <w:r w:rsidRPr="00CB1B1A">
        <w:rPr>
          <w:rFonts w:ascii="Times New Roman" w:hAnsi="Times New Roman" w:cs="Times New Roman"/>
          <w:b/>
          <w:bCs/>
          <w:i/>
          <w:iCs/>
          <w:sz w:val="32"/>
          <w:szCs w:val="32"/>
        </w:rPr>
        <w:t xml:space="preserve">Sentencing Judgment </w:t>
      </w:r>
    </w:p>
    <w:p w14:paraId="6A5FFD1F" w14:textId="64F82D65" w:rsidR="006E107F" w:rsidRDefault="006E107F" w:rsidP="006E107F">
      <w:pPr>
        <w:pStyle w:val="NoSpacing"/>
        <w:spacing w:line="360" w:lineRule="auto"/>
        <w:jc w:val="both"/>
        <w:rPr>
          <w:rFonts w:ascii="Times New Roman" w:hAnsi="Times New Roman" w:cs="Times New Roman"/>
          <w:sz w:val="24"/>
          <w:szCs w:val="24"/>
        </w:rPr>
      </w:pPr>
    </w:p>
    <w:p w14:paraId="4987210D" w14:textId="3CE91C9C" w:rsidR="000D5BFE" w:rsidRDefault="009835F1"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rPr>
        <w:lastRenderedPageBreak/>
        <w:t>[</w:t>
      </w:r>
      <w:r w:rsidR="003F28DC">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r>
      <w:r w:rsidR="000D5BFE" w:rsidRPr="000D5BFE">
        <w:rPr>
          <w:rFonts w:ascii="Times New Roman" w:hAnsi="Times New Roman" w:cs="Times New Roman"/>
          <w:sz w:val="24"/>
          <w:szCs w:val="24"/>
          <w:lang w:val="en-ZW"/>
        </w:rPr>
        <w:t xml:space="preserve">This case involves a murder committed under aggravating circumstances. The accused used a firearm, a lethal weapon, to shoot the deceased. Such a murder, as defined under Section 47(4) of the Criminal Law Code </w:t>
      </w:r>
      <w:r w:rsidR="0032656A">
        <w:rPr>
          <w:rFonts w:ascii="Times New Roman" w:hAnsi="Times New Roman" w:cs="Times New Roman"/>
          <w:sz w:val="24"/>
          <w:szCs w:val="24"/>
          <w:lang w:val="en-ZW"/>
        </w:rPr>
        <w:t>and in the sentencing guidelines in S.I 146/2023</w:t>
      </w:r>
      <w:r w:rsidR="000D5BFE" w:rsidRPr="000D5BFE">
        <w:rPr>
          <w:rFonts w:ascii="Times New Roman" w:hAnsi="Times New Roman" w:cs="Times New Roman"/>
          <w:sz w:val="24"/>
          <w:szCs w:val="24"/>
          <w:lang w:val="en-ZW"/>
        </w:rPr>
        <w:t xml:space="preserve">, is classified as having been committed in aggravating circumstances. </w:t>
      </w:r>
      <w:r w:rsidR="00064D6E">
        <w:rPr>
          <w:rFonts w:ascii="Times New Roman" w:hAnsi="Times New Roman" w:cs="Times New Roman"/>
          <w:sz w:val="24"/>
          <w:szCs w:val="24"/>
          <w:lang w:val="en-ZW"/>
        </w:rPr>
        <w:t xml:space="preserve">The presumptive penalty as provided for in the sentencing guidelines is 20 years’ imprisonment. </w:t>
      </w:r>
      <w:r w:rsidR="000D5BFE" w:rsidRPr="000D5BFE">
        <w:rPr>
          <w:rFonts w:ascii="Times New Roman" w:hAnsi="Times New Roman" w:cs="Times New Roman"/>
          <w:sz w:val="24"/>
          <w:szCs w:val="24"/>
          <w:lang w:val="en-ZW"/>
        </w:rPr>
        <w:t xml:space="preserve">The statutory penalty for such an </w:t>
      </w:r>
      <w:r w:rsidR="003F28DC" w:rsidRPr="000D5BFE">
        <w:rPr>
          <w:rFonts w:ascii="Times New Roman" w:hAnsi="Times New Roman" w:cs="Times New Roman"/>
          <w:sz w:val="24"/>
          <w:szCs w:val="24"/>
          <w:lang w:val="en-ZW"/>
        </w:rPr>
        <w:t>offen</w:t>
      </w:r>
      <w:r w:rsidR="003F28DC">
        <w:rPr>
          <w:rFonts w:ascii="Times New Roman" w:hAnsi="Times New Roman" w:cs="Times New Roman"/>
          <w:sz w:val="24"/>
          <w:szCs w:val="24"/>
          <w:lang w:val="en-ZW"/>
        </w:rPr>
        <w:t>c</w:t>
      </w:r>
      <w:r w:rsidR="003F28DC" w:rsidRPr="000D5BFE">
        <w:rPr>
          <w:rFonts w:ascii="Times New Roman" w:hAnsi="Times New Roman" w:cs="Times New Roman"/>
          <w:sz w:val="24"/>
          <w:szCs w:val="24"/>
          <w:lang w:val="en-ZW"/>
        </w:rPr>
        <w:t>e</w:t>
      </w:r>
      <w:r w:rsidR="003F28DC">
        <w:rPr>
          <w:rFonts w:ascii="Times New Roman" w:hAnsi="Times New Roman" w:cs="Times New Roman"/>
          <w:sz w:val="24"/>
          <w:szCs w:val="24"/>
          <w:lang w:val="en-ZW"/>
        </w:rPr>
        <w:t xml:space="preserve"> </w:t>
      </w:r>
      <w:r w:rsidR="003F28DC" w:rsidRPr="000D5BFE">
        <w:rPr>
          <w:rFonts w:ascii="Times New Roman" w:hAnsi="Times New Roman" w:cs="Times New Roman"/>
          <w:sz w:val="24"/>
          <w:szCs w:val="24"/>
          <w:lang w:val="en-ZW"/>
        </w:rPr>
        <w:t>range</w:t>
      </w:r>
      <w:r w:rsidR="003F28DC">
        <w:rPr>
          <w:rFonts w:ascii="Times New Roman" w:hAnsi="Times New Roman" w:cs="Times New Roman"/>
          <w:sz w:val="24"/>
          <w:szCs w:val="24"/>
          <w:lang w:val="en-ZW"/>
        </w:rPr>
        <w:t xml:space="preserve">s </w:t>
      </w:r>
      <w:r w:rsidR="003F28DC" w:rsidRPr="000D5BFE">
        <w:rPr>
          <w:rFonts w:ascii="Times New Roman" w:hAnsi="Times New Roman" w:cs="Times New Roman"/>
          <w:sz w:val="24"/>
          <w:szCs w:val="24"/>
          <w:lang w:val="en-ZW"/>
        </w:rPr>
        <w:t>from</w:t>
      </w:r>
      <w:r w:rsidR="000D5BFE" w:rsidRPr="000D5BFE">
        <w:rPr>
          <w:rFonts w:ascii="Times New Roman" w:hAnsi="Times New Roman" w:cs="Times New Roman"/>
          <w:sz w:val="24"/>
          <w:szCs w:val="24"/>
          <w:lang w:val="en-ZW"/>
        </w:rPr>
        <w:t xml:space="preserve"> a minimum of 20 years</w:t>
      </w:r>
      <w:r w:rsidR="000D5BFE">
        <w:rPr>
          <w:rFonts w:ascii="Times New Roman" w:hAnsi="Times New Roman" w:cs="Times New Roman"/>
          <w:sz w:val="24"/>
          <w:szCs w:val="24"/>
          <w:lang w:val="en-ZW"/>
        </w:rPr>
        <w:t>’</w:t>
      </w:r>
      <w:r w:rsidR="000D5BFE" w:rsidRPr="000D5BFE">
        <w:rPr>
          <w:rFonts w:ascii="Times New Roman" w:hAnsi="Times New Roman" w:cs="Times New Roman"/>
          <w:sz w:val="24"/>
          <w:szCs w:val="24"/>
          <w:lang w:val="en-ZW"/>
        </w:rPr>
        <w:t xml:space="preserve"> imprisonment to a maximum of the death penalty. This means that the accused cannot be sentenced to less than 20 years</w:t>
      </w:r>
      <w:r>
        <w:rPr>
          <w:rFonts w:ascii="Times New Roman" w:hAnsi="Times New Roman" w:cs="Times New Roman"/>
          <w:sz w:val="24"/>
          <w:szCs w:val="24"/>
          <w:lang w:val="en-ZW"/>
        </w:rPr>
        <w:t xml:space="preserve"> of</w:t>
      </w:r>
      <w:r w:rsidR="000D5BFE" w:rsidRPr="000D5BFE">
        <w:rPr>
          <w:rFonts w:ascii="Times New Roman" w:hAnsi="Times New Roman" w:cs="Times New Roman"/>
          <w:sz w:val="24"/>
          <w:szCs w:val="24"/>
          <w:lang w:val="en-ZW"/>
        </w:rPr>
        <w:t xml:space="preserve"> imprisonment.</w:t>
      </w:r>
    </w:p>
    <w:p w14:paraId="665BEE96" w14:textId="77777777" w:rsidR="009835F1" w:rsidRPr="000D5BFE" w:rsidRDefault="009835F1" w:rsidP="000D5BFE">
      <w:pPr>
        <w:pStyle w:val="NoSpacing"/>
        <w:spacing w:line="360" w:lineRule="auto"/>
        <w:jc w:val="both"/>
        <w:rPr>
          <w:rFonts w:ascii="Times New Roman" w:hAnsi="Times New Roman" w:cs="Times New Roman"/>
          <w:sz w:val="24"/>
          <w:szCs w:val="24"/>
          <w:lang w:val="en-ZW"/>
        </w:rPr>
      </w:pPr>
    </w:p>
    <w:p w14:paraId="600BD252" w14:textId="6F0B19DA" w:rsidR="000D5BFE" w:rsidRPr="000D5BFE" w:rsidRDefault="00D0154A"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3F28DC">
        <w:rPr>
          <w:rFonts w:ascii="Times New Roman" w:hAnsi="Times New Roman" w:cs="Times New Roman"/>
          <w:sz w:val="24"/>
          <w:szCs w:val="24"/>
          <w:lang w:val="en-ZW"/>
        </w:rPr>
        <w:t>42</w:t>
      </w:r>
      <w:r>
        <w:rPr>
          <w:rFonts w:ascii="Times New Roman" w:hAnsi="Times New Roman" w:cs="Times New Roman"/>
          <w:sz w:val="24"/>
          <w:szCs w:val="24"/>
          <w:lang w:val="en-ZW"/>
        </w:rPr>
        <w:t>]</w:t>
      </w:r>
      <w:r>
        <w:rPr>
          <w:rFonts w:ascii="Times New Roman" w:hAnsi="Times New Roman" w:cs="Times New Roman"/>
          <w:sz w:val="24"/>
          <w:szCs w:val="24"/>
          <w:lang w:val="en-ZW"/>
        </w:rPr>
        <w:tab/>
      </w:r>
      <w:r w:rsidR="000D5BFE" w:rsidRPr="000D5BFE">
        <w:rPr>
          <w:rFonts w:ascii="Times New Roman" w:hAnsi="Times New Roman" w:cs="Times New Roman"/>
          <w:sz w:val="24"/>
          <w:szCs w:val="24"/>
          <w:lang w:val="en-ZW"/>
        </w:rPr>
        <w:t xml:space="preserve">The aggravating circumstances in this case are particularly severe. The deceased was murdered in a mining </w:t>
      </w:r>
      <w:r>
        <w:rPr>
          <w:rFonts w:ascii="Times New Roman" w:hAnsi="Times New Roman" w:cs="Times New Roman"/>
          <w:sz w:val="24"/>
          <w:szCs w:val="24"/>
          <w:lang w:val="en-ZW"/>
        </w:rPr>
        <w:t>shaft</w:t>
      </w:r>
      <w:r w:rsidR="000D5BFE" w:rsidRPr="000D5BFE">
        <w:rPr>
          <w:rFonts w:ascii="Times New Roman" w:hAnsi="Times New Roman" w:cs="Times New Roman"/>
          <w:sz w:val="24"/>
          <w:szCs w:val="24"/>
          <w:lang w:val="en-ZW"/>
        </w:rPr>
        <w:t xml:space="preserve"> where he was present with five other individuals. The accused fired his weapon</w:t>
      </w:r>
      <w:r>
        <w:rPr>
          <w:rFonts w:ascii="Times New Roman" w:hAnsi="Times New Roman" w:cs="Times New Roman"/>
          <w:sz w:val="24"/>
          <w:szCs w:val="24"/>
          <w:lang w:val="en-ZW"/>
        </w:rPr>
        <w:t xml:space="preserve"> in the tunnel and up the shaft</w:t>
      </w:r>
      <w:r w:rsidR="000D5BFE" w:rsidRPr="000D5BFE">
        <w:rPr>
          <w:rFonts w:ascii="Times New Roman" w:hAnsi="Times New Roman" w:cs="Times New Roman"/>
          <w:sz w:val="24"/>
          <w:szCs w:val="24"/>
          <w:lang w:val="en-ZW"/>
        </w:rPr>
        <w:t xml:space="preserve"> indiscriminately, creating a substantial risk of killing or seriously injuring the deceased’s colleagues. The defen</w:t>
      </w:r>
      <w:r w:rsidR="000D5BFE">
        <w:rPr>
          <w:rFonts w:ascii="Times New Roman" w:hAnsi="Times New Roman" w:cs="Times New Roman"/>
          <w:sz w:val="24"/>
          <w:szCs w:val="24"/>
          <w:lang w:val="en-ZW"/>
        </w:rPr>
        <w:t>c</w:t>
      </w:r>
      <w:r w:rsidR="000D5BFE" w:rsidRPr="000D5BFE">
        <w:rPr>
          <w:rFonts w:ascii="Times New Roman" w:hAnsi="Times New Roman" w:cs="Times New Roman"/>
          <w:sz w:val="24"/>
          <w:szCs w:val="24"/>
          <w:lang w:val="en-ZW"/>
        </w:rPr>
        <w:t>e counsel’s submission that the accused should be sentenced to less than 15 years</w:t>
      </w:r>
      <w:r w:rsidR="000D5BFE">
        <w:rPr>
          <w:rFonts w:ascii="Times New Roman" w:hAnsi="Times New Roman" w:cs="Times New Roman"/>
          <w:sz w:val="24"/>
          <w:szCs w:val="24"/>
          <w:lang w:val="en-ZW"/>
        </w:rPr>
        <w:t>’ imprisonment</w:t>
      </w:r>
      <w:r w:rsidR="000D5BFE" w:rsidRPr="000D5BFE">
        <w:rPr>
          <w:rFonts w:ascii="Times New Roman" w:hAnsi="Times New Roman" w:cs="Times New Roman"/>
          <w:sz w:val="24"/>
          <w:szCs w:val="24"/>
          <w:lang w:val="en-ZW"/>
        </w:rPr>
        <w:t xml:space="preserve"> is not supported by the law, specifically Sections 47(2), (3), and (4) of the C</w:t>
      </w:r>
      <w:r>
        <w:rPr>
          <w:rFonts w:ascii="Times New Roman" w:hAnsi="Times New Roman" w:cs="Times New Roman"/>
          <w:sz w:val="24"/>
          <w:szCs w:val="24"/>
          <w:lang w:val="en-ZW"/>
        </w:rPr>
        <w:t xml:space="preserve">riminal </w:t>
      </w:r>
      <w:r w:rsidR="000D5BFE" w:rsidRPr="000D5BFE">
        <w:rPr>
          <w:rFonts w:ascii="Times New Roman" w:hAnsi="Times New Roman" w:cs="Times New Roman"/>
          <w:sz w:val="24"/>
          <w:szCs w:val="24"/>
          <w:lang w:val="en-ZW"/>
        </w:rPr>
        <w:t>L</w:t>
      </w:r>
      <w:r>
        <w:rPr>
          <w:rFonts w:ascii="Times New Roman" w:hAnsi="Times New Roman" w:cs="Times New Roman"/>
          <w:sz w:val="24"/>
          <w:szCs w:val="24"/>
          <w:lang w:val="en-ZW"/>
        </w:rPr>
        <w:t xml:space="preserve">aw </w:t>
      </w:r>
      <w:r w:rsidR="000D5BFE" w:rsidRPr="000D5BFE">
        <w:rPr>
          <w:rFonts w:ascii="Times New Roman" w:hAnsi="Times New Roman" w:cs="Times New Roman"/>
          <w:sz w:val="24"/>
          <w:szCs w:val="24"/>
          <w:lang w:val="en-ZW"/>
        </w:rPr>
        <w:t>C</w:t>
      </w:r>
      <w:r>
        <w:rPr>
          <w:rFonts w:ascii="Times New Roman" w:hAnsi="Times New Roman" w:cs="Times New Roman"/>
          <w:sz w:val="24"/>
          <w:szCs w:val="24"/>
          <w:lang w:val="en-ZW"/>
        </w:rPr>
        <w:t>ode</w:t>
      </w:r>
      <w:r w:rsidR="000D5BFE" w:rsidRPr="000D5BFE">
        <w:rPr>
          <w:rFonts w:ascii="Times New Roman" w:hAnsi="Times New Roman" w:cs="Times New Roman"/>
          <w:sz w:val="24"/>
          <w:szCs w:val="24"/>
          <w:lang w:val="en-ZW"/>
        </w:rPr>
        <w:t xml:space="preserve">, as well as the sentencing guidelines. If </w:t>
      </w:r>
      <w:r>
        <w:rPr>
          <w:rFonts w:ascii="Times New Roman" w:hAnsi="Times New Roman" w:cs="Times New Roman"/>
          <w:sz w:val="24"/>
          <w:szCs w:val="24"/>
          <w:lang w:val="en-ZW"/>
        </w:rPr>
        <w:t xml:space="preserve">several </w:t>
      </w:r>
      <w:r w:rsidR="000D5BFE" w:rsidRPr="000D5BFE">
        <w:rPr>
          <w:rFonts w:ascii="Times New Roman" w:hAnsi="Times New Roman" w:cs="Times New Roman"/>
          <w:sz w:val="24"/>
          <w:szCs w:val="24"/>
          <w:lang w:val="en-ZW"/>
        </w:rPr>
        <w:t>aggravating factors are present</w:t>
      </w:r>
      <w:r>
        <w:rPr>
          <w:rFonts w:ascii="Times New Roman" w:hAnsi="Times New Roman" w:cs="Times New Roman"/>
          <w:sz w:val="24"/>
          <w:szCs w:val="24"/>
          <w:lang w:val="en-ZW"/>
        </w:rPr>
        <w:t xml:space="preserve"> in a matter</w:t>
      </w:r>
      <w:r w:rsidR="000D5BFE" w:rsidRPr="000D5BFE">
        <w:rPr>
          <w:rFonts w:ascii="Times New Roman" w:hAnsi="Times New Roman" w:cs="Times New Roman"/>
          <w:sz w:val="24"/>
          <w:szCs w:val="24"/>
          <w:lang w:val="en-ZW"/>
        </w:rPr>
        <w:t>, the court has the discretion to impose</w:t>
      </w:r>
      <w:r w:rsidR="005927D5">
        <w:rPr>
          <w:rFonts w:ascii="Times New Roman" w:hAnsi="Times New Roman" w:cs="Times New Roman"/>
          <w:sz w:val="24"/>
          <w:szCs w:val="24"/>
          <w:lang w:val="en-ZW"/>
        </w:rPr>
        <w:t xml:space="preserve"> a term of imprisonment</w:t>
      </w:r>
      <w:r>
        <w:rPr>
          <w:rFonts w:ascii="Times New Roman" w:hAnsi="Times New Roman" w:cs="Times New Roman"/>
          <w:sz w:val="24"/>
          <w:szCs w:val="24"/>
          <w:lang w:val="en-ZW"/>
        </w:rPr>
        <w:t xml:space="preserve"> which is</w:t>
      </w:r>
      <w:r w:rsidR="005927D5">
        <w:rPr>
          <w:rFonts w:ascii="Times New Roman" w:hAnsi="Times New Roman" w:cs="Times New Roman"/>
          <w:sz w:val="24"/>
          <w:szCs w:val="24"/>
          <w:lang w:val="en-ZW"/>
        </w:rPr>
        <w:t xml:space="preserve"> way above 20 years up to</w:t>
      </w:r>
      <w:r w:rsidR="000D5BFE" w:rsidRPr="000D5BFE">
        <w:rPr>
          <w:rFonts w:ascii="Times New Roman" w:hAnsi="Times New Roman" w:cs="Times New Roman"/>
          <w:sz w:val="24"/>
          <w:szCs w:val="24"/>
          <w:lang w:val="en-ZW"/>
        </w:rPr>
        <w:t xml:space="preserve"> the death penalty.</w:t>
      </w:r>
    </w:p>
    <w:p w14:paraId="3674EFB6" w14:textId="77777777" w:rsidR="00F333FB" w:rsidRDefault="00F333FB" w:rsidP="000D5BFE">
      <w:pPr>
        <w:pStyle w:val="NoSpacing"/>
        <w:spacing w:line="360" w:lineRule="auto"/>
        <w:jc w:val="both"/>
        <w:rPr>
          <w:rFonts w:ascii="Times New Roman" w:hAnsi="Times New Roman" w:cs="Times New Roman"/>
          <w:sz w:val="24"/>
          <w:szCs w:val="24"/>
          <w:lang w:val="en-ZW"/>
        </w:rPr>
      </w:pPr>
    </w:p>
    <w:p w14:paraId="681A44A2" w14:textId="74CC1DB4" w:rsidR="00F333FB" w:rsidRDefault="00F333FB"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3F28DC">
        <w:rPr>
          <w:rFonts w:ascii="Times New Roman" w:hAnsi="Times New Roman" w:cs="Times New Roman"/>
          <w:sz w:val="24"/>
          <w:szCs w:val="24"/>
          <w:lang w:val="en-ZW"/>
        </w:rPr>
        <w:t>43</w:t>
      </w:r>
      <w:r>
        <w:rPr>
          <w:rFonts w:ascii="Times New Roman" w:hAnsi="Times New Roman" w:cs="Times New Roman"/>
          <w:sz w:val="24"/>
          <w:szCs w:val="24"/>
          <w:lang w:val="en-ZW"/>
        </w:rPr>
        <w:t>]</w:t>
      </w:r>
      <w:r>
        <w:rPr>
          <w:rFonts w:ascii="Times New Roman" w:hAnsi="Times New Roman" w:cs="Times New Roman"/>
          <w:sz w:val="24"/>
          <w:szCs w:val="24"/>
          <w:lang w:val="en-ZW"/>
        </w:rPr>
        <w:tab/>
      </w:r>
      <w:r w:rsidR="000D5BFE" w:rsidRPr="000D5BFE">
        <w:rPr>
          <w:rFonts w:ascii="Times New Roman" w:hAnsi="Times New Roman" w:cs="Times New Roman"/>
          <w:sz w:val="24"/>
          <w:szCs w:val="24"/>
          <w:lang w:val="en-ZW"/>
        </w:rPr>
        <w:t>In this case, the offen</w:t>
      </w:r>
      <w:r w:rsidR="005927D5">
        <w:rPr>
          <w:rFonts w:ascii="Times New Roman" w:hAnsi="Times New Roman" w:cs="Times New Roman"/>
          <w:sz w:val="24"/>
          <w:szCs w:val="24"/>
          <w:lang w:val="en-ZW"/>
        </w:rPr>
        <w:t>c</w:t>
      </w:r>
      <w:r w:rsidR="000D5BFE" w:rsidRPr="000D5BFE">
        <w:rPr>
          <w:rFonts w:ascii="Times New Roman" w:hAnsi="Times New Roman" w:cs="Times New Roman"/>
          <w:sz w:val="24"/>
          <w:szCs w:val="24"/>
          <w:lang w:val="en-ZW"/>
        </w:rPr>
        <w:t xml:space="preserve">e </w:t>
      </w:r>
      <w:r>
        <w:rPr>
          <w:rFonts w:ascii="Times New Roman" w:hAnsi="Times New Roman" w:cs="Times New Roman"/>
          <w:sz w:val="24"/>
          <w:szCs w:val="24"/>
          <w:lang w:val="en-ZW"/>
        </w:rPr>
        <w:t xml:space="preserve">of murder </w:t>
      </w:r>
      <w:r w:rsidR="000D5BFE" w:rsidRPr="000D5BFE">
        <w:rPr>
          <w:rFonts w:ascii="Times New Roman" w:hAnsi="Times New Roman" w:cs="Times New Roman"/>
          <w:sz w:val="24"/>
          <w:szCs w:val="24"/>
          <w:lang w:val="en-ZW"/>
        </w:rPr>
        <w:t xml:space="preserve">is further aggravated by the fact that the accused shot the deceased and his colleagues as they were fleeing for their lives. Even if it were accepted that the deceased and his colleagues were illegally panning for gold in the accused’s mine, the accused had no right to shoot them while they were running away. The sanctity of human life must be upheld, and the accused’s actions demonstrate a cold-blooded killing. The accused intentionally killed the deceased, and the </w:t>
      </w:r>
      <w:r w:rsidR="005927D5">
        <w:rPr>
          <w:rFonts w:ascii="Times New Roman" w:hAnsi="Times New Roman" w:cs="Times New Roman"/>
          <w:sz w:val="24"/>
          <w:szCs w:val="24"/>
          <w:lang w:val="en-ZW"/>
        </w:rPr>
        <w:t>deceased</w:t>
      </w:r>
      <w:r w:rsidR="000D5BFE" w:rsidRPr="000D5BFE">
        <w:rPr>
          <w:rFonts w:ascii="Times New Roman" w:hAnsi="Times New Roman" w:cs="Times New Roman"/>
          <w:sz w:val="24"/>
          <w:szCs w:val="24"/>
          <w:lang w:val="en-ZW"/>
        </w:rPr>
        <w:t>’s father provided a</w:t>
      </w:r>
      <w:r w:rsidR="005927D5">
        <w:rPr>
          <w:rFonts w:ascii="Times New Roman" w:hAnsi="Times New Roman" w:cs="Times New Roman"/>
          <w:sz w:val="24"/>
          <w:szCs w:val="24"/>
          <w:lang w:val="en-ZW"/>
        </w:rPr>
        <w:t xml:space="preserve"> victim impact</w:t>
      </w:r>
      <w:r w:rsidR="000D5BFE" w:rsidRPr="000D5BFE">
        <w:rPr>
          <w:rFonts w:ascii="Times New Roman" w:hAnsi="Times New Roman" w:cs="Times New Roman"/>
          <w:sz w:val="24"/>
          <w:szCs w:val="24"/>
          <w:lang w:val="en-ZW"/>
        </w:rPr>
        <w:t xml:space="preserve"> statement indicating the profound trauma caused by his son’s death. The father, who had expected his 23-year-old son to marry and provide him with grandchildren, was devastated by the unnatural and violent nature of his death. The deceased was also the breadwinner for his family, and his loss has left them facing significant</w:t>
      </w:r>
      <w:r>
        <w:rPr>
          <w:rFonts w:ascii="Times New Roman" w:hAnsi="Times New Roman" w:cs="Times New Roman"/>
          <w:sz w:val="24"/>
          <w:szCs w:val="24"/>
          <w:lang w:val="en-ZW"/>
        </w:rPr>
        <w:t xml:space="preserve"> financial and emotional</w:t>
      </w:r>
      <w:r w:rsidR="000D5BFE" w:rsidRPr="000D5BFE">
        <w:rPr>
          <w:rFonts w:ascii="Times New Roman" w:hAnsi="Times New Roman" w:cs="Times New Roman"/>
          <w:sz w:val="24"/>
          <w:szCs w:val="24"/>
          <w:lang w:val="en-ZW"/>
        </w:rPr>
        <w:t xml:space="preserve"> challenges. The father has expressed a desire for </w:t>
      </w:r>
      <w:r>
        <w:rPr>
          <w:rFonts w:ascii="Times New Roman" w:hAnsi="Times New Roman" w:cs="Times New Roman"/>
          <w:sz w:val="24"/>
          <w:szCs w:val="24"/>
          <w:lang w:val="en-ZW"/>
        </w:rPr>
        <w:t>t</w:t>
      </w:r>
      <w:r w:rsidR="000D5BFE" w:rsidRPr="000D5BFE">
        <w:rPr>
          <w:rFonts w:ascii="Times New Roman" w:hAnsi="Times New Roman" w:cs="Times New Roman"/>
          <w:sz w:val="24"/>
          <w:szCs w:val="24"/>
          <w:lang w:val="en-ZW"/>
        </w:rPr>
        <w:t>he death penalty to be imposed, while the State has prayed for a sentence of 40 years</w:t>
      </w:r>
      <w:r w:rsidR="005927D5">
        <w:rPr>
          <w:rFonts w:ascii="Times New Roman" w:hAnsi="Times New Roman" w:cs="Times New Roman"/>
          <w:sz w:val="24"/>
          <w:szCs w:val="24"/>
          <w:lang w:val="en-ZW"/>
        </w:rPr>
        <w:t>’</w:t>
      </w:r>
      <w:r w:rsidR="000D5BFE" w:rsidRPr="000D5BFE">
        <w:rPr>
          <w:rFonts w:ascii="Times New Roman" w:hAnsi="Times New Roman" w:cs="Times New Roman"/>
          <w:sz w:val="24"/>
          <w:szCs w:val="24"/>
          <w:lang w:val="en-ZW"/>
        </w:rPr>
        <w:t xml:space="preserve"> imprisonment.</w:t>
      </w:r>
    </w:p>
    <w:p w14:paraId="5BD7A6B0" w14:textId="77777777" w:rsidR="00F333FB" w:rsidRDefault="00F333FB" w:rsidP="000D5BFE">
      <w:pPr>
        <w:pStyle w:val="NoSpacing"/>
        <w:spacing w:line="360" w:lineRule="auto"/>
        <w:jc w:val="both"/>
        <w:rPr>
          <w:rFonts w:ascii="Times New Roman" w:hAnsi="Times New Roman" w:cs="Times New Roman"/>
          <w:sz w:val="24"/>
          <w:szCs w:val="24"/>
          <w:lang w:val="en-ZW"/>
        </w:rPr>
      </w:pPr>
    </w:p>
    <w:p w14:paraId="049E938E" w14:textId="6DC13031" w:rsidR="000D5BFE" w:rsidRDefault="00F333FB"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[4</w:t>
      </w:r>
      <w:r w:rsidR="003F28DC">
        <w:rPr>
          <w:rFonts w:ascii="Times New Roman" w:hAnsi="Times New Roman" w:cs="Times New Roman"/>
          <w:sz w:val="24"/>
          <w:szCs w:val="24"/>
          <w:lang w:val="en-ZW"/>
        </w:rPr>
        <w:t>4</w:t>
      </w:r>
      <w:r>
        <w:rPr>
          <w:rFonts w:ascii="Times New Roman" w:hAnsi="Times New Roman" w:cs="Times New Roman"/>
          <w:sz w:val="24"/>
          <w:szCs w:val="24"/>
          <w:lang w:val="en-ZW"/>
        </w:rPr>
        <w:t>]</w:t>
      </w:r>
      <w:r>
        <w:rPr>
          <w:rFonts w:ascii="Times New Roman" w:hAnsi="Times New Roman" w:cs="Times New Roman"/>
          <w:sz w:val="24"/>
          <w:szCs w:val="24"/>
          <w:lang w:val="en-ZW"/>
        </w:rPr>
        <w:tab/>
      </w:r>
      <w:r w:rsidR="000D5BFE" w:rsidRPr="000D5BFE">
        <w:rPr>
          <w:rFonts w:ascii="Times New Roman" w:hAnsi="Times New Roman" w:cs="Times New Roman"/>
          <w:sz w:val="24"/>
          <w:szCs w:val="24"/>
          <w:lang w:val="en-ZW"/>
        </w:rPr>
        <w:t xml:space="preserve">While there are significant aggravating factors in this case, the court has also considered the mitigatory factors in </w:t>
      </w:r>
      <w:r w:rsidR="005927D5" w:rsidRPr="000D5BFE">
        <w:rPr>
          <w:rFonts w:ascii="Times New Roman" w:hAnsi="Times New Roman" w:cs="Times New Roman"/>
          <w:sz w:val="24"/>
          <w:szCs w:val="24"/>
          <w:lang w:val="en-ZW"/>
        </w:rPr>
        <w:t>favour</w:t>
      </w:r>
      <w:r w:rsidR="000D5BFE" w:rsidRPr="000D5BFE">
        <w:rPr>
          <w:rFonts w:ascii="Times New Roman" w:hAnsi="Times New Roman" w:cs="Times New Roman"/>
          <w:sz w:val="24"/>
          <w:szCs w:val="24"/>
          <w:lang w:val="en-ZW"/>
        </w:rPr>
        <w:t xml:space="preserve"> of the accused. The accused is a first offender, aged 56, married</w:t>
      </w:r>
      <w:r w:rsidR="00EA297C">
        <w:rPr>
          <w:rFonts w:ascii="Times New Roman" w:hAnsi="Times New Roman" w:cs="Times New Roman"/>
          <w:sz w:val="24"/>
          <w:szCs w:val="24"/>
          <w:lang w:val="en-ZW"/>
        </w:rPr>
        <w:t xml:space="preserve"> in China</w:t>
      </w:r>
      <w:r w:rsidR="000D5BFE" w:rsidRPr="000D5BFE">
        <w:rPr>
          <w:rFonts w:ascii="Times New Roman" w:hAnsi="Times New Roman" w:cs="Times New Roman"/>
          <w:sz w:val="24"/>
          <w:szCs w:val="24"/>
          <w:lang w:val="en-ZW"/>
        </w:rPr>
        <w:t xml:space="preserve"> with two adult children</w:t>
      </w:r>
      <w:r w:rsidR="00EA297C">
        <w:rPr>
          <w:rFonts w:ascii="Times New Roman" w:hAnsi="Times New Roman" w:cs="Times New Roman"/>
          <w:sz w:val="24"/>
          <w:szCs w:val="24"/>
          <w:lang w:val="en-ZW"/>
        </w:rPr>
        <w:t xml:space="preserve">. He has another family – a wife and </w:t>
      </w:r>
      <w:r w:rsidR="000D5BFE" w:rsidRPr="000D5BFE">
        <w:rPr>
          <w:rFonts w:ascii="Times New Roman" w:hAnsi="Times New Roman" w:cs="Times New Roman"/>
          <w:sz w:val="24"/>
          <w:szCs w:val="24"/>
          <w:lang w:val="en-ZW"/>
        </w:rPr>
        <w:t>a minor child in this country</w:t>
      </w:r>
      <w:r w:rsidR="00EA297C">
        <w:rPr>
          <w:rFonts w:ascii="Times New Roman" w:hAnsi="Times New Roman" w:cs="Times New Roman"/>
          <w:sz w:val="24"/>
          <w:szCs w:val="24"/>
          <w:lang w:val="en-ZW"/>
        </w:rPr>
        <w:t>. The child</w:t>
      </w:r>
      <w:r w:rsidR="000D5BFE" w:rsidRPr="000D5BFE">
        <w:rPr>
          <w:rFonts w:ascii="Times New Roman" w:hAnsi="Times New Roman" w:cs="Times New Roman"/>
          <w:sz w:val="24"/>
          <w:szCs w:val="24"/>
          <w:lang w:val="en-ZW"/>
        </w:rPr>
        <w:t xml:space="preserve"> is not yet of school-going age. During the trial, the accused expressed remorse, stating that he was sorry for the loss of human life. He also provided financial assistance of USD 3,000 to the deceased’s family</w:t>
      </w:r>
      <w:r w:rsidR="00064D6E">
        <w:rPr>
          <w:rFonts w:ascii="Times New Roman" w:hAnsi="Times New Roman" w:cs="Times New Roman"/>
          <w:sz w:val="24"/>
          <w:szCs w:val="24"/>
          <w:lang w:val="en-ZW"/>
        </w:rPr>
        <w:t xml:space="preserve"> after the death of the deceased</w:t>
      </w:r>
      <w:r w:rsidR="00EA297C">
        <w:rPr>
          <w:rFonts w:ascii="Times New Roman" w:hAnsi="Times New Roman" w:cs="Times New Roman"/>
          <w:sz w:val="24"/>
          <w:szCs w:val="24"/>
          <w:lang w:val="en-ZW"/>
        </w:rPr>
        <w:t xml:space="preserve">. He also </w:t>
      </w:r>
      <w:r w:rsidR="000D5BFE" w:rsidRPr="000D5BFE">
        <w:rPr>
          <w:rFonts w:ascii="Times New Roman" w:hAnsi="Times New Roman" w:cs="Times New Roman"/>
          <w:sz w:val="24"/>
          <w:szCs w:val="24"/>
          <w:lang w:val="en-ZW"/>
        </w:rPr>
        <w:t>attempted to assist the deceased underground by tying his leg</w:t>
      </w:r>
      <w:r w:rsidR="00EA297C">
        <w:rPr>
          <w:rFonts w:ascii="Times New Roman" w:hAnsi="Times New Roman" w:cs="Times New Roman"/>
          <w:sz w:val="24"/>
          <w:szCs w:val="24"/>
          <w:lang w:val="en-ZW"/>
        </w:rPr>
        <w:t xml:space="preserve"> with pieces of cloth</w:t>
      </w:r>
      <w:r w:rsidR="000D5BFE" w:rsidRPr="000D5BFE">
        <w:rPr>
          <w:rFonts w:ascii="Times New Roman" w:hAnsi="Times New Roman" w:cs="Times New Roman"/>
          <w:sz w:val="24"/>
          <w:szCs w:val="24"/>
          <w:lang w:val="en-ZW"/>
        </w:rPr>
        <w:t xml:space="preserve"> to stop the bleeding. In light of these mitigatory factors, the court </w:t>
      </w:r>
      <w:r w:rsidR="00601D52">
        <w:rPr>
          <w:rFonts w:ascii="Times New Roman" w:hAnsi="Times New Roman" w:cs="Times New Roman"/>
          <w:sz w:val="24"/>
          <w:szCs w:val="24"/>
          <w:lang w:val="en-ZW"/>
        </w:rPr>
        <w:t>will</w:t>
      </w:r>
      <w:r w:rsidR="000D5BFE" w:rsidRPr="000D5BFE">
        <w:rPr>
          <w:rFonts w:ascii="Times New Roman" w:hAnsi="Times New Roman" w:cs="Times New Roman"/>
          <w:sz w:val="24"/>
          <w:szCs w:val="24"/>
          <w:lang w:val="en-ZW"/>
        </w:rPr>
        <w:t xml:space="preserve"> temper justice with mercy and will not impose the 40-year sentence requested by the State. Instead, the accused </w:t>
      </w:r>
      <w:r w:rsidR="00EA297C">
        <w:rPr>
          <w:rFonts w:ascii="Times New Roman" w:hAnsi="Times New Roman" w:cs="Times New Roman"/>
          <w:sz w:val="24"/>
          <w:szCs w:val="24"/>
          <w:lang w:val="en-ZW"/>
        </w:rPr>
        <w:t>will be</w:t>
      </w:r>
      <w:r w:rsidR="000D5BFE" w:rsidRPr="000D5BFE">
        <w:rPr>
          <w:rFonts w:ascii="Times New Roman" w:hAnsi="Times New Roman" w:cs="Times New Roman"/>
          <w:sz w:val="24"/>
          <w:szCs w:val="24"/>
          <w:lang w:val="en-ZW"/>
        </w:rPr>
        <w:t xml:space="preserve"> sentenced to 30 years</w:t>
      </w:r>
      <w:r w:rsidR="005927D5">
        <w:rPr>
          <w:rFonts w:ascii="Times New Roman" w:hAnsi="Times New Roman" w:cs="Times New Roman"/>
          <w:sz w:val="24"/>
          <w:szCs w:val="24"/>
          <w:lang w:val="en-ZW"/>
        </w:rPr>
        <w:t>’</w:t>
      </w:r>
      <w:r w:rsidR="000D5BFE" w:rsidRPr="000D5BFE">
        <w:rPr>
          <w:rFonts w:ascii="Times New Roman" w:hAnsi="Times New Roman" w:cs="Times New Roman"/>
          <w:sz w:val="24"/>
          <w:szCs w:val="24"/>
          <w:lang w:val="en-ZW"/>
        </w:rPr>
        <w:t xml:space="preserve"> imprisonment.</w:t>
      </w:r>
    </w:p>
    <w:p w14:paraId="60BE4C41" w14:textId="77777777" w:rsidR="00EA297C" w:rsidRPr="000D5BFE" w:rsidRDefault="00EA297C" w:rsidP="000D5BFE">
      <w:pPr>
        <w:pStyle w:val="NoSpacing"/>
        <w:spacing w:line="360" w:lineRule="auto"/>
        <w:jc w:val="both"/>
        <w:rPr>
          <w:rFonts w:ascii="Times New Roman" w:hAnsi="Times New Roman" w:cs="Times New Roman"/>
          <w:sz w:val="24"/>
          <w:szCs w:val="24"/>
          <w:lang w:val="en-ZW"/>
        </w:rPr>
      </w:pPr>
    </w:p>
    <w:p w14:paraId="38C2D16E" w14:textId="0E41F824" w:rsidR="00BD20E7" w:rsidRDefault="00EA297C"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r w:rsidR="003F28DC">
        <w:rPr>
          <w:rFonts w:ascii="Times New Roman" w:hAnsi="Times New Roman" w:cs="Times New Roman"/>
          <w:sz w:val="24"/>
          <w:szCs w:val="24"/>
          <w:lang w:val="en-ZW"/>
        </w:rPr>
        <w:t>45</w:t>
      </w:r>
      <w:r>
        <w:rPr>
          <w:rFonts w:ascii="Times New Roman" w:hAnsi="Times New Roman" w:cs="Times New Roman"/>
          <w:sz w:val="24"/>
          <w:szCs w:val="24"/>
          <w:lang w:val="en-ZW"/>
        </w:rPr>
        <w:t>]</w:t>
      </w:r>
      <w:r>
        <w:rPr>
          <w:rFonts w:ascii="Times New Roman" w:hAnsi="Times New Roman" w:cs="Times New Roman"/>
          <w:sz w:val="24"/>
          <w:szCs w:val="24"/>
          <w:lang w:val="en-ZW"/>
        </w:rPr>
        <w:tab/>
      </w:r>
      <w:r w:rsidR="000D5BFE" w:rsidRPr="000D5BFE">
        <w:rPr>
          <w:rFonts w:ascii="Times New Roman" w:hAnsi="Times New Roman" w:cs="Times New Roman"/>
          <w:sz w:val="24"/>
          <w:szCs w:val="24"/>
          <w:lang w:val="en-ZW"/>
        </w:rPr>
        <w:t xml:space="preserve">In relation to the charge of attempted murder, the accused used a firearm to shoot the complainant twice in both legs, causing serious injuries. </w:t>
      </w:r>
      <w:r w:rsidR="0081343D">
        <w:rPr>
          <w:rFonts w:ascii="Times New Roman" w:hAnsi="Times New Roman" w:cs="Times New Roman"/>
          <w:sz w:val="24"/>
          <w:szCs w:val="24"/>
          <w:lang w:val="en-ZW"/>
        </w:rPr>
        <w:t xml:space="preserve">When he was </w:t>
      </w:r>
      <w:r w:rsidR="00511202">
        <w:rPr>
          <w:rFonts w:ascii="Times New Roman" w:hAnsi="Times New Roman" w:cs="Times New Roman"/>
          <w:sz w:val="24"/>
          <w:szCs w:val="24"/>
          <w:lang w:val="en-ZW"/>
        </w:rPr>
        <w:t>shooting</w:t>
      </w:r>
      <w:r w:rsidR="0081343D">
        <w:rPr>
          <w:rFonts w:ascii="Times New Roman" w:hAnsi="Times New Roman" w:cs="Times New Roman"/>
          <w:sz w:val="24"/>
          <w:szCs w:val="24"/>
          <w:lang w:val="en-ZW"/>
        </w:rPr>
        <w:t xml:space="preserve"> the complainant, he was actually holding his legs to make sure that he would not escape.</w:t>
      </w:r>
      <w:r w:rsidR="00064D6E">
        <w:rPr>
          <w:rFonts w:ascii="Times New Roman" w:hAnsi="Times New Roman" w:cs="Times New Roman"/>
          <w:sz w:val="24"/>
          <w:szCs w:val="24"/>
          <w:lang w:val="en-ZW"/>
        </w:rPr>
        <w:t xml:space="preserve"> Whist the doctor’s report states that there will not be permanent injury, we n</w:t>
      </w:r>
      <w:r w:rsidR="00511202">
        <w:rPr>
          <w:rFonts w:ascii="Times New Roman" w:hAnsi="Times New Roman" w:cs="Times New Roman"/>
          <w:sz w:val="24"/>
          <w:szCs w:val="24"/>
          <w:lang w:val="en-ZW"/>
        </w:rPr>
        <w:t>oted that the complainant was still walking with the aid of crutches</w:t>
      </w:r>
      <w:r w:rsidR="000D5BFE" w:rsidRPr="000D5BFE">
        <w:rPr>
          <w:rFonts w:ascii="Times New Roman" w:hAnsi="Times New Roman" w:cs="Times New Roman"/>
          <w:sz w:val="24"/>
          <w:szCs w:val="24"/>
          <w:lang w:val="en-ZW"/>
        </w:rPr>
        <w:t xml:space="preserve"> </w:t>
      </w:r>
      <w:r w:rsidR="00511202" w:rsidRPr="00511202">
        <w:rPr>
          <w:rFonts w:ascii="Times New Roman" w:hAnsi="Times New Roman" w:cs="Times New Roman"/>
          <w:sz w:val="24"/>
          <w:szCs w:val="24"/>
          <w:lang w:val="en-ZW"/>
        </w:rPr>
        <w:t>w</w:t>
      </w:r>
      <w:r w:rsidR="00511202">
        <w:rPr>
          <w:rFonts w:ascii="Times New Roman" w:hAnsi="Times New Roman" w:cs="Times New Roman"/>
          <w:sz w:val="24"/>
          <w:szCs w:val="24"/>
          <w:lang w:val="en-ZW"/>
        </w:rPr>
        <w:t xml:space="preserve">hen he came to court to testify. His right leg was still in plaster. </w:t>
      </w:r>
      <w:r w:rsidR="000D5BFE" w:rsidRPr="000D5BFE">
        <w:rPr>
          <w:rFonts w:ascii="Times New Roman" w:hAnsi="Times New Roman" w:cs="Times New Roman"/>
          <w:sz w:val="24"/>
          <w:szCs w:val="24"/>
          <w:lang w:val="en-ZW"/>
        </w:rPr>
        <w:t xml:space="preserve">The complainant was shot while running away, and the victim impact statement reveals the profound </w:t>
      </w:r>
      <w:r w:rsidR="00511202">
        <w:rPr>
          <w:rFonts w:ascii="Times New Roman" w:hAnsi="Times New Roman" w:cs="Times New Roman"/>
          <w:sz w:val="24"/>
          <w:szCs w:val="24"/>
          <w:lang w:val="en-ZW"/>
        </w:rPr>
        <w:t xml:space="preserve">pain and </w:t>
      </w:r>
      <w:r w:rsidR="000D5BFE" w:rsidRPr="000D5BFE">
        <w:rPr>
          <w:rFonts w:ascii="Times New Roman" w:hAnsi="Times New Roman" w:cs="Times New Roman"/>
          <w:sz w:val="24"/>
          <w:szCs w:val="24"/>
          <w:lang w:val="en-ZW"/>
        </w:rPr>
        <w:t>trauma he has endured. He lost a workmate during the shooting and remains deeply affected by the incident. He is still nursing his injuries and is unable to provide for his family as the breadwinner. The complainant has no hope of returning to the mining industry due to his inability to perform heavy duties</w:t>
      </w:r>
      <w:r w:rsidR="00CC1C57">
        <w:rPr>
          <w:rFonts w:ascii="Times New Roman" w:hAnsi="Times New Roman" w:cs="Times New Roman"/>
          <w:sz w:val="24"/>
          <w:szCs w:val="24"/>
          <w:lang w:val="en-ZW"/>
        </w:rPr>
        <w:t>. He now</w:t>
      </w:r>
      <w:r w:rsidR="000D5BFE" w:rsidRPr="000D5BFE">
        <w:rPr>
          <w:rFonts w:ascii="Times New Roman" w:hAnsi="Times New Roman" w:cs="Times New Roman"/>
          <w:sz w:val="24"/>
          <w:szCs w:val="24"/>
          <w:lang w:val="en-ZW"/>
        </w:rPr>
        <w:t xml:space="preserve"> fears for his family’s future. </w:t>
      </w:r>
      <w:r w:rsidR="00BD20E7">
        <w:rPr>
          <w:rFonts w:ascii="Times New Roman" w:hAnsi="Times New Roman" w:cs="Times New Roman"/>
          <w:sz w:val="24"/>
          <w:szCs w:val="24"/>
          <w:lang w:val="en-ZW"/>
        </w:rPr>
        <w:t xml:space="preserve">This is an attempted murder offence which was committed in aggravating circumstances. </w:t>
      </w:r>
      <w:r w:rsidR="001873FC" w:rsidRPr="00511202">
        <w:rPr>
          <w:rFonts w:ascii="Times New Roman" w:hAnsi="Times New Roman" w:cs="Times New Roman"/>
          <w:sz w:val="24"/>
          <w:szCs w:val="24"/>
          <w:lang w:val="en-ZW"/>
        </w:rPr>
        <w:t>The statutory penalty for attempted murder</w:t>
      </w:r>
      <w:r w:rsidR="00511202">
        <w:rPr>
          <w:rFonts w:ascii="Times New Roman" w:hAnsi="Times New Roman" w:cs="Times New Roman"/>
          <w:sz w:val="24"/>
          <w:szCs w:val="24"/>
          <w:lang w:val="en-ZW"/>
        </w:rPr>
        <w:t xml:space="preserve"> committed in aggravating circumstances</w:t>
      </w:r>
      <w:r w:rsidR="001873FC" w:rsidRPr="00511202">
        <w:rPr>
          <w:rFonts w:ascii="Times New Roman" w:hAnsi="Times New Roman" w:cs="Times New Roman"/>
          <w:sz w:val="24"/>
          <w:szCs w:val="24"/>
          <w:lang w:val="en-ZW"/>
        </w:rPr>
        <w:t xml:space="preserve"> is</w:t>
      </w:r>
      <w:r w:rsidR="00511202">
        <w:rPr>
          <w:rFonts w:ascii="Times New Roman" w:hAnsi="Times New Roman" w:cs="Times New Roman"/>
          <w:sz w:val="24"/>
          <w:szCs w:val="24"/>
          <w:lang w:val="en-ZW"/>
        </w:rPr>
        <w:t xml:space="preserve"> 20 years’ imprisonment up to death. </w:t>
      </w:r>
      <w:r w:rsidR="000D5BFE" w:rsidRPr="000D5BFE">
        <w:rPr>
          <w:rFonts w:ascii="Times New Roman" w:hAnsi="Times New Roman" w:cs="Times New Roman"/>
          <w:sz w:val="24"/>
          <w:szCs w:val="24"/>
          <w:lang w:val="en-ZW"/>
        </w:rPr>
        <w:t>The presumptive penalty for attempted murder</w:t>
      </w:r>
      <w:r w:rsidR="00BD20E7">
        <w:rPr>
          <w:rFonts w:ascii="Times New Roman" w:hAnsi="Times New Roman" w:cs="Times New Roman"/>
          <w:sz w:val="24"/>
          <w:szCs w:val="24"/>
          <w:lang w:val="en-ZW"/>
        </w:rPr>
        <w:t xml:space="preserve"> committed under such circumstances</w:t>
      </w:r>
      <w:r w:rsidR="000D5BFE" w:rsidRPr="000D5BFE">
        <w:rPr>
          <w:rFonts w:ascii="Times New Roman" w:hAnsi="Times New Roman" w:cs="Times New Roman"/>
          <w:sz w:val="24"/>
          <w:szCs w:val="24"/>
          <w:lang w:val="en-ZW"/>
        </w:rPr>
        <w:t xml:space="preserve"> is five years</w:t>
      </w:r>
      <w:r w:rsidR="005927D5">
        <w:rPr>
          <w:rFonts w:ascii="Times New Roman" w:hAnsi="Times New Roman" w:cs="Times New Roman"/>
          <w:sz w:val="24"/>
          <w:szCs w:val="24"/>
          <w:lang w:val="en-ZW"/>
        </w:rPr>
        <w:t>’</w:t>
      </w:r>
      <w:r w:rsidR="000D5BFE" w:rsidRPr="000D5BFE">
        <w:rPr>
          <w:rFonts w:ascii="Times New Roman" w:hAnsi="Times New Roman" w:cs="Times New Roman"/>
          <w:sz w:val="24"/>
          <w:szCs w:val="24"/>
          <w:lang w:val="en-ZW"/>
        </w:rPr>
        <w:t xml:space="preserve"> imprisonment, but given the severity of the offen</w:t>
      </w:r>
      <w:r w:rsidR="005927D5">
        <w:rPr>
          <w:rFonts w:ascii="Times New Roman" w:hAnsi="Times New Roman" w:cs="Times New Roman"/>
          <w:sz w:val="24"/>
          <w:szCs w:val="24"/>
          <w:lang w:val="en-ZW"/>
        </w:rPr>
        <w:t>c</w:t>
      </w:r>
      <w:r w:rsidR="000D5BFE" w:rsidRPr="000D5BFE">
        <w:rPr>
          <w:rFonts w:ascii="Times New Roman" w:hAnsi="Times New Roman" w:cs="Times New Roman"/>
          <w:sz w:val="24"/>
          <w:szCs w:val="24"/>
          <w:lang w:val="en-ZW"/>
        </w:rPr>
        <w:t>e, a higher penalty is warranted. The accused exhibited a high degree of cruelty by holding the complainant with one hand while shooting him in the back of his legs, completely disabling him from walking. The court agrees with the State’s submission for a sentence of 10 years</w:t>
      </w:r>
      <w:r w:rsidR="005927D5">
        <w:rPr>
          <w:rFonts w:ascii="Times New Roman" w:hAnsi="Times New Roman" w:cs="Times New Roman"/>
          <w:sz w:val="24"/>
          <w:szCs w:val="24"/>
          <w:lang w:val="en-ZW"/>
        </w:rPr>
        <w:t>’</w:t>
      </w:r>
      <w:r w:rsidR="000D5BFE" w:rsidRPr="000D5BFE">
        <w:rPr>
          <w:rFonts w:ascii="Times New Roman" w:hAnsi="Times New Roman" w:cs="Times New Roman"/>
          <w:sz w:val="24"/>
          <w:szCs w:val="24"/>
          <w:lang w:val="en-ZW"/>
        </w:rPr>
        <w:t xml:space="preserve"> imprisonment. However, to avoid an excessive overall sentence, five years of this sentence </w:t>
      </w:r>
      <w:r w:rsidR="001F6C82">
        <w:rPr>
          <w:rFonts w:ascii="Times New Roman" w:hAnsi="Times New Roman" w:cs="Times New Roman"/>
          <w:sz w:val="24"/>
          <w:szCs w:val="24"/>
          <w:lang w:val="en-ZW"/>
        </w:rPr>
        <w:t xml:space="preserve">will be </w:t>
      </w:r>
      <w:r w:rsidR="000D5BFE" w:rsidRPr="000D5BFE">
        <w:rPr>
          <w:rFonts w:ascii="Times New Roman" w:hAnsi="Times New Roman" w:cs="Times New Roman"/>
          <w:sz w:val="24"/>
          <w:szCs w:val="24"/>
          <w:lang w:val="en-ZW"/>
        </w:rPr>
        <w:t>suspended for five years on the condition</w:t>
      </w:r>
      <w:r w:rsidR="00931FC7">
        <w:rPr>
          <w:rFonts w:ascii="Times New Roman" w:hAnsi="Times New Roman" w:cs="Times New Roman"/>
          <w:sz w:val="24"/>
          <w:szCs w:val="24"/>
          <w:lang w:val="en-ZW"/>
        </w:rPr>
        <w:t xml:space="preserve"> that</w:t>
      </w:r>
      <w:r w:rsidR="000D5BFE" w:rsidRPr="000D5BFE">
        <w:rPr>
          <w:rFonts w:ascii="Times New Roman" w:hAnsi="Times New Roman" w:cs="Times New Roman"/>
          <w:sz w:val="24"/>
          <w:szCs w:val="24"/>
          <w:lang w:val="en-ZW"/>
        </w:rPr>
        <w:t xml:space="preserve"> the accused does not commit an offen</w:t>
      </w:r>
      <w:r w:rsidR="001F6C82">
        <w:rPr>
          <w:rFonts w:ascii="Times New Roman" w:hAnsi="Times New Roman" w:cs="Times New Roman"/>
          <w:sz w:val="24"/>
          <w:szCs w:val="24"/>
          <w:lang w:val="en-ZW"/>
        </w:rPr>
        <w:t>c</w:t>
      </w:r>
      <w:r w:rsidR="000D5BFE" w:rsidRPr="000D5BFE">
        <w:rPr>
          <w:rFonts w:ascii="Times New Roman" w:hAnsi="Times New Roman" w:cs="Times New Roman"/>
          <w:sz w:val="24"/>
          <w:szCs w:val="24"/>
          <w:lang w:val="en-ZW"/>
        </w:rPr>
        <w:t xml:space="preserve">e involving violence </w:t>
      </w:r>
      <w:r w:rsidR="001F6C82">
        <w:rPr>
          <w:rFonts w:ascii="Times New Roman" w:hAnsi="Times New Roman" w:cs="Times New Roman"/>
          <w:sz w:val="24"/>
          <w:szCs w:val="24"/>
          <w:lang w:val="en-ZW"/>
        </w:rPr>
        <w:t xml:space="preserve">on the person of another </w:t>
      </w:r>
      <w:r w:rsidR="000D5BFE" w:rsidRPr="000D5BFE">
        <w:rPr>
          <w:rFonts w:ascii="Times New Roman" w:hAnsi="Times New Roman" w:cs="Times New Roman"/>
          <w:sz w:val="24"/>
          <w:szCs w:val="24"/>
          <w:lang w:val="en-ZW"/>
        </w:rPr>
        <w:t xml:space="preserve">during this period. </w:t>
      </w:r>
      <w:r w:rsidR="000D5BFE" w:rsidRPr="000D5BFE">
        <w:rPr>
          <w:rFonts w:ascii="Times New Roman" w:hAnsi="Times New Roman" w:cs="Times New Roman"/>
          <w:sz w:val="24"/>
          <w:szCs w:val="24"/>
          <w:lang w:val="en-ZW"/>
        </w:rPr>
        <w:lastRenderedPageBreak/>
        <w:t xml:space="preserve">The effective sentence for attempted murder </w:t>
      </w:r>
      <w:r w:rsidR="001F6C82">
        <w:rPr>
          <w:rFonts w:ascii="Times New Roman" w:hAnsi="Times New Roman" w:cs="Times New Roman"/>
          <w:sz w:val="24"/>
          <w:szCs w:val="24"/>
          <w:lang w:val="en-ZW"/>
        </w:rPr>
        <w:t>will be</w:t>
      </w:r>
      <w:r w:rsidR="000D5BFE" w:rsidRPr="000D5BFE">
        <w:rPr>
          <w:rFonts w:ascii="Times New Roman" w:hAnsi="Times New Roman" w:cs="Times New Roman"/>
          <w:sz w:val="24"/>
          <w:szCs w:val="24"/>
          <w:lang w:val="en-ZW"/>
        </w:rPr>
        <w:t xml:space="preserve"> five years</w:t>
      </w:r>
      <w:r w:rsidR="001F6C82">
        <w:rPr>
          <w:rFonts w:ascii="Times New Roman" w:hAnsi="Times New Roman" w:cs="Times New Roman"/>
          <w:sz w:val="24"/>
          <w:szCs w:val="24"/>
          <w:lang w:val="en-ZW"/>
        </w:rPr>
        <w:t>’</w:t>
      </w:r>
      <w:r w:rsidR="000D5BFE" w:rsidRPr="000D5BFE">
        <w:rPr>
          <w:rFonts w:ascii="Times New Roman" w:hAnsi="Times New Roman" w:cs="Times New Roman"/>
          <w:sz w:val="24"/>
          <w:szCs w:val="24"/>
          <w:lang w:val="en-ZW"/>
        </w:rPr>
        <w:t xml:space="preserve"> imprisonment, which </w:t>
      </w:r>
      <w:r w:rsidR="001F6C82">
        <w:rPr>
          <w:rFonts w:ascii="Times New Roman" w:hAnsi="Times New Roman" w:cs="Times New Roman"/>
          <w:sz w:val="24"/>
          <w:szCs w:val="24"/>
          <w:lang w:val="en-ZW"/>
        </w:rPr>
        <w:t xml:space="preserve">we </w:t>
      </w:r>
      <w:r w:rsidR="000D5BFE" w:rsidRPr="000D5BFE">
        <w:rPr>
          <w:rFonts w:ascii="Times New Roman" w:hAnsi="Times New Roman" w:cs="Times New Roman"/>
          <w:sz w:val="24"/>
          <w:szCs w:val="24"/>
          <w:lang w:val="en-ZW"/>
        </w:rPr>
        <w:t xml:space="preserve">will </w:t>
      </w:r>
      <w:r w:rsidR="001F6C82">
        <w:rPr>
          <w:rFonts w:ascii="Times New Roman" w:hAnsi="Times New Roman" w:cs="Times New Roman"/>
          <w:sz w:val="24"/>
          <w:szCs w:val="24"/>
          <w:lang w:val="en-ZW"/>
        </w:rPr>
        <w:t xml:space="preserve">order to </w:t>
      </w:r>
      <w:r w:rsidR="000D5BFE" w:rsidRPr="000D5BFE">
        <w:rPr>
          <w:rFonts w:ascii="Times New Roman" w:hAnsi="Times New Roman" w:cs="Times New Roman"/>
          <w:sz w:val="24"/>
          <w:szCs w:val="24"/>
          <w:lang w:val="en-ZW"/>
        </w:rPr>
        <w:t>run concurrently with the sentence for murder.</w:t>
      </w:r>
    </w:p>
    <w:p w14:paraId="0F87397C" w14:textId="77777777" w:rsidR="00BB7977" w:rsidRPr="000D5BFE" w:rsidRDefault="00BB7977" w:rsidP="000D5BFE">
      <w:pPr>
        <w:pStyle w:val="NoSpacing"/>
        <w:spacing w:line="360" w:lineRule="auto"/>
        <w:jc w:val="both"/>
        <w:rPr>
          <w:rFonts w:ascii="Times New Roman" w:hAnsi="Times New Roman" w:cs="Times New Roman"/>
          <w:sz w:val="24"/>
          <w:szCs w:val="24"/>
          <w:lang w:val="en-ZW"/>
        </w:rPr>
      </w:pPr>
    </w:p>
    <w:p w14:paraId="0E06C884" w14:textId="44925C58" w:rsidR="00BD20E7" w:rsidRDefault="00BD20E7"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[4</w:t>
      </w:r>
      <w:r w:rsidR="003F28DC">
        <w:rPr>
          <w:rFonts w:ascii="Times New Roman" w:hAnsi="Times New Roman" w:cs="Times New Roman"/>
          <w:sz w:val="24"/>
          <w:szCs w:val="24"/>
          <w:lang w:val="en-ZW"/>
        </w:rPr>
        <w:t>6</w:t>
      </w:r>
      <w:r>
        <w:rPr>
          <w:rFonts w:ascii="Times New Roman" w:hAnsi="Times New Roman" w:cs="Times New Roman"/>
          <w:sz w:val="24"/>
          <w:szCs w:val="24"/>
          <w:lang w:val="en-ZW"/>
        </w:rPr>
        <w:t>]</w:t>
      </w:r>
      <w:r>
        <w:rPr>
          <w:rFonts w:ascii="Times New Roman" w:hAnsi="Times New Roman" w:cs="Times New Roman"/>
          <w:sz w:val="24"/>
          <w:szCs w:val="24"/>
          <w:lang w:val="en-ZW"/>
        </w:rPr>
        <w:tab/>
      </w:r>
      <w:r w:rsidR="000D5BFE" w:rsidRPr="000D5BFE">
        <w:rPr>
          <w:rFonts w:ascii="Times New Roman" w:hAnsi="Times New Roman" w:cs="Times New Roman"/>
          <w:sz w:val="24"/>
          <w:szCs w:val="24"/>
          <w:lang w:val="en-ZW"/>
        </w:rPr>
        <w:t>Regarding the charge of assault, the accused used his clenched fist to assault the complainant</w:t>
      </w:r>
      <w:r w:rsidR="00931FC7">
        <w:rPr>
          <w:rFonts w:ascii="Times New Roman" w:hAnsi="Times New Roman" w:cs="Times New Roman"/>
          <w:sz w:val="24"/>
          <w:szCs w:val="24"/>
          <w:lang w:val="en-ZW"/>
        </w:rPr>
        <w:t xml:space="preserve"> on the head</w:t>
      </w:r>
      <w:r w:rsidR="000D5BFE" w:rsidRPr="000D5BFE">
        <w:rPr>
          <w:rFonts w:ascii="Times New Roman" w:hAnsi="Times New Roman" w:cs="Times New Roman"/>
          <w:sz w:val="24"/>
          <w:szCs w:val="24"/>
          <w:lang w:val="en-ZW"/>
        </w:rPr>
        <w:t>. Although the complainant was not physically injured or medically examined, he was psychologically affected by the assault, which occurred while the accused was firing gunshots at his colleagues. The complainant witnessed</w:t>
      </w:r>
      <w:r w:rsidR="00931FC7">
        <w:rPr>
          <w:rFonts w:ascii="Times New Roman" w:hAnsi="Times New Roman" w:cs="Times New Roman"/>
          <w:sz w:val="24"/>
          <w:szCs w:val="24"/>
          <w:lang w:val="en-ZW"/>
        </w:rPr>
        <w:t xml:space="preserve"> that</w:t>
      </w:r>
      <w:r w:rsidR="000D5BFE" w:rsidRPr="000D5BFE">
        <w:rPr>
          <w:rFonts w:ascii="Times New Roman" w:hAnsi="Times New Roman" w:cs="Times New Roman"/>
          <w:sz w:val="24"/>
          <w:szCs w:val="24"/>
          <w:lang w:val="en-ZW"/>
        </w:rPr>
        <w:t xml:space="preserve"> the deceased </w:t>
      </w:r>
      <w:r w:rsidR="00931FC7">
        <w:rPr>
          <w:rFonts w:ascii="Times New Roman" w:hAnsi="Times New Roman" w:cs="Times New Roman"/>
          <w:sz w:val="24"/>
          <w:szCs w:val="24"/>
          <w:lang w:val="en-ZW"/>
        </w:rPr>
        <w:t>was</w:t>
      </w:r>
      <w:r w:rsidR="000D5BFE" w:rsidRPr="000D5BFE">
        <w:rPr>
          <w:rFonts w:ascii="Times New Roman" w:hAnsi="Times New Roman" w:cs="Times New Roman"/>
          <w:sz w:val="24"/>
          <w:szCs w:val="24"/>
          <w:lang w:val="en-ZW"/>
        </w:rPr>
        <w:t xml:space="preserve"> shot and fell into a state of shock and fear. He remains traumatized by the incident and requires professional counsel</w:t>
      </w:r>
      <w:r w:rsidR="005927D5">
        <w:rPr>
          <w:rFonts w:ascii="Times New Roman" w:hAnsi="Times New Roman" w:cs="Times New Roman"/>
          <w:sz w:val="24"/>
          <w:szCs w:val="24"/>
          <w:lang w:val="en-ZW"/>
        </w:rPr>
        <w:t>l</w:t>
      </w:r>
      <w:r w:rsidR="000D5BFE" w:rsidRPr="000D5BFE">
        <w:rPr>
          <w:rFonts w:ascii="Times New Roman" w:hAnsi="Times New Roman" w:cs="Times New Roman"/>
          <w:sz w:val="24"/>
          <w:szCs w:val="24"/>
          <w:lang w:val="en-ZW"/>
        </w:rPr>
        <w:t xml:space="preserve">ing to address the psychological impact. The complainant is now afraid to return to the mining industry and is currently unemployed, despite being the breadwinner for his family before the incident. </w:t>
      </w:r>
      <w:r w:rsidR="001873FC">
        <w:rPr>
          <w:rFonts w:ascii="Times New Roman" w:hAnsi="Times New Roman" w:cs="Times New Roman"/>
          <w:sz w:val="24"/>
          <w:szCs w:val="24"/>
          <w:lang w:val="en-ZW"/>
        </w:rPr>
        <w:t xml:space="preserve"> </w:t>
      </w:r>
      <w:r w:rsidR="001873FC" w:rsidRPr="00D85237">
        <w:rPr>
          <w:rFonts w:ascii="Times New Roman" w:hAnsi="Times New Roman" w:cs="Times New Roman"/>
          <w:sz w:val="24"/>
          <w:szCs w:val="24"/>
          <w:lang w:val="en-ZW"/>
        </w:rPr>
        <w:t>The statutory penalty for assault is</w:t>
      </w:r>
      <w:r w:rsidR="00D85237" w:rsidRPr="00D85237">
        <w:rPr>
          <w:rFonts w:ascii="Times New Roman" w:hAnsi="Times New Roman" w:cs="Times New Roman"/>
          <w:sz w:val="24"/>
          <w:szCs w:val="24"/>
          <w:lang w:val="en-ZW"/>
        </w:rPr>
        <w:t xml:space="preserve"> level 14 fine / 10 years’ imprisonment. </w:t>
      </w:r>
      <w:r w:rsidR="001873FC" w:rsidRPr="00D85237">
        <w:rPr>
          <w:rFonts w:ascii="Times New Roman" w:hAnsi="Times New Roman" w:cs="Times New Roman"/>
          <w:sz w:val="24"/>
          <w:szCs w:val="24"/>
          <w:lang w:val="en-ZW"/>
        </w:rPr>
        <w:t xml:space="preserve"> </w:t>
      </w:r>
      <w:r w:rsidR="00D85237" w:rsidRPr="00D85237">
        <w:rPr>
          <w:rFonts w:ascii="Times New Roman" w:hAnsi="Times New Roman" w:cs="Times New Roman"/>
          <w:sz w:val="24"/>
          <w:szCs w:val="24"/>
          <w:lang w:val="en-ZW"/>
        </w:rPr>
        <w:t xml:space="preserve">We take note that the accused used a clenched fist instead of a weapon in assaulting the complainant. The complainant did not sustain any physical injuries. </w:t>
      </w:r>
      <w:r w:rsidR="001873FC" w:rsidRPr="00D85237">
        <w:rPr>
          <w:rFonts w:ascii="Times New Roman" w:hAnsi="Times New Roman" w:cs="Times New Roman"/>
          <w:sz w:val="24"/>
          <w:szCs w:val="24"/>
          <w:lang w:val="en-ZW"/>
        </w:rPr>
        <w:t xml:space="preserve">The presumptive penalty for an assault committed in </w:t>
      </w:r>
      <w:r w:rsidR="00D85237" w:rsidRPr="00D85237">
        <w:rPr>
          <w:rFonts w:ascii="Times New Roman" w:hAnsi="Times New Roman" w:cs="Times New Roman"/>
          <w:sz w:val="24"/>
          <w:szCs w:val="24"/>
          <w:lang w:val="en-ZW"/>
        </w:rPr>
        <w:t xml:space="preserve">such </w:t>
      </w:r>
      <w:r w:rsidR="001873FC" w:rsidRPr="00D85237">
        <w:rPr>
          <w:rFonts w:ascii="Times New Roman" w:hAnsi="Times New Roman" w:cs="Times New Roman"/>
          <w:sz w:val="24"/>
          <w:szCs w:val="24"/>
          <w:lang w:val="en-ZW"/>
        </w:rPr>
        <w:t xml:space="preserve">circumstances is </w:t>
      </w:r>
      <w:r w:rsidR="00D85237" w:rsidRPr="00D85237">
        <w:rPr>
          <w:rFonts w:ascii="Times New Roman" w:hAnsi="Times New Roman" w:cs="Times New Roman"/>
          <w:sz w:val="24"/>
          <w:szCs w:val="24"/>
          <w:lang w:val="en-ZW"/>
        </w:rPr>
        <w:t xml:space="preserve">a level 4 fine. </w:t>
      </w:r>
      <w:r w:rsidR="000D5BFE" w:rsidRPr="000D5BFE">
        <w:rPr>
          <w:rFonts w:ascii="Times New Roman" w:hAnsi="Times New Roman" w:cs="Times New Roman"/>
          <w:sz w:val="24"/>
          <w:szCs w:val="24"/>
          <w:lang w:val="en-ZW"/>
        </w:rPr>
        <w:t xml:space="preserve">A fine is </w:t>
      </w:r>
      <w:r w:rsidR="00D85237">
        <w:rPr>
          <w:rFonts w:ascii="Times New Roman" w:hAnsi="Times New Roman" w:cs="Times New Roman"/>
          <w:sz w:val="24"/>
          <w:szCs w:val="24"/>
          <w:lang w:val="en-ZW"/>
        </w:rPr>
        <w:t xml:space="preserve">therefore </w:t>
      </w:r>
      <w:r w:rsidR="000D5BFE" w:rsidRPr="000D5BFE">
        <w:rPr>
          <w:rFonts w:ascii="Times New Roman" w:hAnsi="Times New Roman" w:cs="Times New Roman"/>
          <w:sz w:val="24"/>
          <w:szCs w:val="24"/>
          <w:lang w:val="en-ZW"/>
        </w:rPr>
        <w:t xml:space="preserve">appropriate for this charge, </w:t>
      </w:r>
      <w:bookmarkStart w:id="4" w:name="_GoBack"/>
      <w:bookmarkEnd w:id="4"/>
      <w:r w:rsidR="000D5BFE" w:rsidRPr="000D5BFE">
        <w:rPr>
          <w:rFonts w:ascii="Times New Roman" w:hAnsi="Times New Roman" w:cs="Times New Roman"/>
          <w:sz w:val="24"/>
          <w:szCs w:val="24"/>
          <w:lang w:val="en-ZW"/>
        </w:rPr>
        <w:t xml:space="preserve">and the accused </w:t>
      </w:r>
      <w:r w:rsidR="00D85237">
        <w:rPr>
          <w:rFonts w:ascii="Times New Roman" w:hAnsi="Times New Roman" w:cs="Times New Roman"/>
          <w:sz w:val="24"/>
          <w:szCs w:val="24"/>
          <w:lang w:val="en-ZW"/>
        </w:rPr>
        <w:t>will be</w:t>
      </w:r>
      <w:r w:rsidR="000D5BFE" w:rsidRPr="000D5BFE">
        <w:rPr>
          <w:rFonts w:ascii="Times New Roman" w:hAnsi="Times New Roman" w:cs="Times New Roman"/>
          <w:sz w:val="24"/>
          <w:szCs w:val="24"/>
          <w:lang w:val="en-ZW"/>
        </w:rPr>
        <w:t xml:space="preserve"> sentenced to pay </w:t>
      </w:r>
      <w:bookmarkStart w:id="5" w:name="_Hlk194961470"/>
      <w:r w:rsidR="000D5BFE" w:rsidRPr="000D5BFE">
        <w:rPr>
          <w:rFonts w:ascii="Times New Roman" w:hAnsi="Times New Roman" w:cs="Times New Roman"/>
          <w:sz w:val="24"/>
          <w:szCs w:val="24"/>
          <w:lang w:val="en-ZW"/>
        </w:rPr>
        <w:t xml:space="preserve">USD 100 </w:t>
      </w:r>
      <w:r w:rsidR="00D85237">
        <w:rPr>
          <w:rFonts w:ascii="Times New Roman" w:hAnsi="Times New Roman" w:cs="Times New Roman"/>
          <w:sz w:val="24"/>
          <w:szCs w:val="24"/>
          <w:lang w:val="en-ZW"/>
        </w:rPr>
        <w:t>in default of payment</w:t>
      </w:r>
      <w:r>
        <w:rPr>
          <w:rFonts w:ascii="Times New Roman" w:hAnsi="Times New Roman" w:cs="Times New Roman"/>
          <w:sz w:val="24"/>
          <w:szCs w:val="24"/>
          <w:lang w:val="en-ZW"/>
        </w:rPr>
        <w:t xml:space="preserve"> one month’s</w:t>
      </w:r>
      <w:r w:rsidR="000D5BFE" w:rsidRPr="000D5BFE">
        <w:rPr>
          <w:rFonts w:ascii="Times New Roman" w:hAnsi="Times New Roman" w:cs="Times New Roman"/>
          <w:sz w:val="24"/>
          <w:szCs w:val="24"/>
          <w:lang w:val="en-ZW"/>
        </w:rPr>
        <w:t xml:space="preserve"> imprisonment.</w:t>
      </w:r>
      <w:bookmarkEnd w:id="5"/>
    </w:p>
    <w:p w14:paraId="581B4B66" w14:textId="77777777" w:rsidR="003F28DC" w:rsidRDefault="003F28DC" w:rsidP="000D5BFE">
      <w:pPr>
        <w:pStyle w:val="NoSpacing"/>
        <w:spacing w:line="360" w:lineRule="auto"/>
        <w:jc w:val="both"/>
        <w:rPr>
          <w:rFonts w:ascii="Times New Roman" w:hAnsi="Times New Roman" w:cs="Times New Roman"/>
          <w:sz w:val="24"/>
          <w:szCs w:val="24"/>
          <w:lang w:val="en-ZW"/>
        </w:rPr>
      </w:pPr>
    </w:p>
    <w:p w14:paraId="1FBB077D" w14:textId="3FEEBB40" w:rsidR="00EC6B7B" w:rsidRDefault="00BD20E7"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[4</w:t>
      </w:r>
      <w:r w:rsidR="003F28DC">
        <w:rPr>
          <w:rFonts w:ascii="Times New Roman" w:hAnsi="Times New Roman" w:cs="Times New Roman"/>
          <w:sz w:val="24"/>
          <w:szCs w:val="24"/>
          <w:lang w:val="en-ZW"/>
        </w:rPr>
        <w:t>7</w:t>
      </w:r>
      <w:r>
        <w:rPr>
          <w:rFonts w:ascii="Times New Roman" w:hAnsi="Times New Roman" w:cs="Times New Roman"/>
          <w:sz w:val="24"/>
          <w:szCs w:val="24"/>
          <w:lang w:val="en-ZW"/>
        </w:rPr>
        <w:t>] I</w:t>
      </w:r>
      <w:r w:rsidR="000D5BFE" w:rsidRPr="000D5BFE">
        <w:rPr>
          <w:rFonts w:ascii="Times New Roman" w:hAnsi="Times New Roman" w:cs="Times New Roman"/>
          <w:sz w:val="24"/>
          <w:szCs w:val="24"/>
          <w:lang w:val="en-ZW"/>
        </w:rPr>
        <w:t xml:space="preserve">n </w:t>
      </w:r>
      <w:r w:rsidR="00D85237">
        <w:rPr>
          <w:rFonts w:ascii="Times New Roman" w:hAnsi="Times New Roman" w:cs="Times New Roman"/>
          <w:sz w:val="24"/>
          <w:szCs w:val="24"/>
          <w:lang w:val="en-ZW"/>
        </w:rPr>
        <w:t>the result</w:t>
      </w:r>
      <w:r w:rsidR="000D5BFE" w:rsidRPr="000D5BFE">
        <w:rPr>
          <w:rFonts w:ascii="Times New Roman" w:hAnsi="Times New Roman" w:cs="Times New Roman"/>
          <w:sz w:val="24"/>
          <w:szCs w:val="24"/>
          <w:lang w:val="en-ZW"/>
        </w:rPr>
        <w:t xml:space="preserve">, </w:t>
      </w:r>
      <w:r w:rsidR="00EC6B7B">
        <w:rPr>
          <w:rFonts w:ascii="Times New Roman" w:hAnsi="Times New Roman" w:cs="Times New Roman"/>
          <w:sz w:val="24"/>
          <w:szCs w:val="24"/>
          <w:lang w:val="en-ZW"/>
        </w:rPr>
        <w:t>it is ordered that</w:t>
      </w:r>
      <w:r w:rsidR="00A17FBD">
        <w:rPr>
          <w:rFonts w:ascii="Times New Roman" w:hAnsi="Times New Roman" w:cs="Times New Roman"/>
          <w:sz w:val="24"/>
          <w:szCs w:val="24"/>
          <w:lang w:val="en-ZW"/>
        </w:rPr>
        <w:t>:</w:t>
      </w:r>
    </w:p>
    <w:p w14:paraId="7A7BDDCC" w14:textId="3960A31E" w:rsidR="00EC6B7B" w:rsidRDefault="009A34FF"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w:t>
      </w:r>
      <w:proofErr w:type="spellStart"/>
      <w:r>
        <w:rPr>
          <w:rFonts w:ascii="Times New Roman" w:hAnsi="Times New Roman" w:cs="Times New Roman"/>
          <w:sz w:val="24"/>
          <w:szCs w:val="24"/>
          <w:lang w:val="en-ZW"/>
        </w:rPr>
        <w:t>i</w:t>
      </w:r>
      <w:proofErr w:type="spellEnd"/>
      <w:r>
        <w:rPr>
          <w:rFonts w:ascii="Times New Roman" w:hAnsi="Times New Roman" w:cs="Times New Roman"/>
          <w:sz w:val="24"/>
          <w:szCs w:val="24"/>
          <w:lang w:val="en-ZW"/>
        </w:rPr>
        <w:t xml:space="preserve">) </w:t>
      </w:r>
      <w:r w:rsidR="00EC6B7B">
        <w:rPr>
          <w:rFonts w:ascii="Times New Roman" w:hAnsi="Times New Roman" w:cs="Times New Roman"/>
          <w:sz w:val="24"/>
          <w:szCs w:val="24"/>
          <w:lang w:val="en-ZW"/>
        </w:rPr>
        <w:t xml:space="preserve">The accused is found guilty of all the three counts: </w:t>
      </w:r>
      <w:r>
        <w:rPr>
          <w:rFonts w:ascii="Times New Roman" w:hAnsi="Times New Roman" w:cs="Times New Roman"/>
          <w:sz w:val="24"/>
          <w:szCs w:val="24"/>
          <w:lang w:val="en-ZW"/>
        </w:rPr>
        <w:t xml:space="preserve">count 1- </w:t>
      </w:r>
      <w:r w:rsidR="00EC6B7B">
        <w:rPr>
          <w:rFonts w:ascii="Times New Roman" w:hAnsi="Times New Roman" w:cs="Times New Roman"/>
          <w:sz w:val="24"/>
          <w:szCs w:val="24"/>
          <w:lang w:val="en-ZW"/>
        </w:rPr>
        <w:t xml:space="preserve">murder; </w:t>
      </w:r>
      <w:r>
        <w:rPr>
          <w:rFonts w:ascii="Times New Roman" w:hAnsi="Times New Roman" w:cs="Times New Roman"/>
          <w:sz w:val="24"/>
          <w:szCs w:val="24"/>
          <w:lang w:val="en-ZW"/>
        </w:rPr>
        <w:t xml:space="preserve">count </w:t>
      </w:r>
      <w:r w:rsidR="007A39AD">
        <w:rPr>
          <w:rFonts w:ascii="Times New Roman" w:hAnsi="Times New Roman" w:cs="Times New Roman"/>
          <w:sz w:val="24"/>
          <w:szCs w:val="24"/>
          <w:lang w:val="en-ZW"/>
        </w:rPr>
        <w:t>2</w:t>
      </w:r>
      <w:r>
        <w:rPr>
          <w:rFonts w:ascii="Times New Roman" w:hAnsi="Times New Roman" w:cs="Times New Roman"/>
          <w:sz w:val="24"/>
          <w:szCs w:val="24"/>
          <w:lang w:val="en-ZW"/>
        </w:rPr>
        <w:t xml:space="preserve">- </w:t>
      </w:r>
      <w:r w:rsidR="00EC6B7B">
        <w:rPr>
          <w:rFonts w:ascii="Times New Roman" w:hAnsi="Times New Roman" w:cs="Times New Roman"/>
          <w:sz w:val="24"/>
          <w:szCs w:val="24"/>
          <w:lang w:val="en-ZW"/>
        </w:rPr>
        <w:t xml:space="preserve">attempted murder and </w:t>
      </w:r>
      <w:r>
        <w:rPr>
          <w:rFonts w:ascii="Times New Roman" w:hAnsi="Times New Roman" w:cs="Times New Roman"/>
          <w:sz w:val="24"/>
          <w:szCs w:val="24"/>
          <w:lang w:val="en-ZW"/>
        </w:rPr>
        <w:t xml:space="preserve">count 3 - </w:t>
      </w:r>
      <w:r w:rsidR="00EC6B7B">
        <w:rPr>
          <w:rFonts w:ascii="Times New Roman" w:hAnsi="Times New Roman" w:cs="Times New Roman"/>
          <w:sz w:val="24"/>
          <w:szCs w:val="24"/>
          <w:lang w:val="en-ZW"/>
        </w:rPr>
        <w:t>assault.</w:t>
      </w:r>
    </w:p>
    <w:p w14:paraId="7621BBED" w14:textId="2102F083" w:rsidR="00A17FBD" w:rsidRDefault="009A34FF"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(ii) </w:t>
      </w:r>
      <w:r w:rsidR="00A17FBD">
        <w:rPr>
          <w:rFonts w:ascii="Times New Roman" w:hAnsi="Times New Roman" w:cs="Times New Roman"/>
          <w:sz w:val="24"/>
          <w:szCs w:val="24"/>
          <w:lang w:val="en-ZW"/>
        </w:rPr>
        <w:t xml:space="preserve">The accused is sentenced as follows: </w:t>
      </w:r>
    </w:p>
    <w:p w14:paraId="55C3D27C" w14:textId="2A2869EA" w:rsidR="00274DFE" w:rsidRDefault="009A34FF" w:rsidP="000D5BFE">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17FBD">
        <w:rPr>
          <w:rFonts w:ascii="Times New Roman" w:hAnsi="Times New Roman" w:cs="Times New Roman"/>
          <w:sz w:val="24"/>
          <w:szCs w:val="24"/>
          <w:lang w:val="en-ZW"/>
        </w:rPr>
        <w:t>Count 1 - 30 years’ imprisonment.</w:t>
      </w:r>
    </w:p>
    <w:p w14:paraId="278C9838" w14:textId="5A18BCF9" w:rsidR="00274DFE" w:rsidRDefault="009A34FF" w:rsidP="004B37A9">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A17FBD">
        <w:rPr>
          <w:rFonts w:ascii="Times New Roman" w:hAnsi="Times New Roman" w:cs="Times New Roman"/>
          <w:sz w:val="24"/>
          <w:szCs w:val="24"/>
          <w:lang w:val="en-ZW"/>
        </w:rPr>
        <w:t>Count 2</w:t>
      </w:r>
      <w:r w:rsidR="00EC6B7B">
        <w:rPr>
          <w:rFonts w:ascii="Times New Roman" w:hAnsi="Times New Roman" w:cs="Times New Roman"/>
          <w:sz w:val="24"/>
          <w:szCs w:val="24"/>
          <w:lang w:val="en-ZW"/>
        </w:rPr>
        <w:t xml:space="preserve"> </w:t>
      </w:r>
      <w:r w:rsidR="00B80ED1">
        <w:rPr>
          <w:rFonts w:ascii="Times New Roman" w:hAnsi="Times New Roman" w:cs="Times New Roman"/>
          <w:sz w:val="24"/>
          <w:szCs w:val="24"/>
          <w:lang w:val="en-ZW"/>
        </w:rPr>
        <w:t xml:space="preserve">- </w:t>
      </w:r>
      <w:r w:rsidR="00A17FBD">
        <w:rPr>
          <w:rFonts w:ascii="Times New Roman" w:hAnsi="Times New Roman" w:cs="Times New Roman"/>
          <w:sz w:val="24"/>
          <w:szCs w:val="24"/>
          <w:lang w:val="en-ZW"/>
        </w:rPr>
        <w:t xml:space="preserve">10 years’ imprisonment of which </w:t>
      </w:r>
      <w:r w:rsidR="004B37A9">
        <w:rPr>
          <w:rFonts w:ascii="Times New Roman" w:hAnsi="Times New Roman" w:cs="Times New Roman"/>
          <w:sz w:val="24"/>
          <w:szCs w:val="24"/>
          <w:lang w:val="en-ZW"/>
        </w:rPr>
        <w:t>5</w:t>
      </w:r>
      <w:r w:rsidR="004B37A9" w:rsidRPr="000D5BFE">
        <w:rPr>
          <w:rFonts w:ascii="Times New Roman" w:hAnsi="Times New Roman" w:cs="Times New Roman"/>
          <w:sz w:val="24"/>
          <w:szCs w:val="24"/>
          <w:lang w:val="en-ZW"/>
        </w:rPr>
        <w:t xml:space="preserve"> years</w:t>
      </w:r>
      <w:r w:rsidR="004B37A9">
        <w:rPr>
          <w:rFonts w:ascii="Times New Roman" w:hAnsi="Times New Roman" w:cs="Times New Roman"/>
          <w:sz w:val="24"/>
          <w:szCs w:val="24"/>
          <w:lang w:val="en-ZW"/>
        </w:rPr>
        <w:t xml:space="preserve">’ imprisonment </w:t>
      </w:r>
      <w:r w:rsidR="007924A1">
        <w:rPr>
          <w:rFonts w:ascii="Times New Roman" w:hAnsi="Times New Roman" w:cs="Times New Roman"/>
          <w:sz w:val="24"/>
          <w:szCs w:val="24"/>
          <w:lang w:val="en-ZW"/>
        </w:rPr>
        <w:t xml:space="preserve">is </w:t>
      </w:r>
      <w:r w:rsidR="007924A1" w:rsidRPr="000D5BFE">
        <w:rPr>
          <w:rFonts w:ascii="Times New Roman" w:hAnsi="Times New Roman" w:cs="Times New Roman"/>
          <w:sz w:val="24"/>
          <w:szCs w:val="24"/>
          <w:lang w:val="en-ZW"/>
        </w:rPr>
        <w:t>suspended</w:t>
      </w:r>
      <w:r w:rsidR="004B37A9" w:rsidRPr="000D5BFE">
        <w:rPr>
          <w:rFonts w:ascii="Times New Roman" w:hAnsi="Times New Roman" w:cs="Times New Roman"/>
          <w:sz w:val="24"/>
          <w:szCs w:val="24"/>
          <w:lang w:val="en-ZW"/>
        </w:rPr>
        <w:t xml:space="preserve"> for </w:t>
      </w:r>
      <w:r w:rsidR="004B37A9">
        <w:rPr>
          <w:rFonts w:ascii="Times New Roman" w:hAnsi="Times New Roman" w:cs="Times New Roman"/>
          <w:sz w:val="24"/>
          <w:szCs w:val="24"/>
          <w:lang w:val="en-ZW"/>
        </w:rPr>
        <w:t>5</w:t>
      </w:r>
      <w:r w:rsidR="004B37A9" w:rsidRPr="000D5BFE">
        <w:rPr>
          <w:rFonts w:ascii="Times New Roman" w:hAnsi="Times New Roman" w:cs="Times New Roman"/>
          <w:sz w:val="24"/>
          <w:szCs w:val="24"/>
          <w:lang w:val="en-ZW"/>
        </w:rPr>
        <w:t xml:space="preserve"> years on condition the accused does not</w:t>
      </w:r>
      <w:r w:rsidR="004B37A9">
        <w:rPr>
          <w:rFonts w:ascii="Times New Roman" w:hAnsi="Times New Roman" w:cs="Times New Roman"/>
          <w:sz w:val="24"/>
          <w:szCs w:val="24"/>
          <w:lang w:val="en-ZW"/>
        </w:rPr>
        <w:t xml:space="preserve"> within th</w:t>
      </w:r>
      <w:r w:rsidR="00B80ED1">
        <w:rPr>
          <w:rFonts w:ascii="Times New Roman" w:hAnsi="Times New Roman" w:cs="Times New Roman"/>
          <w:sz w:val="24"/>
          <w:szCs w:val="24"/>
          <w:lang w:val="en-ZW"/>
        </w:rPr>
        <w:t>at</w:t>
      </w:r>
      <w:r w:rsidR="004B37A9">
        <w:rPr>
          <w:rFonts w:ascii="Times New Roman" w:hAnsi="Times New Roman" w:cs="Times New Roman"/>
          <w:sz w:val="24"/>
          <w:szCs w:val="24"/>
          <w:lang w:val="en-ZW"/>
        </w:rPr>
        <w:t xml:space="preserve"> period</w:t>
      </w:r>
      <w:r w:rsidR="004B37A9" w:rsidRPr="000D5BFE">
        <w:rPr>
          <w:rFonts w:ascii="Times New Roman" w:hAnsi="Times New Roman" w:cs="Times New Roman"/>
          <w:sz w:val="24"/>
          <w:szCs w:val="24"/>
          <w:lang w:val="en-ZW"/>
        </w:rPr>
        <w:t xml:space="preserve"> commit an offen</w:t>
      </w:r>
      <w:r w:rsidR="004B37A9" w:rsidRPr="004B37A9">
        <w:rPr>
          <w:rFonts w:ascii="Times New Roman" w:hAnsi="Times New Roman" w:cs="Times New Roman"/>
          <w:sz w:val="24"/>
          <w:szCs w:val="24"/>
          <w:lang w:val="en-ZW"/>
        </w:rPr>
        <w:t>c</w:t>
      </w:r>
      <w:r w:rsidR="004B37A9" w:rsidRPr="000D5BFE">
        <w:rPr>
          <w:rFonts w:ascii="Times New Roman" w:hAnsi="Times New Roman" w:cs="Times New Roman"/>
          <w:sz w:val="24"/>
          <w:szCs w:val="24"/>
          <w:lang w:val="en-ZW"/>
        </w:rPr>
        <w:t xml:space="preserve">e involving violence </w:t>
      </w:r>
      <w:r w:rsidR="004B37A9" w:rsidRPr="004B37A9">
        <w:rPr>
          <w:rFonts w:ascii="Times New Roman" w:hAnsi="Times New Roman" w:cs="Times New Roman"/>
          <w:sz w:val="24"/>
          <w:szCs w:val="24"/>
          <w:lang w:val="en-ZW"/>
        </w:rPr>
        <w:t xml:space="preserve">on the person of another </w:t>
      </w:r>
      <w:r w:rsidR="004B37A9">
        <w:rPr>
          <w:rFonts w:ascii="Times New Roman" w:hAnsi="Times New Roman" w:cs="Times New Roman"/>
          <w:sz w:val="24"/>
          <w:szCs w:val="24"/>
          <w:lang w:val="en-ZW"/>
        </w:rPr>
        <w:t xml:space="preserve">and for which upon conviction he is sentenced to imprisonment </w:t>
      </w:r>
      <w:r w:rsidR="00B80ED1">
        <w:rPr>
          <w:rFonts w:ascii="Times New Roman" w:hAnsi="Times New Roman" w:cs="Times New Roman"/>
          <w:sz w:val="24"/>
          <w:szCs w:val="24"/>
          <w:lang w:val="en-ZW"/>
        </w:rPr>
        <w:t xml:space="preserve">without the option </w:t>
      </w:r>
      <w:r w:rsidR="004B37A9">
        <w:rPr>
          <w:rFonts w:ascii="Times New Roman" w:hAnsi="Times New Roman" w:cs="Times New Roman"/>
          <w:sz w:val="24"/>
          <w:szCs w:val="24"/>
          <w:lang w:val="en-ZW"/>
        </w:rPr>
        <w:t xml:space="preserve">of a fine. </w:t>
      </w:r>
      <w:r w:rsidR="004B37A9" w:rsidRPr="000D5BFE">
        <w:rPr>
          <w:rFonts w:ascii="Times New Roman" w:hAnsi="Times New Roman" w:cs="Times New Roman"/>
          <w:sz w:val="24"/>
          <w:szCs w:val="24"/>
          <w:lang w:val="en-ZW"/>
        </w:rPr>
        <w:t xml:space="preserve"> </w:t>
      </w:r>
      <w:r w:rsidR="004B37A9">
        <w:rPr>
          <w:rFonts w:ascii="Times New Roman" w:hAnsi="Times New Roman" w:cs="Times New Roman"/>
          <w:sz w:val="24"/>
          <w:szCs w:val="24"/>
          <w:lang w:val="en-ZW"/>
        </w:rPr>
        <w:t xml:space="preserve">Effective sentence - 5 years’ imprisonment. </w:t>
      </w:r>
      <w:r w:rsidR="004B37A9" w:rsidRPr="000D5BFE">
        <w:rPr>
          <w:rFonts w:ascii="Times New Roman" w:hAnsi="Times New Roman" w:cs="Times New Roman"/>
          <w:sz w:val="24"/>
          <w:szCs w:val="24"/>
          <w:lang w:val="en-ZW"/>
        </w:rPr>
        <w:t>Th</w:t>
      </w:r>
      <w:r w:rsidR="004B37A9">
        <w:rPr>
          <w:rFonts w:ascii="Times New Roman" w:hAnsi="Times New Roman" w:cs="Times New Roman"/>
          <w:sz w:val="24"/>
          <w:szCs w:val="24"/>
          <w:lang w:val="en-ZW"/>
        </w:rPr>
        <w:t>is</w:t>
      </w:r>
      <w:r w:rsidR="004B37A9" w:rsidRPr="000D5BFE">
        <w:rPr>
          <w:rFonts w:ascii="Times New Roman" w:hAnsi="Times New Roman" w:cs="Times New Roman"/>
          <w:sz w:val="24"/>
          <w:szCs w:val="24"/>
          <w:lang w:val="en-ZW"/>
        </w:rPr>
        <w:t xml:space="preserve"> effective sentence</w:t>
      </w:r>
      <w:r w:rsidR="00274DFE">
        <w:rPr>
          <w:rFonts w:ascii="Times New Roman" w:hAnsi="Times New Roman" w:cs="Times New Roman"/>
          <w:sz w:val="24"/>
          <w:szCs w:val="24"/>
          <w:lang w:val="en-ZW"/>
        </w:rPr>
        <w:t xml:space="preserve"> of 5 years’ imprisonment</w:t>
      </w:r>
      <w:r w:rsidR="004B37A9" w:rsidRPr="000D5BFE">
        <w:rPr>
          <w:rFonts w:ascii="Times New Roman" w:hAnsi="Times New Roman" w:cs="Times New Roman"/>
          <w:sz w:val="24"/>
          <w:szCs w:val="24"/>
          <w:lang w:val="en-ZW"/>
        </w:rPr>
        <w:t xml:space="preserve"> </w:t>
      </w:r>
      <w:r w:rsidR="00274DFE">
        <w:rPr>
          <w:rFonts w:ascii="Times New Roman" w:hAnsi="Times New Roman" w:cs="Times New Roman"/>
          <w:sz w:val="24"/>
          <w:szCs w:val="24"/>
          <w:lang w:val="en-ZW"/>
        </w:rPr>
        <w:t>shall</w:t>
      </w:r>
      <w:r w:rsidR="004B37A9" w:rsidRPr="004B37A9">
        <w:rPr>
          <w:rFonts w:ascii="Times New Roman" w:hAnsi="Times New Roman" w:cs="Times New Roman"/>
          <w:sz w:val="24"/>
          <w:szCs w:val="24"/>
          <w:lang w:val="en-ZW"/>
        </w:rPr>
        <w:t xml:space="preserve"> </w:t>
      </w:r>
      <w:r w:rsidR="004B37A9" w:rsidRPr="000D5BFE">
        <w:rPr>
          <w:rFonts w:ascii="Times New Roman" w:hAnsi="Times New Roman" w:cs="Times New Roman"/>
          <w:sz w:val="24"/>
          <w:szCs w:val="24"/>
          <w:lang w:val="en-ZW"/>
        </w:rPr>
        <w:t>run concurrently with the sentence for murder</w:t>
      </w:r>
      <w:r w:rsidR="004B37A9">
        <w:rPr>
          <w:rFonts w:ascii="Times New Roman" w:hAnsi="Times New Roman" w:cs="Times New Roman"/>
          <w:sz w:val="24"/>
          <w:szCs w:val="24"/>
          <w:lang w:val="en-ZW"/>
        </w:rPr>
        <w:t xml:space="preserve"> in count 1</w:t>
      </w:r>
      <w:r w:rsidR="004B37A9" w:rsidRPr="000D5BFE">
        <w:rPr>
          <w:rFonts w:ascii="Times New Roman" w:hAnsi="Times New Roman" w:cs="Times New Roman"/>
          <w:sz w:val="24"/>
          <w:szCs w:val="24"/>
          <w:lang w:val="en-ZW"/>
        </w:rPr>
        <w:t>.</w:t>
      </w:r>
      <w:r w:rsidR="00DC21ED">
        <w:rPr>
          <w:rFonts w:ascii="Times New Roman" w:hAnsi="Times New Roman" w:cs="Times New Roman"/>
          <w:sz w:val="24"/>
          <w:szCs w:val="24"/>
          <w:lang w:val="en-ZW"/>
        </w:rPr>
        <w:t xml:space="preserve">     </w:t>
      </w:r>
    </w:p>
    <w:p w14:paraId="22BCFD17" w14:textId="47463319" w:rsidR="00F63081" w:rsidRPr="003F28DC" w:rsidRDefault="00056C35" w:rsidP="003F28DC">
      <w:pPr>
        <w:pStyle w:val="NoSpacing"/>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Count 3 - </w:t>
      </w:r>
      <w:r w:rsidRPr="000D5BFE">
        <w:rPr>
          <w:rFonts w:ascii="Times New Roman" w:hAnsi="Times New Roman" w:cs="Times New Roman"/>
          <w:sz w:val="24"/>
          <w:szCs w:val="24"/>
          <w:lang w:val="en-ZW"/>
        </w:rPr>
        <w:t xml:space="preserve">USD 100 </w:t>
      </w:r>
      <w:r w:rsidR="00DC21ED">
        <w:rPr>
          <w:rFonts w:ascii="Times New Roman" w:hAnsi="Times New Roman" w:cs="Times New Roman"/>
          <w:sz w:val="24"/>
          <w:szCs w:val="24"/>
          <w:lang w:val="en-ZW"/>
        </w:rPr>
        <w:t>in default of payment 1</w:t>
      </w:r>
      <w:r w:rsidRPr="00056C35">
        <w:rPr>
          <w:rFonts w:ascii="Times New Roman" w:hAnsi="Times New Roman" w:cs="Times New Roman"/>
          <w:sz w:val="24"/>
          <w:szCs w:val="24"/>
          <w:lang w:val="en-ZW"/>
        </w:rPr>
        <w:t>month’s</w:t>
      </w:r>
      <w:r w:rsidRPr="000D5BFE">
        <w:rPr>
          <w:rFonts w:ascii="Times New Roman" w:hAnsi="Times New Roman" w:cs="Times New Roman"/>
          <w:sz w:val="24"/>
          <w:szCs w:val="24"/>
          <w:lang w:val="en-ZW"/>
        </w:rPr>
        <w:t xml:space="preserve"> imprisonment</w:t>
      </w:r>
      <w:r w:rsidR="00DC21ED">
        <w:rPr>
          <w:rFonts w:ascii="Times New Roman" w:hAnsi="Times New Roman" w:cs="Times New Roman"/>
          <w:sz w:val="24"/>
          <w:szCs w:val="24"/>
          <w:lang w:val="en-ZW"/>
        </w:rPr>
        <w:t>.</w:t>
      </w:r>
    </w:p>
    <w:p w14:paraId="5D856821" w14:textId="77777777" w:rsidR="00B00EFD" w:rsidRDefault="00B00EFD" w:rsidP="008056CC">
      <w:pPr>
        <w:pStyle w:val="NoSpacing"/>
        <w:jc w:val="both"/>
        <w:rPr>
          <w:rFonts w:ascii="Times New Roman" w:hAnsi="Times New Roman" w:cs="Times New Roman"/>
          <w:i/>
          <w:iCs/>
          <w:sz w:val="24"/>
          <w:szCs w:val="24"/>
        </w:rPr>
      </w:pPr>
    </w:p>
    <w:p w14:paraId="7D6A8D2F" w14:textId="77777777" w:rsidR="007C30F0" w:rsidRDefault="007C30F0" w:rsidP="008056CC">
      <w:pPr>
        <w:pStyle w:val="NoSpacing"/>
        <w:jc w:val="both"/>
        <w:rPr>
          <w:rFonts w:ascii="Times New Roman" w:hAnsi="Times New Roman" w:cs="Times New Roman"/>
          <w:i/>
          <w:iCs/>
          <w:sz w:val="24"/>
          <w:szCs w:val="24"/>
        </w:rPr>
      </w:pPr>
    </w:p>
    <w:p w14:paraId="425E371F" w14:textId="77777777" w:rsidR="007C30F0" w:rsidRDefault="007C30F0" w:rsidP="008056CC">
      <w:pPr>
        <w:pStyle w:val="NoSpacing"/>
        <w:jc w:val="both"/>
        <w:rPr>
          <w:rFonts w:ascii="Times New Roman" w:hAnsi="Times New Roman" w:cs="Times New Roman"/>
          <w:i/>
          <w:iCs/>
          <w:sz w:val="24"/>
          <w:szCs w:val="24"/>
        </w:rPr>
      </w:pPr>
    </w:p>
    <w:p w14:paraId="204E1F44" w14:textId="7BB74EFD" w:rsidR="008056CC" w:rsidRDefault="008056CC" w:rsidP="008056CC">
      <w:pPr>
        <w:pStyle w:val="NoSpacing"/>
        <w:jc w:val="both"/>
        <w:rPr>
          <w:rFonts w:ascii="Times New Roman" w:hAnsi="Times New Roman" w:cs="Times New Roman"/>
          <w:sz w:val="24"/>
          <w:szCs w:val="24"/>
        </w:rPr>
      </w:pPr>
      <w:r w:rsidRPr="008056CC">
        <w:rPr>
          <w:rFonts w:ascii="Times New Roman" w:hAnsi="Times New Roman" w:cs="Times New Roman"/>
          <w:i/>
          <w:iCs/>
          <w:sz w:val="24"/>
          <w:szCs w:val="24"/>
        </w:rPr>
        <w:lastRenderedPageBreak/>
        <w:t>National Prosecuting Authority</w:t>
      </w:r>
      <w:r>
        <w:rPr>
          <w:rFonts w:ascii="Times New Roman" w:hAnsi="Times New Roman" w:cs="Times New Roman"/>
          <w:sz w:val="24"/>
          <w:szCs w:val="24"/>
        </w:rPr>
        <w:t>, the State’s legal practitioners</w:t>
      </w:r>
    </w:p>
    <w:p w14:paraId="695E6948" w14:textId="7708A082" w:rsidR="006E107F" w:rsidRPr="000D5BFE" w:rsidRDefault="008056CC" w:rsidP="008056CC">
      <w:pPr>
        <w:pStyle w:val="NoSpacing"/>
        <w:jc w:val="both"/>
        <w:rPr>
          <w:rFonts w:ascii="Times New Roman" w:hAnsi="Times New Roman" w:cs="Times New Roman"/>
          <w:sz w:val="24"/>
          <w:szCs w:val="24"/>
        </w:rPr>
      </w:pPr>
      <w:proofErr w:type="spellStart"/>
      <w:r w:rsidRPr="008056CC">
        <w:rPr>
          <w:rFonts w:ascii="Times New Roman" w:hAnsi="Times New Roman" w:cs="Times New Roman"/>
          <w:i/>
          <w:iCs/>
          <w:sz w:val="24"/>
          <w:szCs w:val="24"/>
        </w:rPr>
        <w:t>Chitsa</w:t>
      </w:r>
      <w:proofErr w:type="spellEnd"/>
      <w:r w:rsidRPr="008056CC">
        <w:rPr>
          <w:rFonts w:ascii="Times New Roman" w:hAnsi="Times New Roman" w:cs="Times New Roman"/>
          <w:i/>
          <w:iCs/>
          <w:sz w:val="24"/>
          <w:szCs w:val="24"/>
        </w:rPr>
        <w:t xml:space="preserve"> &amp; </w:t>
      </w:r>
      <w:proofErr w:type="spellStart"/>
      <w:r w:rsidRPr="008056CC">
        <w:rPr>
          <w:rFonts w:ascii="Times New Roman" w:hAnsi="Times New Roman" w:cs="Times New Roman"/>
          <w:i/>
          <w:iCs/>
          <w:sz w:val="24"/>
          <w:szCs w:val="24"/>
        </w:rPr>
        <w:t>Masvaya</w:t>
      </w:r>
      <w:proofErr w:type="spellEnd"/>
      <w:r w:rsidRPr="008056CC">
        <w:rPr>
          <w:rFonts w:ascii="Times New Roman" w:hAnsi="Times New Roman" w:cs="Times New Roman"/>
          <w:i/>
          <w:iCs/>
          <w:sz w:val="24"/>
          <w:szCs w:val="24"/>
        </w:rPr>
        <w:t xml:space="preserve"> Law Chambers</w:t>
      </w:r>
      <w:r>
        <w:rPr>
          <w:rFonts w:ascii="Times New Roman" w:hAnsi="Times New Roman" w:cs="Times New Roman"/>
          <w:sz w:val="24"/>
          <w:szCs w:val="24"/>
        </w:rPr>
        <w:t xml:space="preserve">, </w:t>
      </w:r>
      <w:r w:rsidR="007C30F0">
        <w:rPr>
          <w:rFonts w:ascii="Times New Roman" w:hAnsi="Times New Roman" w:cs="Times New Roman"/>
          <w:sz w:val="24"/>
          <w:szCs w:val="24"/>
        </w:rPr>
        <w:t xml:space="preserve">the </w:t>
      </w:r>
      <w:r>
        <w:rPr>
          <w:rFonts w:ascii="Times New Roman" w:hAnsi="Times New Roman" w:cs="Times New Roman"/>
          <w:sz w:val="24"/>
          <w:szCs w:val="24"/>
        </w:rPr>
        <w:t>accused’s legal practitioners</w:t>
      </w:r>
      <w:r w:rsidR="006E107F" w:rsidRPr="000D5BFE">
        <w:rPr>
          <w:rFonts w:ascii="Times New Roman" w:hAnsi="Times New Roman" w:cs="Times New Roman"/>
          <w:sz w:val="24"/>
          <w:szCs w:val="24"/>
        </w:rPr>
        <w:t xml:space="preserve">                                                                                                                                                                                                                                                                                                                                                                                                                                                                                                                                                                                                                                                                                                                                                                                                                                                                                                                                                                                                                                                                                                                                                                                                                                                                                                                                                                                                                                                                                                                                                                                                                                                                                                                                                                                                                                                                                                                                                                                                                                                                                                                                                                                                                                                                                                                                                                                                                                                                                                                                                                                                                                                                                                                                                                                                                                                                                                                                                                                                                                                                                                                                                                                                                                                                                                                                                                                                                                                                                                                                                                                                                                                                                                                                                                                                                                                                                                                                                                                                                                                                                                                                                                                                                                                                                                                                                                                                                                                                                                                                                                                                                                                                                                                                                                                                                                                                                                                                                                                                                                                                                                                                                                                                                                                                                                                                                                                                                                                                                                                                                                                                                                                                                                                                                                                                                                                                                                                                                                                                                                                                                                                                                                                                                                                                                                                                                                                                                                                                                                                                                                                                                                                                                                                                                                                                                                                                                                                                                                                                                                                                                                                                                                                                                                                                                                                                                                                                                                                                                                                                                                                                                                                                                                                                                                                                                                                                                                                                                                                                                                                                                                                                                                                                                                                                                                                                                                                                                                                                                                                                                                                                                                                                                                                                                                                                                                                                                                                                                                                                                                                                                                                                                                                                                                                                                                                                                                                                                                                                                                                                                                                                                                                                                                                                                                                                                                                                                                                                                                                                                                                                                                                                                                                                                                                                                                                                                                                                                                                                                                                                                                                                                                                                                                                                                                                                                                                                                                                                                                                                                                                                                                                                                                                                                                                                                                                                                                                                                                                                                                                                                                                                                                                                                                                                                                                                                                                                                                                                                                                                                                                                                                                                                                                                                                                                                                                                                                                                                                                                                                                                                                                                                                                                                                                                                                                                                                                                                                                                                                                                                                                                                                                                                                                                                                                                                                                                                                                                                                                                                                                                                                                                                                                                                                                                                                                                                                                                                                                                                                                                                                                                                                                                                                                                                                                                                                                                                                                                                                                                                                                                                                                                                                                                                                                                                                                                                                                                                                                                                                                                                                                                                                                                                                                                                                                                                                                                                                                                                                                                                                                                                                                                                                                                                                                                                                                                                                                                                                                                                                                                                                                                                                                                                                                                                                                                                                                                                                                                                                                                                                                                                                                                                                                                                                                                                                                                                                                                                                                                                                                                                                                                                                                                                                                                                                                                                                                                                                                                                                                                                                                                                                                                                                                                                                                                                                                                                                                                                                                                                                                                                                                                                                                                                                                                                                                                                                                                                                                                                                                                                                                                                                                                                                                                                                                                                                                                                                                                                                                                                                                                                                                                                                                                                                                                                                                                                                                                                                                                                                                                                                                                                                                                                                                                                                                                                                                                                                                                                                                                                                                                                                                                                                                                                                                                                                                                                                                                                                                                                                                                                                                                                                                                                                                                                                                                                                                                                                                                                                                                                                                                                                                                                                                                                                                                                                                                                                                                                                                                                                                                                                                                                                                                                                                                                                                                                                                                                                                                                                                                                                                                                                                                                                                                                                                                                                                                                                                                                                                                                                                                                                                                                                                                                                                                                                                                                                                                                                                                                                                                                                                                                                                                                                                                                                                                                                                                                                                                                                                                                                                                                                                                                                                                                                                                                                                                                                                                                                                                                                                                                                                                                                                                                                                                                                                                                                                                                                                                                                                                                                                                                                                                                                                                                                                                                                                                                                                                                                                                                                                                                                                                                                                                                                                                                                                                                                                                                                                                                                                                                                                                                                                                                                                                                                                                                                                                                                                                                                                                                                                                                                                                                                                                                                                                                                                                                                                                                                                                                                                                                                                                                                                                                                                                                                                                                                                                                                                                                                                                                                                                                                                                                                                                                                                                                                                                                                                                                                                                                                                                                                                                                                                                                                                                                                                                                                                                                                                                                                                                                                                                                                                                                                                                                                                                                                                                                                                                        </w:t>
      </w:r>
    </w:p>
    <w:sectPr w:rsidR="006E107F" w:rsidRPr="000D5BF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D0858" w14:textId="77777777" w:rsidR="004F7CB1" w:rsidRDefault="004F7CB1" w:rsidP="001D513F">
      <w:pPr>
        <w:spacing w:after="0" w:line="240" w:lineRule="auto"/>
      </w:pPr>
      <w:r>
        <w:separator/>
      </w:r>
    </w:p>
  </w:endnote>
  <w:endnote w:type="continuationSeparator" w:id="0">
    <w:p w14:paraId="1F2B4C14" w14:textId="77777777" w:rsidR="004F7CB1" w:rsidRDefault="004F7CB1" w:rsidP="001D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2A198" w14:textId="77777777" w:rsidR="004F7CB1" w:rsidRDefault="004F7CB1" w:rsidP="001D513F">
      <w:pPr>
        <w:spacing w:after="0" w:line="240" w:lineRule="auto"/>
      </w:pPr>
      <w:r>
        <w:separator/>
      </w:r>
    </w:p>
  </w:footnote>
  <w:footnote w:type="continuationSeparator" w:id="0">
    <w:p w14:paraId="5F894F49" w14:textId="77777777" w:rsidR="004F7CB1" w:rsidRDefault="004F7CB1" w:rsidP="001D513F">
      <w:pPr>
        <w:spacing w:after="0" w:line="240" w:lineRule="auto"/>
      </w:pPr>
      <w:r>
        <w:continuationSeparator/>
      </w:r>
    </w:p>
  </w:footnote>
  <w:footnote w:id="1">
    <w:p w14:paraId="7611E451" w14:textId="6095A45E" w:rsidR="00BD54F8" w:rsidRPr="00BD54F8" w:rsidRDefault="00BD54F8">
      <w:pPr>
        <w:pStyle w:val="FootnoteText"/>
        <w:rPr>
          <w:lang w:val="en-US"/>
        </w:rPr>
      </w:pPr>
      <w:r>
        <w:rPr>
          <w:rStyle w:val="FootnoteReference"/>
        </w:rPr>
        <w:footnoteRef/>
      </w:r>
      <w:r>
        <w:t xml:space="preserve"> </w:t>
      </w:r>
      <w:r w:rsidRPr="006B5B27">
        <w:rPr>
          <w:i/>
          <w:iCs/>
        </w:rPr>
        <w:t xml:space="preserve">State v Joseph </w:t>
      </w:r>
      <w:proofErr w:type="spellStart"/>
      <w:r w:rsidRPr="006B5B27">
        <w:rPr>
          <w:i/>
          <w:iCs/>
        </w:rPr>
        <w:t>Jekiseni</w:t>
      </w:r>
      <w:proofErr w:type="spellEnd"/>
      <w:r w:rsidRPr="006B5B27">
        <w:rPr>
          <w:i/>
          <w:iCs/>
        </w:rPr>
        <w:t xml:space="preserve"> </w:t>
      </w:r>
      <w:r w:rsidRPr="00BD54F8">
        <w:t>HH 429/23</w:t>
      </w:r>
      <w:r>
        <w:rPr>
          <w:i/>
          <w:iCs/>
        </w:rPr>
        <w:t>.</w:t>
      </w:r>
    </w:p>
  </w:footnote>
  <w:footnote w:id="2">
    <w:p w14:paraId="087139F8" w14:textId="0B8C316F" w:rsidR="0068487D" w:rsidRPr="0068487D" w:rsidRDefault="0068487D">
      <w:pPr>
        <w:pStyle w:val="FootnoteText"/>
        <w:rPr>
          <w:lang w:val="en-US"/>
        </w:rPr>
      </w:pPr>
      <w:r>
        <w:rPr>
          <w:rStyle w:val="FootnoteReference"/>
        </w:rPr>
        <w:footnoteRef/>
      </w:r>
      <w:r>
        <w:t xml:space="preserve"> Medscape </w:t>
      </w:r>
      <w:hyperlink r:id="rId1" w:history="1">
        <w:r w:rsidRPr="00966811">
          <w:rPr>
            <w:rStyle w:val="Hyperlink"/>
            <w:lang w:val="en-US"/>
          </w:rPr>
          <w:t>https://emedicine.medscape.com</w:t>
        </w:r>
      </w:hyperlink>
      <w:r>
        <w:rPr>
          <w:lang w:val="en-US"/>
        </w:rPr>
        <w:t xml:space="preserve"> Accessed on 7 April 2025. </w:t>
      </w:r>
    </w:p>
  </w:footnote>
  <w:footnote w:id="3">
    <w:p w14:paraId="47E52EE1" w14:textId="38005D25" w:rsidR="00133F31" w:rsidRPr="00133F31" w:rsidRDefault="00133F31">
      <w:pPr>
        <w:pStyle w:val="FootnoteText"/>
        <w:rPr>
          <w:lang w:val="en-US"/>
        </w:rPr>
      </w:pPr>
      <w:r>
        <w:rPr>
          <w:rStyle w:val="FootnoteReference"/>
        </w:rPr>
        <w:footnoteRef/>
      </w:r>
      <w:r>
        <w:t xml:space="preserve"> </w:t>
      </w:r>
      <w:r w:rsidR="00C463C9">
        <w:rPr>
          <w:lang w:val="en-US"/>
        </w:rPr>
        <w:t>Femoral</w:t>
      </w:r>
      <w:r>
        <w:rPr>
          <w:lang w:val="en-US"/>
        </w:rPr>
        <w:t xml:space="preserve"> Artery: Location and Anatomy- Cleveland Clinic </w:t>
      </w:r>
      <w:hyperlink r:id="rId2" w:history="1">
        <w:r w:rsidR="00C463C9" w:rsidRPr="00966811">
          <w:rPr>
            <w:rStyle w:val="Hyperlink"/>
            <w:lang w:val="en-US"/>
          </w:rPr>
          <w:t>https://my.clevelandclinic.org</w:t>
        </w:r>
      </w:hyperlink>
      <w:r w:rsidR="00C463C9">
        <w:rPr>
          <w:lang w:val="en-US"/>
        </w:rPr>
        <w:t xml:space="preserve"> Accessed on 7 April 2025.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77334"/>
      <w:docPartObj>
        <w:docPartGallery w:val="Page Numbers (Top of Page)"/>
        <w:docPartUnique/>
      </w:docPartObj>
    </w:sdtPr>
    <w:sdtEndPr>
      <w:rPr>
        <w:noProof/>
      </w:rPr>
    </w:sdtEndPr>
    <w:sdtContent>
      <w:p w14:paraId="5A148B7F" w14:textId="77777777" w:rsidR="001D513F" w:rsidRDefault="001D513F">
        <w:pPr>
          <w:pStyle w:val="Header"/>
          <w:jc w:val="right"/>
          <w:rPr>
            <w:noProof/>
          </w:rPr>
        </w:pPr>
        <w:r>
          <w:fldChar w:fldCharType="begin"/>
        </w:r>
        <w:r>
          <w:instrText xml:space="preserve"> PAGE   \* MERGEFORMAT </w:instrText>
        </w:r>
        <w:r>
          <w:fldChar w:fldCharType="separate"/>
        </w:r>
        <w:r w:rsidR="00A6173D">
          <w:rPr>
            <w:noProof/>
          </w:rPr>
          <w:t>23</w:t>
        </w:r>
        <w:r>
          <w:rPr>
            <w:noProof/>
          </w:rPr>
          <w:fldChar w:fldCharType="end"/>
        </w:r>
      </w:p>
      <w:p w14:paraId="061D1010" w14:textId="22566897" w:rsidR="001D513F" w:rsidRDefault="001D513F">
        <w:pPr>
          <w:pStyle w:val="Header"/>
          <w:jc w:val="right"/>
          <w:rPr>
            <w:noProof/>
          </w:rPr>
        </w:pPr>
        <w:r>
          <w:rPr>
            <w:noProof/>
          </w:rPr>
          <w:t>H</w:t>
        </w:r>
        <w:r w:rsidR="00D356F4">
          <w:rPr>
            <w:noProof/>
          </w:rPr>
          <w:t>B 52-25</w:t>
        </w:r>
      </w:p>
      <w:p w14:paraId="34399325" w14:textId="018CFD12" w:rsidR="001D513F" w:rsidRDefault="001D513F">
        <w:pPr>
          <w:pStyle w:val="Header"/>
          <w:jc w:val="right"/>
        </w:pPr>
        <w:r>
          <w:rPr>
            <w:noProof/>
          </w:rPr>
          <w:t>HCBCR 3909/24</w:t>
        </w:r>
      </w:p>
    </w:sdtContent>
  </w:sdt>
  <w:p w14:paraId="4AF23103" w14:textId="77777777" w:rsidR="001D513F" w:rsidRDefault="001D51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50DC2"/>
    <w:multiLevelType w:val="multilevel"/>
    <w:tmpl w:val="0E0A0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D4513"/>
    <w:multiLevelType w:val="multilevel"/>
    <w:tmpl w:val="50261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14F94"/>
    <w:multiLevelType w:val="hybridMultilevel"/>
    <w:tmpl w:val="B2C6EC54"/>
    <w:lvl w:ilvl="0" w:tplc="884A08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000066"/>
    <w:multiLevelType w:val="multilevel"/>
    <w:tmpl w:val="D53860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70FE4"/>
    <w:multiLevelType w:val="hybridMultilevel"/>
    <w:tmpl w:val="5B5654F4"/>
    <w:lvl w:ilvl="0" w:tplc="FB7C5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D62198"/>
    <w:multiLevelType w:val="multilevel"/>
    <w:tmpl w:val="1110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0323A0"/>
    <w:multiLevelType w:val="multilevel"/>
    <w:tmpl w:val="D7F0C4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F90FCD"/>
    <w:multiLevelType w:val="multilevel"/>
    <w:tmpl w:val="D326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D5E93"/>
    <w:multiLevelType w:val="multilevel"/>
    <w:tmpl w:val="064AC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3F"/>
    <w:rsid w:val="00006E5C"/>
    <w:rsid w:val="00012868"/>
    <w:rsid w:val="000208D7"/>
    <w:rsid w:val="0002356F"/>
    <w:rsid w:val="00023E16"/>
    <w:rsid w:val="00027E3E"/>
    <w:rsid w:val="000472D3"/>
    <w:rsid w:val="00056C35"/>
    <w:rsid w:val="00060198"/>
    <w:rsid w:val="000630CA"/>
    <w:rsid w:val="00064D6E"/>
    <w:rsid w:val="0008251B"/>
    <w:rsid w:val="000976D7"/>
    <w:rsid w:val="000B19FE"/>
    <w:rsid w:val="000B72EF"/>
    <w:rsid w:val="000C3D85"/>
    <w:rsid w:val="000D3BF6"/>
    <w:rsid w:val="000D5BFE"/>
    <w:rsid w:val="000E2A74"/>
    <w:rsid w:val="00102EE6"/>
    <w:rsid w:val="00106CE5"/>
    <w:rsid w:val="00133F31"/>
    <w:rsid w:val="001406E6"/>
    <w:rsid w:val="00142F7C"/>
    <w:rsid w:val="00143181"/>
    <w:rsid w:val="001464A5"/>
    <w:rsid w:val="00163D43"/>
    <w:rsid w:val="0018331F"/>
    <w:rsid w:val="001873FC"/>
    <w:rsid w:val="00190EA4"/>
    <w:rsid w:val="001973B2"/>
    <w:rsid w:val="001B39B8"/>
    <w:rsid w:val="001C37FC"/>
    <w:rsid w:val="001C5026"/>
    <w:rsid w:val="001C6E87"/>
    <w:rsid w:val="001C716E"/>
    <w:rsid w:val="001D244E"/>
    <w:rsid w:val="001D513F"/>
    <w:rsid w:val="001E1059"/>
    <w:rsid w:val="001E274B"/>
    <w:rsid w:val="001F42E6"/>
    <w:rsid w:val="001F6C82"/>
    <w:rsid w:val="0020052C"/>
    <w:rsid w:val="002232BE"/>
    <w:rsid w:val="002405FD"/>
    <w:rsid w:val="0024082C"/>
    <w:rsid w:val="00244861"/>
    <w:rsid w:val="00245099"/>
    <w:rsid w:val="00251960"/>
    <w:rsid w:val="002578CF"/>
    <w:rsid w:val="00267245"/>
    <w:rsid w:val="00274DFE"/>
    <w:rsid w:val="0028041F"/>
    <w:rsid w:val="0028269E"/>
    <w:rsid w:val="00285488"/>
    <w:rsid w:val="002977A0"/>
    <w:rsid w:val="002A58B5"/>
    <w:rsid w:val="002C09DA"/>
    <w:rsid w:val="002C47EE"/>
    <w:rsid w:val="002E401B"/>
    <w:rsid w:val="002F2EB2"/>
    <w:rsid w:val="002F4D4D"/>
    <w:rsid w:val="003210A1"/>
    <w:rsid w:val="003252F7"/>
    <w:rsid w:val="0032656A"/>
    <w:rsid w:val="0032740D"/>
    <w:rsid w:val="003300AD"/>
    <w:rsid w:val="00331220"/>
    <w:rsid w:val="00331F5A"/>
    <w:rsid w:val="003454E4"/>
    <w:rsid w:val="003539FC"/>
    <w:rsid w:val="00371AAF"/>
    <w:rsid w:val="003770B7"/>
    <w:rsid w:val="00380E92"/>
    <w:rsid w:val="003839C9"/>
    <w:rsid w:val="00396A0A"/>
    <w:rsid w:val="003A0DEC"/>
    <w:rsid w:val="003B04E3"/>
    <w:rsid w:val="003B75F8"/>
    <w:rsid w:val="003C2974"/>
    <w:rsid w:val="003C2C9E"/>
    <w:rsid w:val="003D51F7"/>
    <w:rsid w:val="003E2610"/>
    <w:rsid w:val="003F28DC"/>
    <w:rsid w:val="003F5E9D"/>
    <w:rsid w:val="003F79EF"/>
    <w:rsid w:val="00402329"/>
    <w:rsid w:val="004072E1"/>
    <w:rsid w:val="00410C43"/>
    <w:rsid w:val="00426327"/>
    <w:rsid w:val="0043221C"/>
    <w:rsid w:val="00432583"/>
    <w:rsid w:val="00437025"/>
    <w:rsid w:val="0044469F"/>
    <w:rsid w:val="00451F87"/>
    <w:rsid w:val="004612E4"/>
    <w:rsid w:val="00467417"/>
    <w:rsid w:val="00494917"/>
    <w:rsid w:val="004A15DE"/>
    <w:rsid w:val="004B37A9"/>
    <w:rsid w:val="004B7C3E"/>
    <w:rsid w:val="004B7CC5"/>
    <w:rsid w:val="004C3A97"/>
    <w:rsid w:val="004D288D"/>
    <w:rsid w:val="004E0868"/>
    <w:rsid w:val="004E13FA"/>
    <w:rsid w:val="004E414A"/>
    <w:rsid w:val="004F7CB1"/>
    <w:rsid w:val="00507513"/>
    <w:rsid w:val="00507AFC"/>
    <w:rsid w:val="00511202"/>
    <w:rsid w:val="00515455"/>
    <w:rsid w:val="0051711B"/>
    <w:rsid w:val="00525939"/>
    <w:rsid w:val="005261B7"/>
    <w:rsid w:val="00541927"/>
    <w:rsid w:val="0054499D"/>
    <w:rsid w:val="00556E9F"/>
    <w:rsid w:val="00572BF6"/>
    <w:rsid w:val="005927D5"/>
    <w:rsid w:val="005946E8"/>
    <w:rsid w:val="00595168"/>
    <w:rsid w:val="005A02D7"/>
    <w:rsid w:val="005B2EC9"/>
    <w:rsid w:val="005B6C36"/>
    <w:rsid w:val="005C104B"/>
    <w:rsid w:val="005D518D"/>
    <w:rsid w:val="005F6679"/>
    <w:rsid w:val="00601D52"/>
    <w:rsid w:val="00604641"/>
    <w:rsid w:val="00614D25"/>
    <w:rsid w:val="0062003C"/>
    <w:rsid w:val="00621DA4"/>
    <w:rsid w:val="0063695D"/>
    <w:rsid w:val="006412DC"/>
    <w:rsid w:val="0066198A"/>
    <w:rsid w:val="0068015B"/>
    <w:rsid w:val="0068043A"/>
    <w:rsid w:val="0068487D"/>
    <w:rsid w:val="006A1942"/>
    <w:rsid w:val="006A49AE"/>
    <w:rsid w:val="006A622A"/>
    <w:rsid w:val="006A7088"/>
    <w:rsid w:val="006B1BE7"/>
    <w:rsid w:val="006B3A41"/>
    <w:rsid w:val="006B43A2"/>
    <w:rsid w:val="006B6636"/>
    <w:rsid w:val="006C4944"/>
    <w:rsid w:val="006D4925"/>
    <w:rsid w:val="006D533E"/>
    <w:rsid w:val="006E107F"/>
    <w:rsid w:val="006E29BB"/>
    <w:rsid w:val="006F0354"/>
    <w:rsid w:val="006F20C4"/>
    <w:rsid w:val="0071307D"/>
    <w:rsid w:val="00717549"/>
    <w:rsid w:val="00725E4C"/>
    <w:rsid w:val="007413B0"/>
    <w:rsid w:val="0074760B"/>
    <w:rsid w:val="00750B02"/>
    <w:rsid w:val="00750FD7"/>
    <w:rsid w:val="00751FEB"/>
    <w:rsid w:val="0076118E"/>
    <w:rsid w:val="0078225C"/>
    <w:rsid w:val="007924A1"/>
    <w:rsid w:val="007957E9"/>
    <w:rsid w:val="007A39AD"/>
    <w:rsid w:val="007A680E"/>
    <w:rsid w:val="007A6830"/>
    <w:rsid w:val="007B0021"/>
    <w:rsid w:val="007B2ABB"/>
    <w:rsid w:val="007C30F0"/>
    <w:rsid w:val="007C618D"/>
    <w:rsid w:val="007D2C59"/>
    <w:rsid w:val="007E2B54"/>
    <w:rsid w:val="007F1667"/>
    <w:rsid w:val="00801250"/>
    <w:rsid w:val="0080234A"/>
    <w:rsid w:val="008056CC"/>
    <w:rsid w:val="00811297"/>
    <w:rsid w:val="0081343D"/>
    <w:rsid w:val="008359D8"/>
    <w:rsid w:val="00836234"/>
    <w:rsid w:val="0084014A"/>
    <w:rsid w:val="008750A7"/>
    <w:rsid w:val="008763B6"/>
    <w:rsid w:val="008777F8"/>
    <w:rsid w:val="00887DBD"/>
    <w:rsid w:val="0089150E"/>
    <w:rsid w:val="00896052"/>
    <w:rsid w:val="008A6C61"/>
    <w:rsid w:val="008B3F34"/>
    <w:rsid w:val="008C3820"/>
    <w:rsid w:val="008C3F91"/>
    <w:rsid w:val="008E1A19"/>
    <w:rsid w:val="009079A2"/>
    <w:rsid w:val="00913EB6"/>
    <w:rsid w:val="00916144"/>
    <w:rsid w:val="00916417"/>
    <w:rsid w:val="00923781"/>
    <w:rsid w:val="00931FC7"/>
    <w:rsid w:val="009320E1"/>
    <w:rsid w:val="009343C5"/>
    <w:rsid w:val="009506B6"/>
    <w:rsid w:val="0095365E"/>
    <w:rsid w:val="0096138B"/>
    <w:rsid w:val="009626B3"/>
    <w:rsid w:val="00962F84"/>
    <w:rsid w:val="009726E5"/>
    <w:rsid w:val="00972E3D"/>
    <w:rsid w:val="00974A44"/>
    <w:rsid w:val="009835F1"/>
    <w:rsid w:val="009A0AC7"/>
    <w:rsid w:val="009A31CF"/>
    <w:rsid w:val="009A34FF"/>
    <w:rsid w:val="009B13BE"/>
    <w:rsid w:val="009B713E"/>
    <w:rsid w:val="009C0882"/>
    <w:rsid w:val="009D1F1C"/>
    <w:rsid w:val="009E082C"/>
    <w:rsid w:val="009E21FB"/>
    <w:rsid w:val="009E7F06"/>
    <w:rsid w:val="00A00364"/>
    <w:rsid w:val="00A04E2A"/>
    <w:rsid w:val="00A10822"/>
    <w:rsid w:val="00A12B5A"/>
    <w:rsid w:val="00A17FBD"/>
    <w:rsid w:val="00A239E0"/>
    <w:rsid w:val="00A4466B"/>
    <w:rsid w:val="00A6173D"/>
    <w:rsid w:val="00A721AD"/>
    <w:rsid w:val="00A8048E"/>
    <w:rsid w:val="00AB0CB7"/>
    <w:rsid w:val="00AB6FD3"/>
    <w:rsid w:val="00AC3E74"/>
    <w:rsid w:val="00AD4542"/>
    <w:rsid w:val="00AD5B56"/>
    <w:rsid w:val="00AF1817"/>
    <w:rsid w:val="00AF268C"/>
    <w:rsid w:val="00AF7137"/>
    <w:rsid w:val="00B0095F"/>
    <w:rsid w:val="00B00EFD"/>
    <w:rsid w:val="00B1031D"/>
    <w:rsid w:val="00B14A76"/>
    <w:rsid w:val="00B15AB2"/>
    <w:rsid w:val="00B23BC6"/>
    <w:rsid w:val="00B3191D"/>
    <w:rsid w:val="00B346FA"/>
    <w:rsid w:val="00B5012D"/>
    <w:rsid w:val="00B513C6"/>
    <w:rsid w:val="00B62EF6"/>
    <w:rsid w:val="00B74241"/>
    <w:rsid w:val="00B80D8C"/>
    <w:rsid w:val="00B80ED1"/>
    <w:rsid w:val="00B86B3C"/>
    <w:rsid w:val="00B90252"/>
    <w:rsid w:val="00BA07EF"/>
    <w:rsid w:val="00BA437F"/>
    <w:rsid w:val="00BB63BE"/>
    <w:rsid w:val="00BB7977"/>
    <w:rsid w:val="00BD20E7"/>
    <w:rsid w:val="00BD54F8"/>
    <w:rsid w:val="00BE6928"/>
    <w:rsid w:val="00BF4BE3"/>
    <w:rsid w:val="00BF680E"/>
    <w:rsid w:val="00C00499"/>
    <w:rsid w:val="00C05EFB"/>
    <w:rsid w:val="00C11E14"/>
    <w:rsid w:val="00C12EC3"/>
    <w:rsid w:val="00C1770B"/>
    <w:rsid w:val="00C22E63"/>
    <w:rsid w:val="00C375B2"/>
    <w:rsid w:val="00C402AC"/>
    <w:rsid w:val="00C463C9"/>
    <w:rsid w:val="00C55FE2"/>
    <w:rsid w:val="00C666DF"/>
    <w:rsid w:val="00C75B71"/>
    <w:rsid w:val="00C93773"/>
    <w:rsid w:val="00CA2243"/>
    <w:rsid w:val="00CA4C60"/>
    <w:rsid w:val="00CB1B1A"/>
    <w:rsid w:val="00CC0092"/>
    <w:rsid w:val="00CC1C57"/>
    <w:rsid w:val="00CC37E4"/>
    <w:rsid w:val="00CC4EA8"/>
    <w:rsid w:val="00CE1BE5"/>
    <w:rsid w:val="00CE3676"/>
    <w:rsid w:val="00CE37DB"/>
    <w:rsid w:val="00D0154A"/>
    <w:rsid w:val="00D21C74"/>
    <w:rsid w:val="00D31256"/>
    <w:rsid w:val="00D356F4"/>
    <w:rsid w:val="00D36BF2"/>
    <w:rsid w:val="00D37A6B"/>
    <w:rsid w:val="00D47670"/>
    <w:rsid w:val="00D538EB"/>
    <w:rsid w:val="00D540EB"/>
    <w:rsid w:val="00D616D5"/>
    <w:rsid w:val="00D764A9"/>
    <w:rsid w:val="00D76938"/>
    <w:rsid w:val="00D76E8F"/>
    <w:rsid w:val="00D81C3A"/>
    <w:rsid w:val="00D838D0"/>
    <w:rsid w:val="00D85237"/>
    <w:rsid w:val="00D87294"/>
    <w:rsid w:val="00DA517D"/>
    <w:rsid w:val="00DB7F02"/>
    <w:rsid w:val="00DC21ED"/>
    <w:rsid w:val="00DC3843"/>
    <w:rsid w:val="00DC46D1"/>
    <w:rsid w:val="00DC724B"/>
    <w:rsid w:val="00DD3737"/>
    <w:rsid w:val="00DD435D"/>
    <w:rsid w:val="00DE418E"/>
    <w:rsid w:val="00E00961"/>
    <w:rsid w:val="00E11DC0"/>
    <w:rsid w:val="00E12A11"/>
    <w:rsid w:val="00E21FC4"/>
    <w:rsid w:val="00E2341C"/>
    <w:rsid w:val="00E25432"/>
    <w:rsid w:val="00E33B27"/>
    <w:rsid w:val="00E45F5C"/>
    <w:rsid w:val="00E5583C"/>
    <w:rsid w:val="00E71B94"/>
    <w:rsid w:val="00E7324E"/>
    <w:rsid w:val="00E80531"/>
    <w:rsid w:val="00E95FDD"/>
    <w:rsid w:val="00EA122E"/>
    <w:rsid w:val="00EA297C"/>
    <w:rsid w:val="00EB38C2"/>
    <w:rsid w:val="00EB7A48"/>
    <w:rsid w:val="00EC0E21"/>
    <w:rsid w:val="00EC489A"/>
    <w:rsid w:val="00EC6B7B"/>
    <w:rsid w:val="00EC782D"/>
    <w:rsid w:val="00EF0DC4"/>
    <w:rsid w:val="00F10B4E"/>
    <w:rsid w:val="00F16D0B"/>
    <w:rsid w:val="00F205F9"/>
    <w:rsid w:val="00F23807"/>
    <w:rsid w:val="00F333FB"/>
    <w:rsid w:val="00F3513A"/>
    <w:rsid w:val="00F4349A"/>
    <w:rsid w:val="00F4414B"/>
    <w:rsid w:val="00F548CA"/>
    <w:rsid w:val="00F6095A"/>
    <w:rsid w:val="00F63081"/>
    <w:rsid w:val="00F71CCA"/>
    <w:rsid w:val="00F7510A"/>
    <w:rsid w:val="00F774FF"/>
    <w:rsid w:val="00F96E36"/>
    <w:rsid w:val="00F97109"/>
    <w:rsid w:val="00FB42CC"/>
    <w:rsid w:val="00FC4DEC"/>
    <w:rsid w:val="00FD163B"/>
    <w:rsid w:val="00FE29B7"/>
    <w:rsid w:val="00FE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F04C"/>
  <w15:chartTrackingRefBased/>
  <w15:docId w15:val="{F51B2F14-4B6E-4CAC-B2E1-78C526E9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13F"/>
    <w:pPr>
      <w:spacing w:line="360" w:lineRule="auto"/>
      <w:ind w:left="720"/>
      <w:jc w:val="both"/>
    </w:pPr>
    <w:rPr>
      <w:rFonts w:ascii="Times New Roman" w:hAnsi="Times New Roman"/>
      <w:szCs w:val="22"/>
      <w:lang w:val="en-ZW"/>
    </w:rPr>
  </w:style>
  <w:style w:type="paragraph" w:styleId="Heading1">
    <w:name w:val="heading 1"/>
    <w:basedOn w:val="Normal"/>
    <w:next w:val="Normal"/>
    <w:link w:val="Heading1Char"/>
    <w:uiPriority w:val="9"/>
    <w:qFormat/>
    <w:rsid w:val="001D51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1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1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1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1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1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1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1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1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1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13F"/>
    <w:rPr>
      <w:rFonts w:eastAsiaTheme="majorEastAsia" w:cstheme="majorBidi"/>
      <w:color w:val="272727" w:themeColor="text1" w:themeTint="D8"/>
    </w:rPr>
  </w:style>
  <w:style w:type="paragraph" w:styleId="Title">
    <w:name w:val="Title"/>
    <w:basedOn w:val="Normal"/>
    <w:next w:val="Normal"/>
    <w:link w:val="TitleChar"/>
    <w:uiPriority w:val="10"/>
    <w:qFormat/>
    <w:rsid w:val="001D5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13F"/>
    <w:pPr>
      <w:numPr>
        <w:ilvl w:val="1"/>
      </w:numPr>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13F"/>
    <w:pPr>
      <w:spacing w:before="160"/>
      <w:jc w:val="center"/>
    </w:pPr>
    <w:rPr>
      <w:i/>
      <w:iCs/>
      <w:color w:val="404040" w:themeColor="text1" w:themeTint="BF"/>
    </w:rPr>
  </w:style>
  <w:style w:type="character" w:customStyle="1" w:styleId="QuoteChar">
    <w:name w:val="Quote Char"/>
    <w:basedOn w:val="DefaultParagraphFont"/>
    <w:link w:val="Quote"/>
    <w:uiPriority w:val="29"/>
    <w:rsid w:val="001D513F"/>
    <w:rPr>
      <w:i/>
      <w:iCs/>
      <w:color w:val="404040" w:themeColor="text1" w:themeTint="BF"/>
    </w:rPr>
  </w:style>
  <w:style w:type="paragraph" w:styleId="ListParagraph">
    <w:name w:val="List Paragraph"/>
    <w:basedOn w:val="Normal"/>
    <w:uiPriority w:val="34"/>
    <w:qFormat/>
    <w:rsid w:val="001D513F"/>
    <w:pPr>
      <w:contextualSpacing/>
    </w:pPr>
  </w:style>
  <w:style w:type="character" w:styleId="IntenseEmphasis">
    <w:name w:val="Intense Emphasis"/>
    <w:basedOn w:val="DefaultParagraphFont"/>
    <w:uiPriority w:val="21"/>
    <w:qFormat/>
    <w:rsid w:val="001D513F"/>
    <w:rPr>
      <w:i/>
      <w:iCs/>
      <w:color w:val="2F5496" w:themeColor="accent1" w:themeShade="BF"/>
    </w:rPr>
  </w:style>
  <w:style w:type="paragraph" w:styleId="IntenseQuote">
    <w:name w:val="Intense Quote"/>
    <w:basedOn w:val="Normal"/>
    <w:next w:val="Normal"/>
    <w:link w:val="IntenseQuoteChar"/>
    <w:uiPriority w:val="30"/>
    <w:qFormat/>
    <w:rsid w:val="001D5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13F"/>
    <w:rPr>
      <w:i/>
      <w:iCs/>
      <w:color w:val="2F5496" w:themeColor="accent1" w:themeShade="BF"/>
    </w:rPr>
  </w:style>
  <w:style w:type="character" w:styleId="IntenseReference">
    <w:name w:val="Intense Reference"/>
    <w:basedOn w:val="DefaultParagraphFont"/>
    <w:uiPriority w:val="32"/>
    <w:qFormat/>
    <w:rsid w:val="001D513F"/>
    <w:rPr>
      <w:b/>
      <w:bCs/>
      <w:smallCaps/>
      <w:color w:val="2F5496" w:themeColor="accent1" w:themeShade="BF"/>
      <w:spacing w:val="5"/>
    </w:rPr>
  </w:style>
  <w:style w:type="paragraph" w:styleId="Header">
    <w:name w:val="header"/>
    <w:basedOn w:val="Normal"/>
    <w:link w:val="HeaderChar"/>
    <w:uiPriority w:val="99"/>
    <w:unhideWhenUsed/>
    <w:rsid w:val="001D5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3F"/>
    <w:rPr>
      <w:rFonts w:ascii="Times New Roman" w:hAnsi="Times New Roman"/>
      <w:szCs w:val="22"/>
      <w:lang w:val="en-ZW"/>
    </w:rPr>
  </w:style>
  <w:style w:type="paragraph" w:styleId="Footer">
    <w:name w:val="footer"/>
    <w:basedOn w:val="Normal"/>
    <w:link w:val="FooterChar"/>
    <w:uiPriority w:val="99"/>
    <w:unhideWhenUsed/>
    <w:rsid w:val="001D5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3F"/>
    <w:rPr>
      <w:rFonts w:ascii="Times New Roman" w:hAnsi="Times New Roman"/>
      <w:szCs w:val="22"/>
      <w:lang w:val="en-ZW"/>
    </w:rPr>
  </w:style>
  <w:style w:type="paragraph" w:styleId="NoSpacing">
    <w:name w:val="No Spacing"/>
    <w:uiPriority w:val="1"/>
    <w:qFormat/>
    <w:rsid w:val="003770B7"/>
    <w:pPr>
      <w:spacing w:after="0" w:line="240" w:lineRule="auto"/>
    </w:pPr>
    <w:rPr>
      <w:kern w:val="0"/>
      <w:sz w:val="22"/>
      <w:szCs w:val="22"/>
      <w14:ligatures w14:val="none"/>
    </w:rPr>
  </w:style>
  <w:style w:type="paragraph" w:styleId="NormalWeb">
    <w:name w:val="Normal (Web)"/>
    <w:basedOn w:val="Normal"/>
    <w:uiPriority w:val="99"/>
    <w:unhideWhenUsed/>
    <w:rsid w:val="004612E4"/>
    <w:pPr>
      <w:spacing w:before="100" w:beforeAutospacing="1" w:after="100" w:afterAutospacing="1" w:line="240" w:lineRule="auto"/>
      <w:ind w:left="0"/>
      <w:jc w:val="left"/>
    </w:pPr>
    <w:rPr>
      <w:rFonts w:eastAsia="Times New Roman" w:cs="Times New Roman"/>
      <w:kern w:val="0"/>
      <w:szCs w:val="24"/>
      <w:lang w:eastAsia="en-ZW"/>
      <w14:ligatures w14:val="none"/>
    </w:rPr>
  </w:style>
  <w:style w:type="paragraph" w:styleId="FootnoteText">
    <w:name w:val="footnote text"/>
    <w:basedOn w:val="Normal"/>
    <w:link w:val="FootnoteTextChar"/>
    <w:uiPriority w:val="99"/>
    <w:semiHidden/>
    <w:unhideWhenUsed/>
    <w:rsid w:val="00BD54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4F8"/>
    <w:rPr>
      <w:rFonts w:ascii="Times New Roman" w:hAnsi="Times New Roman"/>
      <w:sz w:val="20"/>
      <w:szCs w:val="20"/>
      <w:lang w:val="en-ZW"/>
    </w:rPr>
  </w:style>
  <w:style w:type="character" w:styleId="FootnoteReference">
    <w:name w:val="footnote reference"/>
    <w:basedOn w:val="DefaultParagraphFont"/>
    <w:uiPriority w:val="99"/>
    <w:semiHidden/>
    <w:unhideWhenUsed/>
    <w:rsid w:val="00BD54F8"/>
    <w:rPr>
      <w:vertAlign w:val="superscript"/>
    </w:rPr>
  </w:style>
  <w:style w:type="character" w:styleId="Hyperlink">
    <w:name w:val="Hyperlink"/>
    <w:basedOn w:val="DefaultParagraphFont"/>
    <w:uiPriority w:val="99"/>
    <w:unhideWhenUsed/>
    <w:rsid w:val="0068487D"/>
    <w:rPr>
      <w:color w:val="0563C1" w:themeColor="hyperlink"/>
      <w:u w:val="single"/>
    </w:rPr>
  </w:style>
  <w:style w:type="character" w:customStyle="1" w:styleId="UnresolvedMention">
    <w:name w:val="Unresolved Mention"/>
    <w:basedOn w:val="DefaultParagraphFont"/>
    <w:uiPriority w:val="99"/>
    <w:semiHidden/>
    <w:unhideWhenUsed/>
    <w:rsid w:val="0068487D"/>
    <w:rPr>
      <w:color w:val="605E5C"/>
      <w:shd w:val="clear" w:color="auto" w:fill="E1DFDD"/>
    </w:rPr>
  </w:style>
  <w:style w:type="character" w:styleId="CommentReference">
    <w:name w:val="annotation reference"/>
    <w:basedOn w:val="DefaultParagraphFont"/>
    <w:uiPriority w:val="99"/>
    <w:semiHidden/>
    <w:unhideWhenUsed/>
    <w:rsid w:val="00EF0DC4"/>
    <w:rPr>
      <w:sz w:val="16"/>
      <w:szCs w:val="16"/>
    </w:rPr>
  </w:style>
  <w:style w:type="paragraph" w:styleId="CommentText">
    <w:name w:val="annotation text"/>
    <w:basedOn w:val="Normal"/>
    <w:link w:val="CommentTextChar"/>
    <w:uiPriority w:val="99"/>
    <w:semiHidden/>
    <w:unhideWhenUsed/>
    <w:rsid w:val="00EF0DC4"/>
    <w:pPr>
      <w:spacing w:line="240" w:lineRule="auto"/>
    </w:pPr>
    <w:rPr>
      <w:sz w:val="20"/>
      <w:szCs w:val="20"/>
    </w:rPr>
  </w:style>
  <w:style w:type="character" w:customStyle="1" w:styleId="CommentTextChar">
    <w:name w:val="Comment Text Char"/>
    <w:basedOn w:val="DefaultParagraphFont"/>
    <w:link w:val="CommentText"/>
    <w:uiPriority w:val="99"/>
    <w:semiHidden/>
    <w:rsid w:val="00EF0DC4"/>
    <w:rPr>
      <w:rFonts w:ascii="Times New Roman" w:hAnsi="Times New Roman"/>
      <w:sz w:val="20"/>
      <w:szCs w:val="20"/>
      <w:lang w:val="en-ZW"/>
    </w:rPr>
  </w:style>
  <w:style w:type="paragraph" w:styleId="CommentSubject">
    <w:name w:val="annotation subject"/>
    <w:basedOn w:val="CommentText"/>
    <w:next w:val="CommentText"/>
    <w:link w:val="CommentSubjectChar"/>
    <w:uiPriority w:val="99"/>
    <w:semiHidden/>
    <w:unhideWhenUsed/>
    <w:rsid w:val="00EF0DC4"/>
    <w:rPr>
      <w:b/>
      <w:bCs/>
    </w:rPr>
  </w:style>
  <w:style w:type="character" w:customStyle="1" w:styleId="CommentSubjectChar">
    <w:name w:val="Comment Subject Char"/>
    <w:basedOn w:val="CommentTextChar"/>
    <w:link w:val="CommentSubject"/>
    <w:uiPriority w:val="99"/>
    <w:semiHidden/>
    <w:rsid w:val="00EF0DC4"/>
    <w:rPr>
      <w:rFonts w:ascii="Times New Roman" w:hAnsi="Times New Roman"/>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2019">
      <w:bodyDiv w:val="1"/>
      <w:marLeft w:val="0"/>
      <w:marRight w:val="0"/>
      <w:marTop w:val="0"/>
      <w:marBottom w:val="0"/>
      <w:divBdr>
        <w:top w:val="none" w:sz="0" w:space="0" w:color="auto"/>
        <w:left w:val="none" w:sz="0" w:space="0" w:color="auto"/>
        <w:bottom w:val="none" w:sz="0" w:space="0" w:color="auto"/>
        <w:right w:val="none" w:sz="0" w:space="0" w:color="auto"/>
      </w:divBdr>
    </w:div>
    <w:div w:id="45496287">
      <w:bodyDiv w:val="1"/>
      <w:marLeft w:val="0"/>
      <w:marRight w:val="0"/>
      <w:marTop w:val="0"/>
      <w:marBottom w:val="0"/>
      <w:divBdr>
        <w:top w:val="none" w:sz="0" w:space="0" w:color="auto"/>
        <w:left w:val="none" w:sz="0" w:space="0" w:color="auto"/>
        <w:bottom w:val="none" w:sz="0" w:space="0" w:color="auto"/>
        <w:right w:val="none" w:sz="0" w:space="0" w:color="auto"/>
      </w:divBdr>
    </w:div>
    <w:div w:id="218368528">
      <w:bodyDiv w:val="1"/>
      <w:marLeft w:val="0"/>
      <w:marRight w:val="0"/>
      <w:marTop w:val="0"/>
      <w:marBottom w:val="0"/>
      <w:divBdr>
        <w:top w:val="none" w:sz="0" w:space="0" w:color="auto"/>
        <w:left w:val="none" w:sz="0" w:space="0" w:color="auto"/>
        <w:bottom w:val="none" w:sz="0" w:space="0" w:color="auto"/>
        <w:right w:val="none" w:sz="0" w:space="0" w:color="auto"/>
      </w:divBdr>
      <w:divsChild>
        <w:div w:id="1270506476">
          <w:marLeft w:val="0"/>
          <w:marRight w:val="0"/>
          <w:marTop w:val="0"/>
          <w:marBottom w:val="0"/>
          <w:divBdr>
            <w:top w:val="none" w:sz="0" w:space="0" w:color="auto"/>
            <w:left w:val="none" w:sz="0" w:space="0" w:color="auto"/>
            <w:bottom w:val="none" w:sz="0" w:space="0" w:color="auto"/>
            <w:right w:val="none" w:sz="0" w:space="0" w:color="auto"/>
          </w:divBdr>
          <w:divsChild>
            <w:div w:id="13333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9749">
      <w:bodyDiv w:val="1"/>
      <w:marLeft w:val="0"/>
      <w:marRight w:val="0"/>
      <w:marTop w:val="0"/>
      <w:marBottom w:val="0"/>
      <w:divBdr>
        <w:top w:val="none" w:sz="0" w:space="0" w:color="auto"/>
        <w:left w:val="none" w:sz="0" w:space="0" w:color="auto"/>
        <w:bottom w:val="none" w:sz="0" w:space="0" w:color="auto"/>
        <w:right w:val="none" w:sz="0" w:space="0" w:color="auto"/>
      </w:divBdr>
    </w:div>
    <w:div w:id="247886581">
      <w:bodyDiv w:val="1"/>
      <w:marLeft w:val="0"/>
      <w:marRight w:val="0"/>
      <w:marTop w:val="0"/>
      <w:marBottom w:val="0"/>
      <w:divBdr>
        <w:top w:val="none" w:sz="0" w:space="0" w:color="auto"/>
        <w:left w:val="none" w:sz="0" w:space="0" w:color="auto"/>
        <w:bottom w:val="none" w:sz="0" w:space="0" w:color="auto"/>
        <w:right w:val="none" w:sz="0" w:space="0" w:color="auto"/>
      </w:divBdr>
    </w:div>
    <w:div w:id="304554121">
      <w:bodyDiv w:val="1"/>
      <w:marLeft w:val="0"/>
      <w:marRight w:val="0"/>
      <w:marTop w:val="0"/>
      <w:marBottom w:val="0"/>
      <w:divBdr>
        <w:top w:val="none" w:sz="0" w:space="0" w:color="auto"/>
        <w:left w:val="none" w:sz="0" w:space="0" w:color="auto"/>
        <w:bottom w:val="none" w:sz="0" w:space="0" w:color="auto"/>
        <w:right w:val="none" w:sz="0" w:space="0" w:color="auto"/>
      </w:divBdr>
    </w:div>
    <w:div w:id="353701391">
      <w:bodyDiv w:val="1"/>
      <w:marLeft w:val="0"/>
      <w:marRight w:val="0"/>
      <w:marTop w:val="0"/>
      <w:marBottom w:val="0"/>
      <w:divBdr>
        <w:top w:val="none" w:sz="0" w:space="0" w:color="auto"/>
        <w:left w:val="none" w:sz="0" w:space="0" w:color="auto"/>
        <w:bottom w:val="none" w:sz="0" w:space="0" w:color="auto"/>
        <w:right w:val="none" w:sz="0" w:space="0" w:color="auto"/>
      </w:divBdr>
    </w:div>
    <w:div w:id="367608750">
      <w:bodyDiv w:val="1"/>
      <w:marLeft w:val="0"/>
      <w:marRight w:val="0"/>
      <w:marTop w:val="0"/>
      <w:marBottom w:val="0"/>
      <w:divBdr>
        <w:top w:val="none" w:sz="0" w:space="0" w:color="auto"/>
        <w:left w:val="none" w:sz="0" w:space="0" w:color="auto"/>
        <w:bottom w:val="none" w:sz="0" w:space="0" w:color="auto"/>
        <w:right w:val="none" w:sz="0" w:space="0" w:color="auto"/>
      </w:divBdr>
      <w:divsChild>
        <w:div w:id="571357108">
          <w:marLeft w:val="0"/>
          <w:marRight w:val="0"/>
          <w:marTop w:val="0"/>
          <w:marBottom w:val="0"/>
          <w:divBdr>
            <w:top w:val="none" w:sz="0" w:space="0" w:color="auto"/>
            <w:left w:val="none" w:sz="0" w:space="0" w:color="auto"/>
            <w:bottom w:val="none" w:sz="0" w:space="0" w:color="auto"/>
            <w:right w:val="none" w:sz="0" w:space="0" w:color="auto"/>
          </w:divBdr>
          <w:divsChild>
            <w:div w:id="5515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7609">
      <w:bodyDiv w:val="1"/>
      <w:marLeft w:val="0"/>
      <w:marRight w:val="0"/>
      <w:marTop w:val="0"/>
      <w:marBottom w:val="0"/>
      <w:divBdr>
        <w:top w:val="none" w:sz="0" w:space="0" w:color="auto"/>
        <w:left w:val="none" w:sz="0" w:space="0" w:color="auto"/>
        <w:bottom w:val="none" w:sz="0" w:space="0" w:color="auto"/>
        <w:right w:val="none" w:sz="0" w:space="0" w:color="auto"/>
      </w:divBdr>
    </w:div>
    <w:div w:id="733940738">
      <w:bodyDiv w:val="1"/>
      <w:marLeft w:val="0"/>
      <w:marRight w:val="0"/>
      <w:marTop w:val="0"/>
      <w:marBottom w:val="0"/>
      <w:divBdr>
        <w:top w:val="none" w:sz="0" w:space="0" w:color="auto"/>
        <w:left w:val="none" w:sz="0" w:space="0" w:color="auto"/>
        <w:bottom w:val="none" w:sz="0" w:space="0" w:color="auto"/>
        <w:right w:val="none" w:sz="0" w:space="0" w:color="auto"/>
      </w:divBdr>
    </w:div>
    <w:div w:id="802037321">
      <w:bodyDiv w:val="1"/>
      <w:marLeft w:val="0"/>
      <w:marRight w:val="0"/>
      <w:marTop w:val="0"/>
      <w:marBottom w:val="0"/>
      <w:divBdr>
        <w:top w:val="none" w:sz="0" w:space="0" w:color="auto"/>
        <w:left w:val="none" w:sz="0" w:space="0" w:color="auto"/>
        <w:bottom w:val="none" w:sz="0" w:space="0" w:color="auto"/>
        <w:right w:val="none" w:sz="0" w:space="0" w:color="auto"/>
      </w:divBdr>
    </w:div>
    <w:div w:id="897206146">
      <w:bodyDiv w:val="1"/>
      <w:marLeft w:val="0"/>
      <w:marRight w:val="0"/>
      <w:marTop w:val="0"/>
      <w:marBottom w:val="0"/>
      <w:divBdr>
        <w:top w:val="none" w:sz="0" w:space="0" w:color="auto"/>
        <w:left w:val="none" w:sz="0" w:space="0" w:color="auto"/>
        <w:bottom w:val="none" w:sz="0" w:space="0" w:color="auto"/>
        <w:right w:val="none" w:sz="0" w:space="0" w:color="auto"/>
      </w:divBdr>
      <w:divsChild>
        <w:div w:id="2095199711">
          <w:marLeft w:val="0"/>
          <w:marRight w:val="0"/>
          <w:marTop w:val="0"/>
          <w:marBottom w:val="0"/>
          <w:divBdr>
            <w:top w:val="none" w:sz="0" w:space="0" w:color="auto"/>
            <w:left w:val="none" w:sz="0" w:space="0" w:color="auto"/>
            <w:bottom w:val="none" w:sz="0" w:space="0" w:color="auto"/>
            <w:right w:val="none" w:sz="0" w:space="0" w:color="auto"/>
          </w:divBdr>
          <w:divsChild>
            <w:div w:id="3806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4297">
      <w:bodyDiv w:val="1"/>
      <w:marLeft w:val="0"/>
      <w:marRight w:val="0"/>
      <w:marTop w:val="0"/>
      <w:marBottom w:val="0"/>
      <w:divBdr>
        <w:top w:val="none" w:sz="0" w:space="0" w:color="auto"/>
        <w:left w:val="none" w:sz="0" w:space="0" w:color="auto"/>
        <w:bottom w:val="none" w:sz="0" w:space="0" w:color="auto"/>
        <w:right w:val="none" w:sz="0" w:space="0" w:color="auto"/>
      </w:divBdr>
    </w:div>
    <w:div w:id="1359821056">
      <w:bodyDiv w:val="1"/>
      <w:marLeft w:val="0"/>
      <w:marRight w:val="0"/>
      <w:marTop w:val="0"/>
      <w:marBottom w:val="0"/>
      <w:divBdr>
        <w:top w:val="none" w:sz="0" w:space="0" w:color="auto"/>
        <w:left w:val="none" w:sz="0" w:space="0" w:color="auto"/>
        <w:bottom w:val="none" w:sz="0" w:space="0" w:color="auto"/>
        <w:right w:val="none" w:sz="0" w:space="0" w:color="auto"/>
      </w:divBdr>
    </w:div>
    <w:div w:id="1375082420">
      <w:bodyDiv w:val="1"/>
      <w:marLeft w:val="0"/>
      <w:marRight w:val="0"/>
      <w:marTop w:val="0"/>
      <w:marBottom w:val="0"/>
      <w:divBdr>
        <w:top w:val="none" w:sz="0" w:space="0" w:color="auto"/>
        <w:left w:val="none" w:sz="0" w:space="0" w:color="auto"/>
        <w:bottom w:val="none" w:sz="0" w:space="0" w:color="auto"/>
        <w:right w:val="none" w:sz="0" w:space="0" w:color="auto"/>
      </w:divBdr>
    </w:div>
    <w:div w:id="1484665052">
      <w:bodyDiv w:val="1"/>
      <w:marLeft w:val="0"/>
      <w:marRight w:val="0"/>
      <w:marTop w:val="0"/>
      <w:marBottom w:val="0"/>
      <w:divBdr>
        <w:top w:val="none" w:sz="0" w:space="0" w:color="auto"/>
        <w:left w:val="none" w:sz="0" w:space="0" w:color="auto"/>
        <w:bottom w:val="none" w:sz="0" w:space="0" w:color="auto"/>
        <w:right w:val="none" w:sz="0" w:space="0" w:color="auto"/>
      </w:divBdr>
    </w:div>
    <w:div w:id="1554540002">
      <w:bodyDiv w:val="1"/>
      <w:marLeft w:val="0"/>
      <w:marRight w:val="0"/>
      <w:marTop w:val="0"/>
      <w:marBottom w:val="0"/>
      <w:divBdr>
        <w:top w:val="none" w:sz="0" w:space="0" w:color="auto"/>
        <w:left w:val="none" w:sz="0" w:space="0" w:color="auto"/>
        <w:bottom w:val="none" w:sz="0" w:space="0" w:color="auto"/>
        <w:right w:val="none" w:sz="0" w:space="0" w:color="auto"/>
      </w:divBdr>
    </w:div>
    <w:div w:id="1590700029">
      <w:bodyDiv w:val="1"/>
      <w:marLeft w:val="0"/>
      <w:marRight w:val="0"/>
      <w:marTop w:val="0"/>
      <w:marBottom w:val="0"/>
      <w:divBdr>
        <w:top w:val="none" w:sz="0" w:space="0" w:color="auto"/>
        <w:left w:val="none" w:sz="0" w:space="0" w:color="auto"/>
        <w:bottom w:val="none" w:sz="0" w:space="0" w:color="auto"/>
        <w:right w:val="none" w:sz="0" w:space="0" w:color="auto"/>
      </w:divBdr>
    </w:div>
    <w:div w:id="2041130561">
      <w:bodyDiv w:val="1"/>
      <w:marLeft w:val="0"/>
      <w:marRight w:val="0"/>
      <w:marTop w:val="0"/>
      <w:marBottom w:val="0"/>
      <w:divBdr>
        <w:top w:val="none" w:sz="0" w:space="0" w:color="auto"/>
        <w:left w:val="none" w:sz="0" w:space="0" w:color="auto"/>
        <w:bottom w:val="none" w:sz="0" w:space="0" w:color="auto"/>
        <w:right w:val="none" w:sz="0" w:space="0" w:color="auto"/>
      </w:divBdr>
    </w:div>
    <w:div w:id="20726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y.clevelandclinic.org" TargetMode="External"/><Relationship Id="rId1" Type="http://schemas.openxmlformats.org/officeDocument/2006/relationships/hyperlink" Target="https://emedicine.med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7E389-71D0-4590-9CDE-674748F7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7440</TotalTime>
  <Pages>1</Pages>
  <Words>12401</Words>
  <Characters>70689</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usr</cp:lastModifiedBy>
  <cp:revision>313</cp:revision>
  <dcterms:created xsi:type="dcterms:W3CDTF">2025-04-03T05:28:00Z</dcterms:created>
  <dcterms:modified xsi:type="dcterms:W3CDTF">2025-04-10T07:29:00Z</dcterms:modified>
</cp:coreProperties>
</file>