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8B5C35"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8B5C35"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ADVANCE ADVOCATE MHUNGU</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8B5C35">
        <w:rPr>
          <w:rFonts w:ascii="Times New Roman" w:hAnsi="Times New Roman" w:cs="Times New Roman"/>
          <w:sz w:val="24"/>
          <w:szCs w:val="24"/>
        </w:rPr>
        <w:t>1</w:t>
      </w:r>
      <w:r w:rsidR="008320FC">
        <w:rPr>
          <w:rFonts w:ascii="Times New Roman" w:hAnsi="Times New Roman" w:cs="Times New Roman"/>
          <w:sz w:val="24"/>
          <w:szCs w:val="24"/>
        </w:rPr>
        <w:t>4</w:t>
      </w:r>
      <w:r w:rsidR="00B47349">
        <w:rPr>
          <w:rFonts w:ascii="Times New Roman" w:hAnsi="Times New Roman" w:cs="Times New Roman"/>
          <w:sz w:val="24"/>
          <w:szCs w:val="24"/>
        </w:rPr>
        <w:t xml:space="preserve"> </w:t>
      </w:r>
      <w:r w:rsidR="007F34CF">
        <w:rPr>
          <w:rFonts w:ascii="Times New Roman" w:hAnsi="Times New Roman" w:cs="Times New Roman"/>
          <w:sz w:val="24"/>
          <w:szCs w:val="24"/>
        </w:rPr>
        <w:t xml:space="preserve">November </w:t>
      </w:r>
      <w:r w:rsidR="00114BE4">
        <w:rPr>
          <w:rFonts w:ascii="Times New Roman" w:hAnsi="Times New Roman" w:cs="Times New Roman"/>
          <w:sz w:val="24"/>
          <w:szCs w:val="24"/>
        </w:rPr>
        <w:t>2016</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8B5C35"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52A58" w:rsidRPr="00540838" w:rsidRDefault="00652A58" w:rsidP="0031329B">
      <w:pPr>
        <w:spacing w:after="0" w:line="360" w:lineRule="auto"/>
        <w:jc w:val="both"/>
        <w:rPr>
          <w:rFonts w:ascii="Times New Roman" w:hAnsi="Times New Roman" w:cs="Times New Roman"/>
          <w:sz w:val="24"/>
          <w:szCs w:val="24"/>
        </w:rPr>
      </w:pPr>
    </w:p>
    <w:p w:rsidR="006C7B5A"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8B5C35">
        <w:rPr>
          <w:rFonts w:ascii="Times New Roman" w:hAnsi="Times New Roman" w:cs="Times New Roman"/>
          <w:sz w:val="24"/>
          <w:szCs w:val="24"/>
        </w:rPr>
        <w:t>The accused</w:t>
      </w:r>
      <w:r w:rsidR="00C8750B">
        <w:rPr>
          <w:rFonts w:ascii="Times New Roman" w:hAnsi="Times New Roman" w:cs="Times New Roman"/>
          <w:sz w:val="24"/>
          <w:szCs w:val="24"/>
        </w:rPr>
        <w:t xml:space="preserve"> was unrepresented</w:t>
      </w:r>
      <w:r w:rsidR="008320FC">
        <w:rPr>
          <w:rFonts w:ascii="Times New Roman" w:hAnsi="Times New Roman" w:cs="Times New Roman"/>
          <w:sz w:val="24"/>
          <w:szCs w:val="24"/>
        </w:rPr>
        <w:t xml:space="preserve">. He </w:t>
      </w:r>
      <w:r w:rsidR="00C8750B">
        <w:rPr>
          <w:rFonts w:ascii="Times New Roman" w:hAnsi="Times New Roman" w:cs="Times New Roman"/>
          <w:sz w:val="24"/>
          <w:szCs w:val="24"/>
        </w:rPr>
        <w:t xml:space="preserve">was </w:t>
      </w:r>
      <w:r w:rsidR="006B4DC5">
        <w:rPr>
          <w:rFonts w:ascii="Times New Roman" w:hAnsi="Times New Roman" w:cs="Times New Roman"/>
          <w:sz w:val="24"/>
          <w:szCs w:val="24"/>
        </w:rPr>
        <w:t xml:space="preserve">convicted on his own </w:t>
      </w:r>
      <w:r w:rsidR="00BE46D8">
        <w:rPr>
          <w:rFonts w:ascii="Times New Roman" w:hAnsi="Times New Roman" w:cs="Times New Roman"/>
          <w:sz w:val="24"/>
          <w:szCs w:val="24"/>
        </w:rPr>
        <w:t>plea</w:t>
      </w:r>
      <w:r w:rsidR="006B4DC5">
        <w:rPr>
          <w:rFonts w:ascii="Times New Roman" w:hAnsi="Times New Roman" w:cs="Times New Roman"/>
          <w:sz w:val="24"/>
          <w:szCs w:val="24"/>
        </w:rPr>
        <w:t xml:space="preserve"> of </w:t>
      </w:r>
      <w:r w:rsidR="00BE46D8">
        <w:rPr>
          <w:rFonts w:ascii="Times New Roman" w:hAnsi="Times New Roman" w:cs="Times New Roman"/>
          <w:sz w:val="24"/>
          <w:szCs w:val="24"/>
        </w:rPr>
        <w:t xml:space="preserve">guilty to stock theft </w:t>
      </w:r>
      <w:r w:rsidR="008B5C35">
        <w:rPr>
          <w:rFonts w:ascii="Times New Roman" w:hAnsi="Times New Roman" w:cs="Times New Roman"/>
          <w:sz w:val="24"/>
          <w:szCs w:val="24"/>
        </w:rPr>
        <w:t xml:space="preserve">as defined in s </w:t>
      </w:r>
      <w:r w:rsidR="00BE46D8">
        <w:rPr>
          <w:rFonts w:ascii="Times New Roman" w:hAnsi="Times New Roman" w:cs="Times New Roman"/>
          <w:sz w:val="24"/>
          <w:szCs w:val="24"/>
        </w:rPr>
        <w:t xml:space="preserve">114[2][a] of the Criminal Law [Codification and Reform] Act, </w:t>
      </w:r>
      <w:r w:rsidR="00D752E4">
        <w:rPr>
          <w:rFonts w:ascii="Times New Roman" w:hAnsi="Times New Roman" w:cs="Times New Roman"/>
          <w:sz w:val="24"/>
          <w:szCs w:val="24"/>
        </w:rPr>
        <w:t>[</w:t>
      </w:r>
      <w:r w:rsidR="00BE46D8" w:rsidRPr="00BE46D8">
        <w:rPr>
          <w:rFonts w:ascii="Times New Roman" w:hAnsi="Times New Roman" w:cs="Times New Roman"/>
          <w:i/>
          <w:sz w:val="24"/>
          <w:szCs w:val="24"/>
        </w:rPr>
        <w:t>Cap 9:23</w:t>
      </w:r>
      <w:r w:rsidR="00D752E4">
        <w:rPr>
          <w:rFonts w:ascii="Times New Roman" w:hAnsi="Times New Roman" w:cs="Times New Roman"/>
          <w:i/>
          <w:sz w:val="24"/>
          <w:szCs w:val="24"/>
        </w:rPr>
        <w:t>]</w:t>
      </w:r>
      <w:r w:rsidR="006C7B5A">
        <w:rPr>
          <w:rFonts w:ascii="Times New Roman" w:hAnsi="Times New Roman" w:cs="Times New Roman"/>
          <w:sz w:val="24"/>
          <w:szCs w:val="24"/>
        </w:rPr>
        <w:t xml:space="preserve"> [“</w:t>
      </w:r>
      <w:r w:rsidR="006C7B5A" w:rsidRPr="006C7B5A">
        <w:rPr>
          <w:rFonts w:ascii="Times New Roman" w:hAnsi="Times New Roman" w:cs="Times New Roman"/>
          <w:b/>
          <w:i/>
          <w:sz w:val="24"/>
          <w:szCs w:val="24"/>
        </w:rPr>
        <w:t>the Criminal Law Code</w:t>
      </w:r>
      <w:r w:rsidR="006C7B5A">
        <w:rPr>
          <w:rFonts w:ascii="Times New Roman" w:hAnsi="Times New Roman" w:cs="Times New Roman"/>
          <w:sz w:val="24"/>
          <w:szCs w:val="24"/>
        </w:rPr>
        <w:t>”].</w:t>
      </w:r>
      <w:r w:rsidR="00BE46D8">
        <w:rPr>
          <w:rFonts w:ascii="Times New Roman" w:hAnsi="Times New Roman" w:cs="Times New Roman"/>
          <w:sz w:val="24"/>
          <w:szCs w:val="24"/>
        </w:rPr>
        <w:t xml:space="preserve"> He stole one</w:t>
      </w:r>
      <w:r w:rsidR="006B4DC5">
        <w:rPr>
          <w:rFonts w:ascii="Times New Roman" w:hAnsi="Times New Roman" w:cs="Times New Roman"/>
          <w:sz w:val="24"/>
          <w:szCs w:val="24"/>
        </w:rPr>
        <w:t xml:space="preserve"> heifer and exchanged it for a bicycle. </w:t>
      </w:r>
      <w:r w:rsidR="00326010">
        <w:rPr>
          <w:rFonts w:ascii="Times New Roman" w:hAnsi="Times New Roman" w:cs="Times New Roman"/>
          <w:sz w:val="24"/>
          <w:szCs w:val="24"/>
        </w:rPr>
        <w:t>T</w:t>
      </w:r>
      <w:r w:rsidR="006B4DC5">
        <w:rPr>
          <w:rFonts w:ascii="Times New Roman" w:hAnsi="Times New Roman" w:cs="Times New Roman"/>
          <w:sz w:val="24"/>
          <w:szCs w:val="24"/>
        </w:rPr>
        <w:t xml:space="preserve">he heifer was </w:t>
      </w:r>
      <w:r w:rsidR="00B47349">
        <w:rPr>
          <w:rFonts w:ascii="Times New Roman" w:hAnsi="Times New Roman" w:cs="Times New Roman"/>
          <w:sz w:val="24"/>
          <w:szCs w:val="24"/>
        </w:rPr>
        <w:t xml:space="preserve">subsequently </w:t>
      </w:r>
      <w:r w:rsidR="006B4DC5">
        <w:rPr>
          <w:rFonts w:ascii="Times New Roman" w:hAnsi="Times New Roman" w:cs="Times New Roman"/>
          <w:sz w:val="24"/>
          <w:szCs w:val="24"/>
        </w:rPr>
        <w:t>recovered.</w:t>
      </w:r>
      <w:r w:rsidR="006C7B5A">
        <w:rPr>
          <w:rFonts w:ascii="Times New Roman" w:hAnsi="Times New Roman" w:cs="Times New Roman"/>
          <w:sz w:val="24"/>
          <w:szCs w:val="24"/>
        </w:rPr>
        <w:t xml:space="preserve"> </w:t>
      </w:r>
      <w:r w:rsidR="008320FC">
        <w:rPr>
          <w:rFonts w:ascii="Times New Roman" w:hAnsi="Times New Roman" w:cs="Times New Roman"/>
          <w:sz w:val="24"/>
          <w:szCs w:val="24"/>
        </w:rPr>
        <w:t>The court</w:t>
      </w:r>
      <w:r w:rsidR="006B4DC5">
        <w:rPr>
          <w:rFonts w:ascii="Times New Roman" w:hAnsi="Times New Roman" w:cs="Times New Roman"/>
          <w:sz w:val="24"/>
          <w:szCs w:val="24"/>
        </w:rPr>
        <w:t xml:space="preserve"> found no special circumstances</w:t>
      </w:r>
      <w:r w:rsidR="008320FC">
        <w:rPr>
          <w:rFonts w:ascii="Times New Roman" w:hAnsi="Times New Roman" w:cs="Times New Roman"/>
          <w:sz w:val="24"/>
          <w:szCs w:val="24"/>
        </w:rPr>
        <w:t>.</w:t>
      </w:r>
      <w:r w:rsidR="006B4DC5">
        <w:rPr>
          <w:rFonts w:ascii="Times New Roman" w:hAnsi="Times New Roman" w:cs="Times New Roman"/>
          <w:sz w:val="24"/>
          <w:szCs w:val="24"/>
        </w:rPr>
        <w:t xml:space="preserve"> </w:t>
      </w:r>
      <w:r w:rsidR="008320FC">
        <w:rPr>
          <w:rFonts w:ascii="Times New Roman" w:hAnsi="Times New Roman" w:cs="Times New Roman"/>
          <w:sz w:val="24"/>
          <w:szCs w:val="24"/>
        </w:rPr>
        <w:t>I</w:t>
      </w:r>
      <w:r w:rsidR="006B4DC5">
        <w:rPr>
          <w:rFonts w:ascii="Times New Roman" w:hAnsi="Times New Roman" w:cs="Times New Roman"/>
          <w:sz w:val="24"/>
          <w:szCs w:val="24"/>
        </w:rPr>
        <w:t>t imposed the mandatory minimum sentence of nine years imprisonment.</w:t>
      </w:r>
      <w:r w:rsidR="00326010">
        <w:rPr>
          <w:rFonts w:ascii="Times New Roman" w:hAnsi="Times New Roman" w:cs="Times New Roman"/>
          <w:sz w:val="24"/>
          <w:szCs w:val="24"/>
        </w:rPr>
        <w:t xml:space="preserve"> </w:t>
      </w:r>
      <w:r w:rsidR="006C7B5A">
        <w:rPr>
          <w:rFonts w:ascii="Times New Roman" w:hAnsi="Times New Roman" w:cs="Times New Roman"/>
          <w:sz w:val="24"/>
          <w:szCs w:val="24"/>
        </w:rPr>
        <w:t xml:space="preserve">The matter has now come up on automatic review in terms of s 57 of the Magistrate’s Court Act, </w:t>
      </w:r>
      <w:r w:rsidR="00D752E4">
        <w:rPr>
          <w:rFonts w:ascii="Times New Roman" w:hAnsi="Times New Roman" w:cs="Times New Roman"/>
          <w:sz w:val="24"/>
          <w:szCs w:val="24"/>
        </w:rPr>
        <w:t>[</w:t>
      </w:r>
      <w:r w:rsidR="006C7B5A" w:rsidRPr="008B5C35">
        <w:rPr>
          <w:rFonts w:ascii="Times New Roman" w:hAnsi="Times New Roman" w:cs="Times New Roman"/>
          <w:i/>
          <w:sz w:val="24"/>
          <w:szCs w:val="24"/>
        </w:rPr>
        <w:t>Cap 7:10</w:t>
      </w:r>
      <w:r w:rsidR="00D752E4">
        <w:rPr>
          <w:rFonts w:ascii="Times New Roman" w:hAnsi="Times New Roman" w:cs="Times New Roman"/>
          <w:i/>
          <w:sz w:val="24"/>
          <w:szCs w:val="24"/>
        </w:rPr>
        <w:t>]</w:t>
      </w:r>
      <w:r w:rsidR="006C7B5A">
        <w:rPr>
          <w:rFonts w:ascii="Times New Roman" w:hAnsi="Times New Roman" w:cs="Times New Roman"/>
          <w:sz w:val="24"/>
          <w:szCs w:val="24"/>
        </w:rPr>
        <w:t>.</w:t>
      </w:r>
    </w:p>
    <w:p w:rsidR="00326010" w:rsidRDefault="0032601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accused is now represented. </w:t>
      </w:r>
      <w:r w:rsidR="006E6A25">
        <w:rPr>
          <w:rFonts w:ascii="Times New Roman" w:hAnsi="Times New Roman" w:cs="Times New Roman"/>
          <w:sz w:val="24"/>
          <w:szCs w:val="24"/>
        </w:rPr>
        <w:t>Through h</w:t>
      </w:r>
      <w:r>
        <w:rPr>
          <w:rFonts w:ascii="Times New Roman" w:hAnsi="Times New Roman" w:cs="Times New Roman"/>
          <w:sz w:val="24"/>
          <w:szCs w:val="24"/>
        </w:rPr>
        <w:t xml:space="preserve">is legal practitioner </w:t>
      </w:r>
      <w:r w:rsidR="006E6A25">
        <w:rPr>
          <w:rFonts w:ascii="Times New Roman" w:hAnsi="Times New Roman" w:cs="Times New Roman"/>
          <w:sz w:val="24"/>
          <w:szCs w:val="24"/>
        </w:rPr>
        <w:t xml:space="preserve">he </w:t>
      </w:r>
      <w:r>
        <w:rPr>
          <w:rFonts w:ascii="Times New Roman" w:hAnsi="Times New Roman" w:cs="Times New Roman"/>
          <w:sz w:val="24"/>
          <w:szCs w:val="24"/>
        </w:rPr>
        <w:t xml:space="preserve">has submitted </w:t>
      </w:r>
      <w:r w:rsidR="006E6A25">
        <w:rPr>
          <w:rFonts w:ascii="Times New Roman" w:hAnsi="Times New Roman" w:cs="Times New Roman"/>
          <w:sz w:val="24"/>
          <w:szCs w:val="24"/>
        </w:rPr>
        <w:t xml:space="preserve">a </w:t>
      </w:r>
      <w:r>
        <w:rPr>
          <w:rFonts w:ascii="Times New Roman" w:hAnsi="Times New Roman" w:cs="Times New Roman"/>
          <w:sz w:val="24"/>
          <w:szCs w:val="24"/>
        </w:rPr>
        <w:t>statement on review in terms of s 59 of the Magistrate’s Court Act. Th</w:t>
      </w:r>
      <w:r w:rsidR="00C8750B">
        <w:rPr>
          <w:rFonts w:ascii="Times New Roman" w:hAnsi="Times New Roman" w:cs="Times New Roman"/>
          <w:sz w:val="24"/>
          <w:szCs w:val="24"/>
        </w:rPr>
        <w:t>at section</w:t>
      </w:r>
      <w:r>
        <w:rPr>
          <w:rFonts w:ascii="Times New Roman" w:hAnsi="Times New Roman" w:cs="Times New Roman"/>
          <w:sz w:val="24"/>
          <w:szCs w:val="24"/>
        </w:rPr>
        <w:t xml:space="preserve"> says in any criminal case which is subject to review in terms of s 57 aforesaid, the accused person may, if he thinks the sentence passed upon him is excessive, deliver any written statement setting out the grounds or reasons upon which he considers the sentence excessive. The judge is then obliged to take the grounds or reasons into account in the review of the proceedings.</w:t>
      </w:r>
    </w:p>
    <w:p w:rsidR="00F433F4" w:rsidRDefault="0032601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accused’s statement </w:t>
      </w:r>
      <w:r w:rsidR="006004AF">
        <w:rPr>
          <w:rFonts w:ascii="Times New Roman" w:hAnsi="Times New Roman" w:cs="Times New Roman"/>
          <w:sz w:val="24"/>
          <w:szCs w:val="24"/>
        </w:rPr>
        <w:t xml:space="preserve">alleges a fundamental misdirection by the trial court </w:t>
      </w:r>
      <w:r w:rsidR="00923E21">
        <w:rPr>
          <w:rFonts w:ascii="Times New Roman" w:hAnsi="Times New Roman" w:cs="Times New Roman"/>
          <w:sz w:val="24"/>
          <w:szCs w:val="24"/>
        </w:rPr>
        <w:t xml:space="preserve">on </w:t>
      </w:r>
      <w:r>
        <w:rPr>
          <w:rFonts w:ascii="Times New Roman" w:hAnsi="Times New Roman" w:cs="Times New Roman"/>
          <w:sz w:val="24"/>
          <w:szCs w:val="24"/>
        </w:rPr>
        <w:t xml:space="preserve">the treatment of </w:t>
      </w:r>
      <w:r w:rsidR="00C8750B">
        <w:rPr>
          <w:rFonts w:ascii="Times New Roman" w:hAnsi="Times New Roman" w:cs="Times New Roman"/>
          <w:sz w:val="24"/>
          <w:szCs w:val="24"/>
        </w:rPr>
        <w:t>“</w:t>
      </w:r>
      <w:r w:rsidR="00F433F4" w:rsidRPr="006004AF">
        <w:rPr>
          <w:rFonts w:ascii="Times New Roman" w:hAnsi="Times New Roman" w:cs="Times New Roman"/>
          <w:b/>
          <w:sz w:val="24"/>
          <w:szCs w:val="24"/>
        </w:rPr>
        <w:t>special circumstances</w:t>
      </w:r>
      <w:r w:rsidR="00C8750B">
        <w:rPr>
          <w:rFonts w:ascii="Times New Roman" w:hAnsi="Times New Roman" w:cs="Times New Roman"/>
          <w:sz w:val="24"/>
          <w:szCs w:val="24"/>
        </w:rPr>
        <w:t>”</w:t>
      </w:r>
      <w:r w:rsidR="00F433F4">
        <w:rPr>
          <w:rFonts w:ascii="Times New Roman" w:hAnsi="Times New Roman" w:cs="Times New Roman"/>
          <w:sz w:val="24"/>
          <w:szCs w:val="24"/>
        </w:rPr>
        <w:t xml:space="preserve"> </w:t>
      </w:r>
      <w:r w:rsidR="006C7B5A">
        <w:rPr>
          <w:rFonts w:ascii="Times New Roman" w:hAnsi="Times New Roman" w:cs="Times New Roman"/>
          <w:sz w:val="24"/>
          <w:szCs w:val="24"/>
        </w:rPr>
        <w:t xml:space="preserve">allegedly </w:t>
      </w:r>
      <w:r w:rsidR="00F433F4">
        <w:rPr>
          <w:rFonts w:ascii="Times New Roman" w:hAnsi="Times New Roman" w:cs="Times New Roman"/>
          <w:sz w:val="24"/>
          <w:szCs w:val="24"/>
        </w:rPr>
        <w:t xml:space="preserve">warranting </w:t>
      </w:r>
      <w:r w:rsidR="00923E21">
        <w:rPr>
          <w:rFonts w:ascii="Times New Roman" w:hAnsi="Times New Roman" w:cs="Times New Roman"/>
          <w:sz w:val="24"/>
          <w:szCs w:val="24"/>
        </w:rPr>
        <w:t>interference by this court</w:t>
      </w:r>
      <w:r w:rsidR="006004AF">
        <w:rPr>
          <w:rFonts w:ascii="Times New Roman" w:hAnsi="Times New Roman" w:cs="Times New Roman"/>
          <w:sz w:val="24"/>
          <w:szCs w:val="24"/>
        </w:rPr>
        <w:t>.</w:t>
      </w:r>
    </w:p>
    <w:p w:rsidR="00B55D9C" w:rsidRDefault="00F433F4"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record of proceedings shows that </w:t>
      </w:r>
      <w:r w:rsidR="00B55D9C">
        <w:rPr>
          <w:rFonts w:ascii="Times New Roman" w:hAnsi="Times New Roman" w:cs="Times New Roman"/>
          <w:sz w:val="24"/>
          <w:szCs w:val="24"/>
        </w:rPr>
        <w:t xml:space="preserve">after the pronouncement of </w:t>
      </w:r>
      <w:r w:rsidR="006C7B5A">
        <w:rPr>
          <w:rFonts w:ascii="Times New Roman" w:hAnsi="Times New Roman" w:cs="Times New Roman"/>
          <w:sz w:val="24"/>
          <w:szCs w:val="24"/>
        </w:rPr>
        <w:t>the verdict of guilty</w:t>
      </w:r>
      <w:r w:rsidR="00B55D9C">
        <w:rPr>
          <w:rFonts w:ascii="Times New Roman" w:hAnsi="Times New Roman" w:cs="Times New Roman"/>
          <w:sz w:val="24"/>
          <w:szCs w:val="24"/>
        </w:rPr>
        <w:t>, the court went on to record:</w:t>
      </w:r>
    </w:p>
    <w:p w:rsidR="00B55D9C" w:rsidRDefault="00B55D9C" w:rsidP="00E65758">
      <w:pPr>
        <w:spacing w:after="0" w:line="360" w:lineRule="auto"/>
        <w:ind w:firstLine="567"/>
        <w:jc w:val="both"/>
        <w:rPr>
          <w:rFonts w:ascii="Times New Roman" w:hAnsi="Times New Roman" w:cs="Times New Roman"/>
          <w:sz w:val="24"/>
          <w:szCs w:val="24"/>
        </w:rPr>
      </w:pPr>
    </w:p>
    <w:p w:rsidR="00B55D9C" w:rsidRDefault="00B55D9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D0919">
        <w:rPr>
          <w:rFonts w:ascii="Times New Roman" w:hAnsi="Times New Roman" w:cs="Times New Roman"/>
          <w:b/>
          <w:i/>
          <w:sz w:val="24"/>
          <w:szCs w:val="24"/>
        </w:rPr>
        <w:t>Investigation into special circumstances explained to accused and understood</w:t>
      </w:r>
      <w:r>
        <w:rPr>
          <w:rFonts w:ascii="Times New Roman" w:hAnsi="Times New Roman" w:cs="Times New Roman"/>
          <w:sz w:val="24"/>
          <w:szCs w:val="24"/>
        </w:rPr>
        <w:t>.”</w:t>
      </w:r>
    </w:p>
    <w:p w:rsidR="00B55D9C" w:rsidRDefault="00B55D9C" w:rsidP="00E65758">
      <w:pPr>
        <w:spacing w:after="0" w:line="360" w:lineRule="auto"/>
        <w:ind w:firstLine="567"/>
        <w:jc w:val="both"/>
        <w:rPr>
          <w:rFonts w:ascii="Times New Roman" w:hAnsi="Times New Roman" w:cs="Times New Roman"/>
          <w:sz w:val="24"/>
          <w:szCs w:val="24"/>
        </w:rPr>
      </w:pPr>
    </w:p>
    <w:p w:rsidR="00957ACF" w:rsidRDefault="00B55D9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Next, is recorded the accused</w:t>
      </w:r>
      <w:r w:rsidR="00C8750B">
        <w:rPr>
          <w:rFonts w:ascii="Times New Roman" w:hAnsi="Times New Roman" w:cs="Times New Roman"/>
          <w:sz w:val="24"/>
          <w:szCs w:val="24"/>
        </w:rPr>
        <w:t>’s</w:t>
      </w:r>
      <w:r>
        <w:rPr>
          <w:rFonts w:ascii="Times New Roman" w:hAnsi="Times New Roman" w:cs="Times New Roman"/>
          <w:sz w:val="24"/>
          <w:szCs w:val="24"/>
        </w:rPr>
        <w:t xml:space="preserve"> explanation of the purported special circumstances.</w:t>
      </w:r>
      <w:r w:rsidR="004D0919">
        <w:rPr>
          <w:rFonts w:ascii="Times New Roman" w:hAnsi="Times New Roman" w:cs="Times New Roman"/>
          <w:sz w:val="24"/>
          <w:szCs w:val="24"/>
        </w:rPr>
        <w:t xml:space="preserve"> He said the heifer had been discovered [probably meant “</w:t>
      </w:r>
      <w:r w:rsidR="004D0919" w:rsidRPr="00C8750B">
        <w:rPr>
          <w:rFonts w:ascii="Times New Roman" w:hAnsi="Times New Roman" w:cs="Times New Roman"/>
          <w:b/>
          <w:sz w:val="24"/>
          <w:szCs w:val="24"/>
        </w:rPr>
        <w:t>recovered</w:t>
      </w:r>
      <w:r w:rsidR="004D0919">
        <w:rPr>
          <w:rFonts w:ascii="Times New Roman" w:hAnsi="Times New Roman" w:cs="Times New Roman"/>
          <w:sz w:val="24"/>
          <w:szCs w:val="24"/>
        </w:rPr>
        <w:t xml:space="preserve">”]; that he had not killed it and that he thought that community service at a school was proper. The accused also said that he had </w:t>
      </w:r>
      <w:r w:rsidR="00C8750B">
        <w:rPr>
          <w:rFonts w:ascii="Times New Roman" w:hAnsi="Times New Roman" w:cs="Times New Roman"/>
          <w:sz w:val="24"/>
          <w:szCs w:val="24"/>
        </w:rPr>
        <w:t xml:space="preserve">wanted to further exchange the bicycle to go and pay </w:t>
      </w:r>
      <w:r w:rsidR="00B47349" w:rsidRPr="00B47349">
        <w:rPr>
          <w:rFonts w:ascii="Times New Roman" w:hAnsi="Times New Roman" w:cs="Times New Roman"/>
          <w:i/>
          <w:sz w:val="24"/>
          <w:szCs w:val="24"/>
        </w:rPr>
        <w:t>lobola</w:t>
      </w:r>
      <w:r w:rsidR="00B47349">
        <w:rPr>
          <w:rFonts w:ascii="Times New Roman" w:hAnsi="Times New Roman" w:cs="Times New Roman"/>
          <w:sz w:val="24"/>
          <w:szCs w:val="24"/>
        </w:rPr>
        <w:t xml:space="preserve"> for his wife</w:t>
      </w:r>
      <w:r w:rsidR="00957ACF">
        <w:rPr>
          <w:rFonts w:ascii="Times New Roman" w:hAnsi="Times New Roman" w:cs="Times New Roman"/>
          <w:sz w:val="24"/>
          <w:szCs w:val="24"/>
        </w:rPr>
        <w:t>.</w:t>
      </w:r>
    </w:p>
    <w:p w:rsidR="00957ACF" w:rsidRDefault="00B55D9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that there was mitigation and the passing of sentence. </w:t>
      </w:r>
      <w:r w:rsidR="00957ACF">
        <w:rPr>
          <w:rFonts w:ascii="Times New Roman" w:hAnsi="Times New Roman" w:cs="Times New Roman"/>
          <w:sz w:val="24"/>
          <w:szCs w:val="24"/>
        </w:rPr>
        <w:t>As said already, the trial court found no special circumstances and imposed the mandatory sentence.</w:t>
      </w:r>
    </w:p>
    <w:p w:rsidR="00F71EAB" w:rsidRDefault="00957ACF"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the accused’s statement</w:t>
      </w:r>
      <w:r w:rsidR="00B47349">
        <w:rPr>
          <w:rFonts w:ascii="Times New Roman" w:hAnsi="Times New Roman" w:cs="Times New Roman"/>
          <w:sz w:val="24"/>
          <w:szCs w:val="24"/>
        </w:rPr>
        <w:t xml:space="preserve"> on review</w:t>
      </w:r>
      <w:r w:rsidR="00C8750B">
        <w:rPr>
          <w:rFonts w:ascii="Times New Roman" w:hAnsi="Times New Roman" w:cs="Times New Roman"/>
          <w:sz w:val="24"/>
          <w:szCs w:val="24"/>
        </w:rPr>
        <w:t>,</w:t>
      </w:r>
      <w:r>
        <w:rPr>
          <w:rFonts w:ascii="Times New Roman" w:hAnsi="Times New Roman" w:cs="Times New Roman"/>
          <w:sz w:val="24"/>
          <w:szCs w:val="24"/>
        </w:rPr>
        <w:t xml:space="preserve"> the point is made that it was not enough for the trial court to simply record that the investigation into special circumstances had been explained </w:t>
      </w:r>
      <w:r w:rsidR="008320FC">
        <w:rPr>
          <w:rFonts w:ascii="Times New Roman" w:hAnsi="Times New Roman" w:cs="Times New Roman"/>
          <w:sz w:val="24"/>
          <w:szCs w:val="24"/>
        </w:rPr>
        <w:t xml:space="preserve">to the accused </w:t>
      </w:r>
      <w:r>
        <w:rPr>
          <w:rFonts w:ascii="Times New Roman" w:hAnsi="Times New Roman" w:cs="Times New Roman"/>
          <w:sz w:val="24"/>
          <w:szCs w:val="24"/>
        </w:rPr>
        <w:t>and understood. It is argued that there is nothing to show that the court gave a correct and proper definition or meaning of special circumstances. Re</w:t>
      </w:r>
      <w:r w:rsidR="005B1EA8">
        <w:rPr>
          <w:rFonts w:ascii="Times New Roman" w:hAnsi="Times New Roman" w:cs="Times New Roman"/>
          <w:sz w:val="24"/>
          <w:szCs w:val="24"/>
        </w:rPr>
        <w:t xml:space="preserve">ference </w:t>
      </w:r>
      <w:r w:rsidR="00652A61">
        <w:rPr>
          <w:rFonts w:ascii="Times New Roman" w:hAnsi="Times New Roman" w:cs="Times New Roman"/>
          <w:sz w:val="24"/>
          <w:szCs w:val="24"/>
        </w:rPr>
        <w:t xml:space="preserve">is </w:t>
      </w:r>
      <w:r w:rsidR="005B1EA8">
        <w:rPr>
          <w:rFonts w:ascii="Times New Roman" w:hAnsi="Times New Roman" w:cs="Times New Roman"/>
          <w:sz w:val="24"/>
          <w:szCs w:val="24"/>
        </w:rPr>
        <w:t>made</w:t>
      </w:r>
      <w:r>
        <w:rPr>
          <w:rFonts w:ascii="Times New Roman" w:hAnsi="Times New Roman" w:cs="Times New Roman"/>
          <w:sz w:val="24"/>
          <w:szCs w:val="24"/>
        </w:rPr>
        <w:t xml:space="preserve"> </w:t>
      </w:r>
      <w:r w:rsidR="005B1EA8">
        <w:rPr>
          <w:rFonts w:ascii="Times New Roman" w:hAnsi="Times New Roman" w:cs="Times New Roman"/>
          <w:sz w:val="24"/>
          <w:szCs w:val="24"/>
        </w:rPr>
        <w:t>to</w:t>
      </w:r>
      <w:r>
        <w:rPr>
          <w:rFonts w:ascii="Times New Roman" w:hAnsi="Times New Roman" w:cs="Times New Roman"/>
          <w:sz w:val="24"/>
          <w:szCs w:val="24"/>
        </w:rPr>
        <w:t xml:space="preserve"> the cases of </w:t>
      </w:r>
      <w:r w:rsidRPr="00710E4C">
        <w:rPr>
          <w:rFonts w:ascii="Times New Roman" w:hAnsi="Times New Roman" w:cs="Times New Roman"/>
          <w:i/>
          <w:sz w:val="24"/>
          <w:szCs w:val="24"/>
        </w:rPr>
        <w:t>S v Manase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and </w:t>
      </w:r>
      <w:r w:rsidRPr="00710E4C">
        <w:rPr>
          <w:rFonts w:ascii="Times New Roman" w:hAnsi="Times New Roman" w:cs="Times New Roman"/>
          <w:i/>
          <w:sz w:val="24"/>
          <w:szCs w:val="24"/>
        </w:rPr>
        <w:t>S v Chembe</w:t>
      </w:r>
      <w:r>
        <w:rPr>
          <w:rStyle w:val="FootnoteReference"/>
          <w:rFonts w:ascii="Times New Roman" w:hAnsi="Times New Roman" w:cs="Times New Roman"/>
          <w:sz w:val="24"/>
          <w:szCs w:val="24"/>
        </w:rPr>
        <w:footnoteReference w:id="2"/>
      </w:r>
      <w:r w:rsidR="00710E4C">
        <w:rPr>
          <w:rFonts w:ascii="Times New Roman" w:hAnsi="Times New Roman" w:cs="Times New Roman"/>
          <w:sz w:val="24"/>
          <w:szCs w:val="24"/>
        </w:rPr>
        <w:t xml:space="preserve"> both of which stressed </w:t>
      </w:r>
      <w:r w:rsidR="00042DEB">
        <w:rPr>
          <w:rFonts w:ascii="Times New Roman" w:hAnsi="Times New Roman" w:cs="Times New Roman"/>
          <w:sz w:val="24"/>
          <w:szCs w:val="24"/>
        </w:rPr>
        <w:t xml:space="preserve">the point </w:t>
      </w:r>
      <w:r w:rsidR="00710E4C">
        <w:rPr>
          <w:rFonts w:ascii="Times New Roman" w:hAnsi="Times New Roman" w:cs="Times New Roman"/>
          <w:sz w:val="24"/>
          <w:szCs w:val="24"/>
        </w:rPr>
        <w:t xml:space="preserve">that a trial court should record its </w:t>
      </w:r>
      <w:r w:rsidR="00652A61">
        <w:rPr>
          <w:rFonts w:ascii="Times New Roman" w:hAnsi="Times New Roman" w:cs="Times New Roman"/>
          <w:sz w:val="24"/>
          <w:szCs w:val="24"/>
        </w:rPr>
        <w:t xml:space="preserve">own </w:t>
      </w:r>
      <w:r w:rsidR="00710E4C">
        <w:rPr>
          <w:rFonts w:ascii="Times New Roman" w:hAnsi="Times New Roman" w:cs="Times New Roman"/>
          <w:sz w:val="24"/>
          <w:szCs w:val="24"/>
        </w:rPr>
        <w:t xml:space="preserve">explanation of the special circumstances. </w:t>
      </w:r>
    </w:p>
    <w:p w:rsidR="00710E4C" w:rsidRDefault="00042DEB"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w:t>
      </w:r>
      <w:r w:rsidR="00A84BE2">
        <w:rPr>
          <w:rFonts w:ascii="Times New Roman" w:hAnsi="Times New Roman" w:cs="Times New Roman"/>
          <w:sz w:val="24"/>
          <w:szCs w:val="24"/>
        </w:rPr>
        <w:t xml:space="preserve"> </w:t>
      </w:r>
      <w:r w:rsidR="00A84BE2" w:rsidRPr="00A84BE2">
        <w:rPr>
          <w:rFonts w:ascii="Times New Roman" w:hAnsi="Times New Roman" w:cs="Times New Roman"/>
          <w:i/>
          <w:sz w:val="24"/>
          <w:szCs w:val="24"/>
        </w:rPr>
        <w:t>S v Chaerera</w:t>
      </w:r>
      <w:r w:rsidR="00A84BE2">
        <w:rPr>
          <w:rStyle w:val="FootnoteReference"/>
          <w:rFonts w:ascii="Times New Roman" w:hAnsi="Times New Roman" w:cs="Times New Roman"/>
          <w:sz w:val="24"/>
          <w:szCs w:val="24"/>
        </w:rPr>
        <w:footnoteReference w:id="3"/>
      </w:r>
      <w:r w:rsidR="00A84BE2">
        <w:rPr>
          <w:rFonts w:ascii="Times New Roman" w:hAnsi="Times New Roman" w:cs="Times New Roman"/>
          <w:sz w:val="24"/>
          <w:szCs w:val="24"/>
        </w:rPr>
        <w:t xml:space="preserve"> and </w:t>
      </w:r>
      <w:r w:rsidR="00A84BE2" w:rsidRPr="00A84BE2">
        <w:rPr>
          <w:rFonts w:ascii="Times New Roman" w:hAnsi="Times New Roman" w:cs="Times New Roman"/>
          <w:i/>
          <w:sz w:val="24"/>
          <w:szCs w:val="24"/>
        </w:rPr>
        <w:t>Manase</w:t>
      </w:r>
      <w:r w:rsidR="00A84BE2">
        <w:rPr>
          <w:rFonts w:ascii="Times New Roman" w:hAnsi="Times New Roman" w:cs="Times New Roman"/>
          <w:sz w:val="24"/>
          <w:szCs w:val="24"/>
        </w:rPr>
        <w:t xml:space="preserve">, </w:t>
      </w:r>
      <w:r w:rsidR="00A84BE2" w:rsidRPr="00A84BE2">
        <w:rPr>
          <w:rFonts w:ascii="Times New Roman" w:hAnsi="Times New Roman" w:cs="Times New Roman"/>
          <w:i/>
          <w:sz w:val="24"/>
          <w:szCs w:val="24"/>
        </w:rPr>
        <w:t>supra</w:t>
      </w:r>
      <w:r w:rsidR="00A84BE2">
        <w:rPr>
          <w:rFonts w:ascii="Times New Roman" w:hAnsi="Times New Roman" w:cs="Times New Roman"/>
          <w:sz w:val="24"/>
          <w:szCs w:val="24"/>
        </w:rPr>
        <w:t>, it was</w:t>
      </w:r>
      <w:r>
        <w:rPr>
          <w:rFonts w:ascii="Times New Roman" w:hAnsi="Times New Roman" w:cs="Times New Roman"/>
          <w:sz w:val="24"/>
          <w:szCs w:val="24"/>
        </w:rPr>
        <w:t xml:space="preserve"> held that i</w:t>
      </w:r>
      <w:r w:rsidR="00710E4C">
        <w:rPr>
          <w:rFonts w:ascii="Times New Roman" w:hAnsi="Times New Roman" w:cs="Times New Roman"/>
          <w:sz w:val="24"/>
          <w:szCs w:val="24"/>
        </w:rPr>
        <w:t xml:space="preserve">t should be </w:t>
      </w:r>
      <w:r w:rsidR="008320FC">
        <w:rPr>
          <w:rFonts w:ascii="Times New Roman" w:hAnsi="Times New Roman" w:cs="Times New Roman"/>
          <w:sz w:val="24"/>
          <w:szCs w:val="24"/>
        </w:rPr>
        <w:t xml:space="preserve">further </w:t>
      </w:r>
      <w:r w:rsidR="00710E4C">
        <w:rPr>
          <w:rFonts w:ascii="Times New Roman" w:hAnsi="Times New Roman" w:cs="Times New Roman"/>
          <w:sz w:val="24"/>
          <w:szCs w:val="24"/>
        </w:rPr>
        <w:t>explained to the accused that in addressing the court on special circumstances, it is his right</w:t>
      </w:r>
      <w:r w:rsidR="00652A61">
        <w:rPr>
          <w:rFonts w:ascii="Times New Roman" w:hAnsi="Times New Roman" w:cs="Times New Roman"/>
          <w:sz w:val="24"/>
          <w:szCs w:val="24"/>
        </w:rPr>
        <w:t>, should he so wish,</w:t>
      </w:r>
      <w:r w:rsidR="00710E4C">
        <w:rPr>
          <w:rFonts w:ascii="Times New Roman" w:hAnsi="Times New Roman" w:cs="Times New Roman"/>
          <w:sz w:val="24"/>
          <w:szCs w:val="24"/>
        </w:rPr>
        <w:t xml:space="preserve"> to lead evidence from witnesses. </w:t>
      </w:r>
    </w:p>
    <w:p w:rsidR="00042DEB" w:rsidRDefault="00957ACF"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is </w:t>
      </w:r>
      <w:r w:rsidR="00042DEB">
        <w:rPr>
          <w:rFonts w:ascii="Times New Roman" w:hAnsi="Times New Roman" w:cs="Times New Roman"/>
          <w:sz w:val="24"/>
          <w:szCs w:val="24"/>
        </w:rPr>
        <w:t>argued</w:t>
      </w:r>
      <w:r>
        <w:rPr>
          <w:rFonts w:ascii="Times New Roman" w:hAnsi="Times New Roman" w:cs="Times New Roman"/>
          <w:sz w:val="24"/>
          <w:szCs w:val="24"/>
        </w:rPr>
        <w:t xml:space="preserve"> in the statement </w:t>
      </w:r>
      <w:r w:rsidR="00B47349">
        <w:rPr>
          <w:rFonts w:ascii="Times New Roman" w:hAnsi="Times New Roman" w:cs="Times New Roman"/>
          <w:sz w:val="24"/>
          <w:szCs w:val="24"/>
        </w:rPr>
        <w:t xml:space="preserve">on review </w:t>
      </w:r>
      <w:r>
        <w:rPr>
          <w:rFonts w:ascii="Times New Roman" w:hAnsi="Times New Roman" w:cs="Times New Roman"/>
          <w:sz w:val="24"/>
          <w:szCs w:val="24"/>
        </w:rPr>
        <w:t>that if the issue of special circumstances had properly been explained</w:t>
      </w:r>
      <w:r w:rsidR="00F71EAB">
        <w:rPr>
          <w:rFonts w:ascii="Times New Roman" w:hAnsi="Times New Roman" w:cs="Times New Roman"/>
          <w:sz w:val="24"/>
          <w:szCs w:val="24"/>
        </w:rPr>
        <w:t>,</w:t>
      </w:r>
      <w:r>
        <w:rPr>
          <w:rFonts w:ascii="Times New Roman" w:hAnsi="Times New Roman" w:cs="Times New Roman"/>
          <w:sz w:val="24"/>
          <w:szCs w:val="24"/>
        </w:rPr>
        <w:t xml:space="preserve"> the accused would have led evidence from the complainant. </w:t>
      </w:r>
      <w:r w:rsidR="00710E4C">
        <w:rPr>
          <w:rFonts w:ascii="Times New Roman" w:hAnsi="Times New Roman" w:cs="Times New Roman"/>
          <w:sz w:val="24"/>
          <w:szCs w:val="24"/>
        </w:rPr>
        <w:t>Att</w:t>
      </w:r>
      <w:r w:rsidR="00B47349">
        <w:rPr>
          <w:rFonts w:ascii="Times New Roman" w:hAnsi="Times New Roman" w:cs="Times New Roman"/>
          <w:sz w:val="24"/>
          <w:szCs w:val="24"/>
        </w:rPr>
        <w:t>ached to the review statement i</w:t>
      </w:r>
      <w:r w:rsidR="00710E4C">
        <w:rPr>
          <w:rFonts w:ascii="Times New Roman" w:hAnsi="Times New Roman" w:cs="Times New Roman"/>
          <w:sz w:val="24"/>
          <w:szCs w:val="24"/>
        </w:rPr>
        <w:t xml:space="preserve">s an affidavit </w:t>
      </w:r>
      <w:r w:rsidR="005B1EA8">
        <w:rPr>
          <w:rFonts w:ascii="Times New Roman" w:hAnsi="Times New Roman" w:cs="Times New Roman"/>
          <w:sz w:val="24"/>
          <w:szCs w:val="24"/>
        </w:rPr>
        <w:t xml:space="preserve">allegedly </w:t>
      </w:r>
      <w:r w:rsidR="00710E4C">
        <w:rPr>
          <w:rFonts w:ascii="Times New Roman" w:hAnsi="Times New Roman" w:cs="Times New Roman"/>
          <w:sz w:val="24"/>
          <w:szCs w:val="24"/>
        </w:rPr>
        <w:t xml:space="preserve">by the complainant. </w:t>
      </w:r>
      <w:r w:rsidR="005B1EA8">
        <w:rPr>
          <w:rFonts w:ascii="Times New Roman" w:hAnsi="Times New Roman" w:cs="Times New Roman"/>
          <w:sz w:val="24"/>
          <w:szCs w:val="24"/>
        </w:rPr>
        <w:t>I</w:t>
      </w:r>
      <w:r w:rsidR="00710E4C">
        <w:rPr>
          <w:rFonts w:ascii="Times New Roman" w:hAnsi="Times New Roman" w:cs="Times New Roman"/>
          <w:sz w:val="24"/>
          <w:szCs w:val="24"/>
        </w:rPr>
        <w:t>t sa</w:t>
      </w:r>
      <w:r w:rsidR="005B1EA8">
        <w:rPr>
          <w:rFonts w:ascii="Times New Roman" w:hAnsi="Times New Roman" w:cs="Times New Roman"/>
          <w:sz w:val="24"/>
          <w:szCs w:val="24"/>
        </w:rPr>
        <w:t>ys</w:t>
      </w:r>
      <w:r w:rsidR="00710E4C">
        <w:rPr>
          <w:rFonts w:ascii="Times New Roman" w:hAnsi="Times New Roman" w:cs="Times New Roman"/>
          <w:sz w:val="24"/>
          <w:szCs w:val="24"/>
        </w:rPr>
        <w:t xml:space="preserve"> that the accused was his “…</w:t>
      </w:r>
      <w:r w:rsidR="005B1EA8">
        <w:rPr>
          <w:rFonts w:ascii="Times New Roman" w:hAnsi="Times New Roman" w:cs="Times New Roman"/>
          <w:sz w:val="24"/>
          <w:szCs w:val="24"/>
        </w:rPr>
        <w:t xml:space="preserve"> </w:t>
      </w:r>
      <w:r w:rsidR="00710E4C" w:rsidRPr="005B1EA8">
        <w:rPr>
          <w:rFonts w:ascii="Times New Roman" w:hAnsi="Times New Roman" w:cs="Times New Roman"/>
          <w:b/>
          <w:i/>
          <w:sz w:val="24"/>
          <w:szCs w:val="24"/>
        </w:rPr>
        <w:t>in-law</w:t>
      </w:r>
      <w:r w:rsidR="00042DEB">
        <w:rPr>
          <w:rFonts w:ascii="Times New Roman" w:hAnsi="Times New Roman" w:cs="Times New Roman"/>
          <w:sz w:val="24"/>
          <w:szCs w:val="24"/>
        </w:rPr>
        <w:t xml:space="preserve"> …</w:t>
      </w:r>
      <w:r w:rsidR="00710E4C">
        <w:rPr>
          <w:rFonts w:ascii="Times New Roman" w:hAnsi="Times New Roman" w:cs="Times New Roman"/>
          <w:sz w:val="24"/>
          <w:szCs w:val="24"/>
        </w:rPr>
        <w:t xml:space="preserve">” </w:t>
      </w:r>
      <w:r w:rsidR="00042DEB">
        <w:rPr>
          <w:rFonts w:ascii="Times New Roman" w:hAnsi="Times New Roman" w:cs="Times New Roman"/>
          <w:sz w:val="24"/>
          <w:szCs w:val="24"/>
        </w:rPr>
        <w:t xml:space="preserve">to </w:t>
      </w:r>
      <w:r w:rsidR="00710E4C">
        <w:rPr>
          <w:rFonts w:ascii="Times New Roman" w:hAnsi="Times New Roman" w:cs="Times New Roman"/>
          <w:sz w:val="24"/>
          <w:szCs w:val="24"/>
        </w:rPr>
        <w:t>who</w:t>
      </w:r>
      <w:r w:rsidR="00042DEB">
        <w:rPr>
          <w:rFonts w:ascii="Times New Roman" w:hAnsi="Times New Roman" w:cs="Times New Roman"/>
          <w:sz w:val="24"/>
          <w:szCs w:val="24"/>
        </w:rPr>
        <w:t xml:space="preserve">m he had entrusted his cattle to keep at his homestead. The affidavit goes on to say that he [the complainant] later learnt that the accused had sold the heifer to someone else to solve a hunger issue. The complainant had confronted the accused. </w:t>
      </w:r>
      <w:r w:rsidR="00F71EAB">
        <w:rPr>
          <w:rFonts w:ascii="Times New Roman" w:hAnsi="Times New Roman" w:cs="Times New Roman"/>
          <w:sz w:val="24"/>
          <w:szCs w:val="24"/>
        </w:rPr>
        <w:t>However, t</w:t>
      </w:r>
      <w:r w:rsidR="00042DEB">
        <w:rPr>
          <w:rFonts w:ascii="Times New Roman" w:hAnsi="Times New Roman" w:cs="Times New Roman"/>
          <w:sz w:val="24"/>
          <w:szCs w:val="24"/>
        </w:rPr>
        <w:t xml:space="preserve">he </w:t>
      </w:r>
      <w:r w:rsidR="00652A61">
        <w:rPr>
          <w:rFonts w:ascii="Times New Roman" w:hAnsi="Times New Roman" w:cs="Times New Roman"/>
          <w:sz w:val="24"/>
          <w:szCs w:val="24"/>
        </w:rPr>
        <w:t>matter</w:t>
      </w:r>
      <w:r w:rsidR="00042DEB">
        <w:rPr>
          <w:rFonts w:ascii="Times New Roman" w:hAnsi="Times New Roman" w:cs="Times New Roman"/>
          <w:sz w:val="24"/>
          <w:szCs w:val="24"/>
        </w:rPr>
        <w:t xml:space="preserve"> had been resolved within the family and before the village court. </w:t>
      </w:r>
      <w:r w:rsidR="00F71EAB">
        <w:rPr>
          <w:rFonts w:ascii="Times New Roman" w:hAnsi="Times New Roman" w:cs="Times New Roman"/>
          <w:sz w:val="24"/>
          <w:szCs w:val="24"/>
        </w:rPr>
        <w:t>The</w:t>
      </w:r>
      <w:r w:rsidR="00042DEB">
        <w:rPr>
          <w:rFonts w:ascii="Times New Roman" w:hAnsi="Times New Roman" w:cs="Times New Roman"/>
          <w:sz w:val="24"/>
          <w:szCs w:val="24"/>
        </w:rPr>
        <w:t xml:space="preserve"> resol</w:t>
      </w:r>
      <w:r w:rsidR="00F71EAB">
        <w:rPr>
          <w:rFonts w:ascii="Times New Roman" w:hAnsi="Times New Roman" w:cs="Times New Roman"/>
          <w:sz w:val="24"/>
          <w:szCs w:val="24"/>
        </w:rPr>
        <w:t xml:space="preserve">ution had been </w:t>
      </w:r>
      <w:r w:rsidR="00042DEB">
        <w:rPr>
          <w:rFonts w:ascii="Times New Roman" w:hAnsi="Times New Roman" w:cs="Times New Roman"/>
          <w:sz w:val="24"/>
          <w:szCs w:val="24"/>
        </w:rPr>
        <w:t xml:space="preserve">that the accused should pay back the heifer. </w:t>
      </w:r>
    </w:p>
    <w:p w:rsidR="00CB4EAC" w:rsidRDefault="00042DEB"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affidavit says the accused had honoured the resolution and had paid back the heifer. </w:t>
      </w:r>
      <w:r w:rsidR="00CB4EAC">
        <w:rPr>
          <w:rFonts w:ascii="Times New Roman" w:hAnsi="Times New Roman" w:cs="Times New Roman"/>
          <w:sz w:val="24"/>
          <w:szCs w:val="24"/>
        </w:rPr>
        <w:t xml:space="preserve">However, someone </w:t>
      </w:r>
      <w:r w:rsidR="005B1EA8">
        <w:rPr>
          <w:rFonts w:ascii="Times New Roman" w:hAnsi="Times New Roman" w:cs="Times New Roman"/>
          <w:sz w:val="24"/>
          <w:szCs w:val="24"/>
        </w:rPr>
        <w:t xml:space="preserve">else </w:t>
      </w:r>
      <w:r w:rsidR="00CB4EAC">
        <w:rPr>
          <w:rFonts w:ascii="Times New Roman" w:hAnsi="Times New Roman" w:cs="Times New Roman"/>
          <w:sz w:val="24"/>
          <w:szCs w:val="24"/>
        </w:rPr>
        <w:t>had tipped the police</w:t>
      </w:r>
      <w:r w:rsidR="008177A5">
        <w:rPr>
          <w:rFonts w:ascii="Times New Roman" w:hAnsi="Times New Roman" w:cs="Times New Roman"/>
          <w:sz w:val="24"/>
          <w:szCs w:val="24"/>
        </w:rPr>
        <w:t>. They came to</w:t>
      </w:r>
      <w:r w:rsidR="00F71EAB">
        <w:rPr>
          <w:rFonts w:ascii="Times New Roman" w:hAnsi="Times New Roman" w:cs="Times New Roman"/>
          <w:sz w:val="24"/>
          <w:szCs w:val="24"/>
        </w:rPr>
        <w:t xml:space="preserve"> r</w:t>
      </w:r>
      <w:r w:rsidR="00CB4EAC">
        <w:rPr>
          <w:rFonts w:ascii="Times New Roman" w:hAnsi="Times New Roman" w:cs="Times New Roman"/>
          <w:sz w:val="24"/>
          <w:szCs w:val="24"/>
        </w:rPr>
        <w:t>ecord a statement from the complainant. He sa</w:t>
      </w:r>
      <w:r w:rsidR="005B1EA8">
        <w:rPr>
          <w:rFonts w:ascii="Times New Roman" w:hAnsi="Times New Roman" w:cs="Times New Roman"/>
          <w:sz w:val="24"/>
          <w:szCs w:val="24"/>
        </w:rPr>
        <w:t xml:space="preserve">ys </w:t>
      </w:r>
      <w:r w:rsidR="00CB4EAC">
        <w:rPr>
          <w:rFonts w:ascii="Times New Roman" w:hAnsi="Times New Roman" w:cs="Times New Roman"/>
          <w:sz w:val="24"/>
          <w:szCs w:val="24"/>
        </w:rPr>
        <w:t xml:space="preserve">he was not aware of the court proceedings thereafter. He later learnt that the accused had been convicted. He </w:t>
      </w:r>
      <w:r w:rsidR="005B1EA8">
        <w:rPr>
          <w:rFonts w:ascii="Times New Roman" w:hAnsi="Times New Roman" w:cs="Times New Roman"/>
          <w:sz w:val="24"/>
          <w:szCs w:val="24"/>
        </w:rPr>
        <w:t xml:space="preserve">thinks </w:t>
      </w:r>
      <w:r w:rsidR="00CB4EAC">
        <w:rPr>
          <w:rFonts w:ascii="Times New Roman" w:hAnsi="Times New Roman" w:cs="Times New Roman"/>
          <w:sz w:val="24"/>
          <w:szCs w:val="24"/>
        </w:rPr>
        <w:t>that the accused ha</w:t>
      </w:r>
      <w:r w:rsidR="005B1EA8">
        <w:rPr>
          <w:rFonts w:ascii="Times New Roman" w:hAnsi="Times New Roman" w:cs="Times New Roman"/>
          <w:sz w:val="24"/>
          <w:szCs w:val="24"/>
        </w:rPr>
        <w:t>s</w:t>
      </w:r>
      <w:r w:rsidR="00CB4EAC">
        <w:rPr>
          <w:rFonts w:ascii="Times New Roman" w:hAnsi="Times New Roman" w:cs="Times New Roman"/>
          <w:sz w:val="24"/>
          <w:szCs w:val="24"/>
        </w:rPr>
        <w:t xml:space="preserve"> received double punishment. He </w:t>
      </w:r>
      <w:r w:rsidR="00F71EAB">
        <w:rPr>
          <w:rFonts w:ascii="Times New Roman" w:hAnsi="Times New Roman" w:cs="Times New Roman"/>
          <w:sz w:val="24"/>
          <w:szCs w:val="24"/>
        </w:rPr>
        <w:t xml:space="preserve">had </w:t>
      </w:r>
      <w:r w:rsidR="00CB4EAC">
        <w:rPr>
          <w:rFonts w:ascii="Times New Roman" w:hAnsi="Times New Roman" w:cs="Times New Roman"/>
          <w:sz w:val="24"/>
          <w:szCs w:val="24"/>
        </w:rPr>
        <w:t xml:space="preserve">wanted to withdraw the case but </w:t>
      </w:r>
      <w:r w:rsidR="005B1EA8">
        <w:rPr>
          <w:rFonts w:ascii="Times New Roman" w:hAnsi="Times New Roman" w:cs="Times New Roman"/>
          <w:sz w:val="24"/>
          <w:szCs w:val="24"/>
        </w:rPr>
        <w:t xml:space="preserve">says he </w:t>
      </w:r>
      <w:r w:rsidR="00F71EAB">
        <w:rPr>
          <w:rFonts w:ascii="Times New Roman" w:hAnsi="Times New Roman" w:cs="Times New Roman"/>
          <w:sz w:val="24"/>
          <w:szCs w:val="24"/>
        </w:rPr>
        <w:t>had</w:t>
      </w:r>
      <w:r w:rsidR="00CB4EAC">
        <w:rPr>
          <w:rFonts w:ascii="Times New Roman" w:hAnsi="Times New Roman" w:cs="Times New Roman"/>
          <w:sz w:val="24"/>
          <w:szCs w:val="24"/>
        </w:rPr>
        <w:t xml:space="preserve"> not </w:t>
      </w:r>
      <w:r w:rsidR="00F71EAB">
        <w:rPr>
          <w:rFonts w:ascii="Times New Roman" w:hAnsi="Times New Roman" w:cs="Times New Roman"/>
          <w:sz w:val="24"/>
          <w:szCs w:val="24"/>
        </w:rPr>
        <w:t xml:space="preserve">been </w:t>
      </w:r>
      <w:r w:rsidR="00CB4EAC">
        <w:rPr>
          <w:rFonts w:ascii="Times New Roman" w:hAnsi="Times New Roman" w:cs="Times New Roman"/>
          <w:sz w:val="24"/>
          <w:szCs w:val="24"/>
        </w:rPr>
        <w:t xml:space="preserve">given </w:t>
      </w:r>
      <w:r w:rsidR="00F71EAB">
        <w:rPr>
          <w:rFonts w:ascii="Times New Roman" w:hAnsi="Times New Roman" w:cs="Times New Roman"/>
          <w:sz w:val="24"/>
          <w:szCs w:val="24"/>
        </w:rPr>
        <w:t>the</w:t>
      </w:r>
      <w:r w:rsidR="00CB4EAC">
        <w:rPr>
          <w:rFonts w:ascii="Times New Roman" w:hAnsi="Times New Roman" w:cs="Times New Roman"/>
          <w:sz w:val="24"/>
          <w:szCs w:val="24"/>
        </w:rPr>
        <w:t xml:space="preserve"> chance to do so. </w:t>
      </w:r>
    </w:p>
    <w:p w:rsidR="00CB4EAC" w:rsidRDefault="00CB4EA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complainant’s affidavit ends by making a plea </w:t>
      </w:r>
      <w:r w:rsidR="000A7CC5">
        <w:rPr>
          <w:rFonts w:ascii="Times New Roman" w:hAnsi="Times New Roman" w:cs="Times New Roman"/>
          <w:sz w:val="24"/>
          <w:szCs w:val="24"/>
        </w:rPr>
        <w:t xml:space="preserve">that </w:t>
      </w:r>
      <w:r>
        <w:rPr>
          <w:rFonts w:ascii="Times New Roman" w:hAnsi="Times New Roman" w:cs="Times New Roman"/>
          <w:sz w:val="24"/>
          <w:szCs w:val="24"/>
        </w:rPr>
        <w:t xml:space="preserve">the charges against the </w:t>
      </w:r>
      <w:r w:rsidR="00F71EAB">
        <w:rPr>
          <w:rFonts w:ascii="Times New Roman" w:hAnsi="Times New Roman" w:cs="Times New Roman"/>
          <w:sz w:val="24"/>
          <w:szCs w:val="24"/>
        </w:rPr>
        <w:t>accused</w:t>
      </w:r>
      <w:r w:rsidR="000A7CC5">
        <w:rPr>
          <w:rFonts w:ascii="Times New Roman" w:hAnsi="Times New Roman" w:cs="Times New Roman"/>
          <w:sz w:val="24"/>
          <w:szCs w:val="24"/>
        </w:rPr>
        <w:t xml:space="preserve"> </w:t>
      </w:r>
      <w:r>
        <w:rPr>
          <w:rFonts w:ascii="Times New Roman" w:hAnsi="Times New Roman" w:cs="Times New Roman"/>
          <w:sz w:val="24"/>
          <w:szCs w:val="24"/>
        </w:rPr>
        <w:t xml:space="preserve">be withdrawn </w:t>
      </w:r>
      <w:r w:rsidR="00F76397">
        <w:rPr>
          <w:rFonts w:ascii="Times New Roman" w:hAnsi="Times New Roman" w:cs="Times New Roman"/>
          <w:sz w:val="24"/>
          <w:szCs w:val="24"/>
        </w:rPr>
        <w:t>since</w:t>
      </w:r>
      <w:r>
        <w:rPr>
          <w:rFonts w:ascii="Times New Roman" w:hAnsi="Times New Roman" w:cs="Times New Roman"/>
          <w:sz w:val="24"/>
          <w:szCs w:val="24"/>
        </w:rPr>
        <w:t xml:space="preserve"> he ha</w:t>
      </w:r>
      <w:r w:rsidR="00F76397">
        <w:rPr>
          <w:rFonts w:ascii="Times New Roman" w:hAnsi="Times New Roman" w:cs="Times New Roman"/>
          <w:sz w:val="24"/>
          <w:szCs w:val="24"/>
        </w:rPr>
        <w:t>d</w:t>
      </w:r>
      <w:r>
        <w:rPr>
          <w:rFonts w:ascii="Times New Roman" w:hAnsi="Times New Roman" w:cs="Times New Roman"/>
          <w:sz w:val="24"/>
          <w:szCs w:val="24"/>
        </w:rPr>
        <w:t xml:space="preserve"> been given back his heifer</w:t>
      </w:r>
      <w:r w:rsidR="00F76397">
        <w:rPr>
          <w:rFonts w:ascii="Times New Roman" w:hAnsi="Times New Roman" w:cs="Times New Roman"/>
          <w:sz w:val="24"/>
          <w:szCs w:val="24"/>
        </w:rPr>
        <w:t>,</w:t>
      </w:r>
      <w:r>
        <w:rPr>
          <w:rFonts w:ascii="Times New Roman" w:hAnsi="Times New Roman" w:cs="Times New Roman"/>
          <w:sz w:val="24"/>
          <w:szCs w:val="24"/>
        </w:rPr>
        <w:t xml:space="preserve"> and further</w:t>
      </w:r>
      <w:r w:rsidR="000A7CC5">
        <w:rPr>
          <w:rFonts w:ascii="Times New Roman" w:hAnsi="Times New Roman" w:cs="Times New Roman"/>
          <w:sz w:val="24"/>
          <w:szCs w:val="24"/>
        </w:rPr>
        <w:t>,</w:t>
      </w:r>
      <w:r>
        <w:rPr>
          <w:rFonts w:ascii="Times New Roman" w:hAnsi="Times New Roman" w:cs="Times New Roman"/>
          <w:sz w:val="24"/>
          <w:szCs w:val="24"/>
        </w:rPr>
        <w:t xml:space="preserve"> </w:t>
      </w:r>
      <w:r w:rsidR="00F76397">
        <w:rPr>
          <w:rFonts w:ascii="Times New Roman" w:hAnsi="Times New Roman" w:cs="Times New Roman"/>
          <w:sz w:val="24"/>
          <w:szCs w:val="24"/>
        </w:rPr>
        <w:t>since</w:t>
      </w:r>
      <w:r>
        <w:rPr>
          <w:rFonts w:ascii="Times New Roman" w:hAnsi="Times New Roman" w:cs="Times New Roman"/>
          <w:sz w:val="24"/>
          <w:szCs w:val="24"/>
        </w:rPr>
        <w:t xml:space="preserve"> he </w:t>
      </w:r>
      <w:r w:rsidR="005B1EA8">
        <w:rPr>
          <w:rFonts w:ascii="Times New Roman" w:hAnsi="Times New Roman" w:cs="Times New Roman"/>
          <w:sz w:val="24"/>
          <w:szCs w:val="24"/>
        </w:rPr>
        <w:t>i</w:t>
      </w:r>
      <w:r>
        <w:rPr>
          <w:rFonts w:ascii="Times New Roman" w:hAnsi="Times New Roman" w:cs="Times New Roman"/>
          <w:sz w:val="24"/>
          <w:szCs w:val="24"/>
        </w:rPr>
        <w:t>s closely related to the accused</w:t>
      </w:r>
      <w:r w:rsidR="008177A5">
        <w:rPr>
          <w:rFonts w:ascii="Times New Roman" w:hAnsi="Times New Roman" w:cs="Times New Roman"/>
          <w:sz w:val="24"/>
          <w:szCs w:val="24"/>
        </w:rPr>
        <w:t xml:space="preserve">. He says </w:t>
      </w:r>
      <w:r w:rsidR="00F76397">
        <w:rPr>
          <w:rFonts w:ascii="Times New Roman" w:hAnsi="Times New Roman" w:cs="Times New Roman"/>
          <w:sz w:val="24"/>
          <w:szCs w:val="24"/>
        </w:rPr>
        <w:t xml:space="preserve">he </w:t>
      </w:r>
      <w:r>
        <w:rPr>
          <w:rFonts w:ascii="Times New Roman" w:hAnsi="Times New Roman" w:cs="Times New Roman"/>
          <w:sz w:val="24"/>
          <w:szCs w:val="24"/>
        </w:rPr>
        <w:t>no longer fe</w:t>
      </w:r>
      <w:r w:rsidR="005B1EA8">
        <w:rPr>
          <w:rFonts w:ascii="Times New Roman" w:hAnsi="Times New Roman" w:cs="Times New Roman"/>
          <w:sz w:val="24"/>
          <w:szCs w:val="24"/>
        </w:rPr>
        <w:t xml:space="preserve">els </w:t>
      </w:r>
      <w:r>
        <w:rPr>
          <w:rFonts w:ascii="Times New Roman" w:hAnsi="Times New Roman" w:cs="Times New Roman"/>
          <w:sz w:val="24"/>
          <w:szCs w:val="24"/>
        </w:rPr>
        <w:t>prejudiced.</w:t>
      </w:r>
    </w:p>
    <w:p w:rsidR="005223A8" w:rsidRDefault="00B47349"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In the accused’s</w:t>
      </w:r>
      <w:r w:rsidR="00CB4EAC">
        <w:rPr>
          <w:rFonts w:ascii="Times New Roman" w:hAnsi="Times New Roman" w:cs="Times New Roman"/>
          <w:sz w:val="24"/>
          <w:szCs w:val="24"/>
        </w:rPr>
        <w:t xml:space="preserve"> statement </w:t>
      </w:r>
      <w:r>
        <w:rPr>
          <w:rFonts w:ascii="Times New Roman" w:hAnsi="Times New Roman" w:cs="Times New Roman"/>
          <w:sz w:val="24"/>
          <w:szCs w:val="24"/>
        </w:rPr>
        <w:t>on review</w:t>
      </w:r>
      <w:r w:rsidR="008177A5">
        <w:rPr>
          <w:rFonts w:ascii="Times New Roman" w:hAnsi="Times New Roman" w:cs="Times New Roman"/>
          <w:sz w:val="24"/>
          <w:szCs w:val="24"/>
        </w:rPr>
        <w:t>, it</w:t>
      </w:r>
      <w:r>
        <w:rPr>
          <w:rFonts w:ascii="Times New Roman" w:hAnsi="Times New Roman" w:cs="Times New Roman"/>
          <w:sz w:val="24"/>
          <w:szCs w:val="24"/>
        </w:rPr>
        <w:t xml:space="preserve"> </w:t>
      </w:r>
      <w:r w:rsidR="00CB4EAC">
        <w:rPr>
          <w:rFonts w:ascii="Times New Roman" w:hAnsi="Times New Roman" w:cs="Times New Roman"/>
          <w:sz w:val="24"/>
          <w:szCs w:val="24"/>
        </w:rPr>
        <w:t xml:space="preserve">is argued that </w:t>
      </w:r>
      <w:r w:rsidR="008177A5">
        <w:rPr>
          <w:rFonts w:ascii="Times New Roman" w:hAnsi="Times New Roman" w:cs="Times New Roman"/>
          <w:sz w:val="24"/>
          <w:szCs w:val="24"/>
        </w:rPr>
        <w:t xml:space="preserve">his </w:t>
      </w:r>
      <w:r w:rsidR="00CB4EAC">
        <w:rPr>
          <w:rFonts w:ascii="Times New Roman" w:hAnsi="Times New Roman" w:cs="Times New Roman"/>
          <w:sz w:val="24"/>
          <w:szCs w:val="24"/>
        </w:rPr>
        <w:t xml:space="preserve">prosecution </w:t>
      </w:r>
      <w:r w:rsidR="008177A5">
        <w:rPr>
          <w:rFonts w:ascii="Times New Roman" w:hAnsi="Times New Roman" w:cs="Times New Roman"/>
          <w:sz w:val="24"/>
          <w:szCs w:val="24"/>
        </w:rPr>
        <w:t xml:space="preserve">was unwarranted and that it only </w:t>
      </w:r>
      <w:r w:rsidR="00CB4EAC">
        <w:rPr>
          <w:rFonts w:ascii="Times New Roman" w:hAnsi="Times New Roman" w:cs="Times New Roman"/>
          <w:sz w:val="24"/>
          <w:szCs w:val="24"/>
        </w:rPr>
        <w:t xml:space="preserve">came about </w:t>
      </w:r>
      <w:r w:rsidR="008177A5">
        <w:rPr>
          <w:rFonts w:ascii="Times New Roman" w:hAnsi="Times New Roman" w:cs="Times New Roman"/>
          <w:sz w:val="24"/>
          <w:szCs w:val="24"/>
        </w:rPr>
        <w:t>because some</w:t>
      </w:r>
      <w:r w:rsidR="00CB4EAC">
        <w:rPr>
          <w:rFonts w:ascii="Times New Roman" w:hAnsi="Times New Roman" w:cs="Times New Roman"/>
          <w:sz w:val="24"/>
          <w:szCs w:val="24"/>
        </w:rPr>
        <w:t xml:space="preserve"> </w:t>
      </w:r>
      <w:r w:rsidR="005223A8">
        <w:rPr>
          <w:rFonts w:ascii="Times New Roman" w:hAnsi="Times New Roman" w:cs="Times New Roman"/>
          <w:sz w:val="24"/>
          <w:szCs w:val="24"/>
        </w:rPr>
        <w:t xml:space="preserve">unknown </w:t>
      </w:r>
      <w:r w:rsidR="00CB4EAC">
        <w:rPr>
          <w:rFonts w:ascii="Times New Roman" w:hAnsi="Times New Roman" w:cs="Times New Roman"/>
          <w:sz w:val="24"/>
          <w:szCs w:val="24"/>
        </w:rPr>
        <w:t>public busybod</w:t>
      </w:r>
      <w:r w:rsidR="005223A8">
        <w:rPr>
          <w:rFonts w:ascii="Times New Roman" w:hAnsi="Times New Roman" w:cs="Times New Roman"/>
          <w:sz w:val="24"/>
          <w:szCs w:val="24"/>
        </w:rPr>
        <w:t>ies</w:t>
      </w:r>
      <w:r w:rsidR="008177A5">
        <w:rPr>
          <w:rFonts w:ascii="Times New Roman" w:hAnsi="Times New Roman" w:cs="Times New Roman"/>
          <w:sz w:val="24"/>
          <w:szCs w:val="24"/>
        </w:rPr>
        <w:t xml:space="preserve"> had alerted the police</w:t>
      </w:r>
      <w:r w:rsidR="00CB4EAC">
        <w:rPr>
          <w:rFonts w:ascii="Times New Roman" w:hAnsi="Times New Roman" w:cs="Times New Roman"/>
          <w:sz w:val="24"/>
          <w:szCs w:val="24"/>
        </w:rPr>
        <w:t xml:space="preserve">. </w:t>
      </w:r>
      <w:r w:rsidR="005223A8">
        <w:rPr>
          <w:rFonts w:ascii="Times New Roman" w:hAnsi="Times New Roman" w:cs="Times New Roman"/>
          <w:sz w:val="24"/>
          <w:szCs w:val="24"/>
        </w:rPr>
        <w:t xml:space="preserve">Reference is made to the cases of </w:t>
      </w:r>
      <w:r w:rsidR="005223A8" w:rsidRPr="000A7CC5">
        <w:rPr>
          <w:rFonts w:ascii="Times New Roman" w:hAnsi="Times New Roman" w:cs="Times New Roman"/>
          <w:i/>
          <w:sz w:val="24"/>
          <w:szCs w:val="24"/>
        </w:rPr>
        <w:t>S v Hamadziripi</w:t>
      </w:r>
      <w:r w:rsidR="005223A8">
        <w:rPr>
          <w:rStyle w:val="FootnoteReference"/>
          <w:rFonts w:ascii="Times New Roman" w:hAnsi="Times New Roman" w:cs="Times New Roman"/>
          <w:sz w:val="24"/>
          <w:szCs w:val="24"/>
        </w:rPr>
        <w:footnoteReference w:id="4"/>
      </w:r>
      <w:r w:rsidR="005223A8">
        <w:rPr>
          <w:rFonts w:ascii="Times New Roman" w:hAnsi="Times New Roman" w:cs="Times New Roman"/>
          <w:sz w:val="24"/>
          <w:szCs w:val="24"/>
        </w:rPr>
        <w:t xml:space="preserve">; </w:t>
      </w:r>
      <w:r w:rsidR="005223A8" w:rsidRPr="000A7CC5">
        <w:rPr>
          <w:rFonts w:ascii="Times New Roman" w:hAnsi="Times New Roman" w:cs="Times New Roman"/>
          <w:i/>
          <w:sz w:val="24"/>
          <w:szCs w:val="24"/>
        </w:rPr>
        <w:t>S v Mlala</w:t>
      </w:r>
      <w:r w:rsidR="005223A8">
        <w:rPr>
          <w:rStyle w:val="FootnoteReference"/>
          <w:rFonts w:ascii="Times New Roman" w:hAnsi="Times New Roman" w:cs="Times New Roman"/>
          <w:sz w:val="24"/>
          <w:szCs w:val="24"/>
        </w:rPr>
        <w:footnoteReference w:id="5"/>
      </w:r>
      <w:r w:rsidR="005223A8">
        <w:rPr>
          <w:rFonts w:ascii="Times New Roman" w:hAnsi="Times New Roman" w:cs="Times New Roman"/>
          <w:sz w:val="24"/>
          <w:szCs w:val="24"/>
        </w:rPr>
        <w:t xml:space="preserve"> and </w:t>
      </w:r>
      <w:r w:rsidR="005223A8" w:rsidRPr="000A7CC5">
        <w:rPr>
          <w:rFonts w:ascii="Times New Roman" w:hAnsi="Times New Roman" w:cs="Times New Roman"/>
          <w:i/>
          <w:sz w:val="24"/>
          <w:szCs w:val="24"/>
        </w:rPr>
        <w:t>S v Kelly</w:t>
      </w:r>
      <w:r w:rsidR="005223A8">
        <w:rPr>
          <w:rStyle w:val="FootnoteReference"/>
          <w:rFonts w:ascii="Times New Roman" w:hAnsi="Times New Roman" w:cs="Times New Roman"/>
          <w:sz w:val="24"/>
          <w:szCs w:val="24"/>
        </w:rPr>
        <w:footnoteReference w:id="6"/>
      </w:r>
      <w:r w:rsidR="005223A8">
        <w:rPr>
          <w:rFonts w:ascii="Times New Roman" w:hAnsi="Times New Roman" w:cs="Times New Roman"/>
          <w:sz w:val="24"/>
          <w:szCs w:val="24"/>
        </w:rPr>
        <w:t>.</w:t>
      </w:r>
    </w:p>
    <w:p w:rsidR="000A7CC5" w:rsidRDefault="005223A8" w:rsidP="00E65758">
      <w:pPr>
        <w:spacing w:after="0" w:line="360" w:lineRule="auto"/>
        <w:ind w:firstLine="567"/>
        <w:jc w:val="both"/>
        <w:rPr>
          <w:rFonts w:ascii="Times New Roman" w:hAnsi="Times New Roman" w:cs="Times New Roman"/>
          <w:sz w:val="24"/>
          <w:szCs w:val="24"/>
        </w:rPr>
      </w:pPr>
      <w:r w:rsidRPr="000A7CC5">
        <w:rPr>
          <w:rFonts w:ascii="Times New Roman" w:hAnsi="Times New Roman" w:cs="Times New Roman"/>
          <w:i/>
          <w:sz w:val="24"/>
          <w:szCs w:val="24"/>
        </w:rPr>
        <w:t>Hamadziripi</w:t>
      </w:r>
      <w:r>
        <w:rPr>
          <w:rFonts w:ascii="Times New Roman" w:hAnsi="Times New Roman" w:cs="Times New Roman"/>
          <w:sz w:val="24"/>
          <w:szCs w:val="24"/>
        </w:rPr>
        <w:t xml:space="preserve"> was a case where the point was made that it is a legitimate tool in a prosecutor’s kit to decline to prosecute if it is considered that the prosecution would serve no useful purpose. </w:t>
      </w:r>
      <w:r w:rsidR="00F76397">
        <w:rPr>
          <w:rFonts w:ascii="Times New Roman" w:hAnsi="Times New Roman" w:cs="Times New Roman"/>
          <w:sz w:val="24"/>
          <w:szCs w:val="24"/>
        </w:rPr>
        <w:t>In that case, a</w:t>
      </w:r>
      <w:r>
        <w:rPr>
          <w:rFonts w:ascii="Times New Roman" w:hAnsi="Times New Roman" w:cs="Times New Roman"/>
          <w:sz w:val="24"/>
          <w:szCs w:val="24"/>
        </w:rPr>
        <w:t xml:space="preserve"> </w:t>
      </w:r>
      <w:r w:rsidR="000A7CC5">
        <w:rPr>
          <w:rFonts w:ascii="Times New Roman" w:hAnsi="Times New Roman" w:cs="Times New Roman"/>
          <w:sz w:val="24"/>
          <w:szCs w:val="24"/>
        </w:rPr>
        <w:t xml:space="preserve">double </w:t>
      </w:r>
      <w:r>
        <w:rPr>
          <w:rFonts w:ascii="Times New Roman" w:hAnsi="Times New Roman" w:cs="Times New Roman"/>
          <w:sz w:val="24"/>
          <w:szCs w:val="24"/>
        </w:rPr>
        <w:t xml:space="preserve">conviction </w:t>
      </w:r>
      <w:r w:rsidR="000A7CC5">
        <w:rPr>
          <w:rFonts w:ascii="Times New Roman" w:hAnsi="Times New Roman" w:cs="Times New Roman"/>
          <w:sz w:val="24"/>
          <w:szCs w:val="24"/>
        </w:rPr>
        <w:t xml:space="preserve">and sentence </w:t>
      </w:r>
      <w:r>
        <w:rPr>
          <w:rFonts w:ascii="Times New Roman" w:hAnsi="Times New Roman" w:cs="Times New Roman"/>
          <w:sz w:val="24"/>
          <w:szCs w:val="24"/>
        </w:rPr>
        <w:t xml:space="preserve">of driving without a licence and </w:t>
      </w:r>
      <w:r w:rsidR="000A7CC5">
        <w:rPr>
          <w:rFonts w:ascii="Times New Roman" w:hAnsi="Times New Roman" w:cs="Times New Roman"/>
          <w:sz w:val="24"/>
          <w:szCs w:val="24"/>
        </w:rPr>
        <w:t xml:space="preserve">of </w:t>
      </w:r>
      <w:r>
        <w:rPr>
          <w:rFonts w:ascii="Times New Roman" w:hAnsi="Times New Roman" w:cs="Times New Roman"/>
          <w:sz w:val="24"/>
          <w:szCs w:val="24"/>
        </w:rPr>
        <w:t xml:space="preserve">careless driving was, with the concurrence of the Attorney-General, set aside on review where the accused, </w:t>
      </w:r>
      <w:r w:rsidR="000A7CC5">
        <w:rPr>
          <w:rFonts w:ascii="Times New Roman" w:hAnsi="Times New Roman" w:cs="Times New Roman"/>
          <w:sz w:val="24"/>
          <w:szCs w:val="24"/>
        </w:rPr>
        <w:t>a hospital administrator had</w:t>
      </w:r>
      <w:r w:rsidR="006E19A8">
        <w:rPr>
          <w:rFonts w:ascii="Times New Roman" w:hAnsi="Times New Roman" w:cs="Times New Roman"/>
          <w:sz w:val="24"/>
          <w:szCs w:val="24"/>
        </w:rPr>
        <w:t>,</w:t>
      </w:r>
      <w:r w:rsidR="000A7CC5">
        <w:rPr>
          <w:rFonts w:ascii="Times New Roman" w:hAnsi="Times New Roman" w:cs="Times New Roman"/>
          <w:sz w:val="24"/>
          <w:szCs w:val="24"/>
        </w:rPr>
        <w:t xml:space="preserve"> </w:t>
      </w:r>
      <w:r>
        <w:rPr>
          <w:rFonts w:ascii="Times New Roman" w:hAnsi="Times New Roman" w:cs="Times New Roman"/>
          <w:sz w:val="24"/>
          <w:szCs w:val="24"/>
        </w:rPr>
        <w:t xml:space="preserve">in an emergency, </w:t>
      </w:r>
      <w:r w:rsidR="000A7CC5">
        <w:rPr>
          <w:rFonts w:ascii="Times New Roman" w:hAnsi="Times New Roman" w:cs="Times New Roman"/>
          <w:sz w:val="24"/>
          <w:szCs w:val="24"/>
        </w:rPr>
        <w:t>d</w:t>
      </w:r>
      <w:r>
        <w:rPr>
          <w:rFonts w:ascii="Times New Roman" w:hAnsi="Times New Roman" w:cs="Times New Roman"/>
          <w:sz w:val="24"/>
          <w:szCs w:val="24"/>
        </w:rPr>
        <w:t xml:space="preserve">riven an ambulance to </w:t>
      </w:r>
      <w:r w:rsidR="000A7CC5">
        <w:rPr>
          <w:rFonts w:ascii="Times New Roman" w:hAnsi="Times New Roman" w:cs="Times New Roman"/>
          <w:sz w:val="24"/>
          <w:szCs w:val="24"/>
        </w:rPr>
        <w:t>go and fetch the ambulance driver</w:t>
      </w:r>
      <w:r w:rsidR="006E19A8">
        <w:rPr>
          <w:rFonts w:ascii="Times New Roman" w:hAnsi="Times New Roman" w:cs="Times New Roman"/>
          <w:sz w:val="24"/>
          <w:szCs w:val="24"/>
        </w:rPr>
        <w:t xml:space="preserve"> who was</w:t>
      </w:r>
      <w:r w:rsidR="000A7CC5">
        <w:rPr>
          <w:rFonts w:ascii="Times New Roman" w:hAnsi="Times New Roman" w:cs="Times New Roman"/>
          <w:sz w:val="24"/>
          <w:szCs w:val="24"/>
        </w:rPr>
        <w:t xml:space="preserve"> </w:t>
      </w:r>
      <w:r w:rsidR="006E19A8">
        <w:rPr>
          <w:rFonts w:ascii="Times New Roman" w:hAnsi="Times New Roman" w:cs="Times New Roman"/>
          <w:sz w:val="24"/>
          <w:szCs w:val="24"/>
        </w:rPr>
        <w:t xml:space="preserve">away so that he could come and </w:t>
      </w:r>
      <w:r w:rsidR="000A7CC5">
        <w:rPr>
          <w:rFonts w:ascii="Times New Roman" w:hAnsi="Times New Roman" w:cs="Times New Roman"/>
          <w:sz w:val="24"/>
          <w:szCs w:val="24"/>
        </w:rPr>
        <w:t xml:space="preserve">ferry to hospital, on the doctor’s </w:t>
      </w:r>
      <w:r w:rsidR="006E19A8">
        <w:rPr>
          <w:rFonts w:ascii="Times New Roman" w:hAnsi="Times New Roman" w:cs="Times New Roman"/>
          <w:sz w:val="24"/>
          <w:szCs w:val="24"/>
        </w:rPr>
        <w:t>orders</w:t>
      </w:r>
      <w:r w:rsidR="000A7CC5">
        <w:rPr>
          <w:rFonts w:ascii="Times New Roman" w:hAnsi="Times New Roman" w:cs="Times New Roman"/>
          <w:sz w:val="24"/>
          <w:szCs w:val="24"/>
        </w:rPr>
        <w:t xml:space="preserve">, a patient who </w:t>
      </w:r>
      <w:r w:rsidR="00F76397">
        <w:rPr>
          <w:rFonts w:ascii="Times New Roman" w:hAnsi="Times New Roman" w:cs="Times New Roman"/>
          <w:sz w:val="24"/>
          <w:szCs w:val="24"/>
        </w:rPr>
        <w:t xml:space="preserve">had </w:t>
      </w:r>
      <w:r w:rsidR="000A7CC5">
        <w:rPr>
          <w:rFonts w:ascii="Times New Roman" w:hAnsi="Times New Roman" w:cs="Times New Roman"/>
          <w:sz w:val="24"/>
          <w:szCs w:val="24"/>
        </w:rPr>
        <w:t>needed to undergo an operation.</w:t>
      </w:r>
    </w:p>
    <w:p w:rsidR="00F208AD" w:rsidRDefault="006E19A8" w:rsidP="00E65758">
      <w:pPr>
        <w:spacing w:after="0" w:line="360" w:lineRule="auto"/>
        <w:ind w:firstLine="567"/>
        <w:jc w:val="both"/>
        <w:rPr>
          <w:rFonts w:ascii="Times New Roman" w:hAnsi="Times New Roman" w:cs="Times New Roman"/>
          <w:sz w:val="24"/>
          <w:szCs w:val="24"/>
        </w:rPr>
      </w:pPr>
      <w:r w:rsidRPr="00F71EAB">
        <w:rPr>
          <w:rFonts w:ascii="Times New Roman" w:hAnsi="Times New Roman" w:cs="Times New Roman"/>
          <w:i/>
          <w:sz w:val="24"/>
          <w:szCs w:val="24"/>
        </w:rPr>
        <w:t>Mlala</w:t>
      </w:r>
      <w:r>
        <w:rPr>
          <w:rFonts w:ascii="Times New Roman" w:hAnsi="Times New Roman" w:cs="Times New Roman"/>
          <w:sz w:val="24"/>
          <w:szCs w:val="24"/>
        </w:rPr>
        <w:t xml:space="preserve"> </w:t>
      </w:r>
      <w:r w:rsidR="00F76397">
        <w:rPr>
          <w:rFonts w:ascii="Times New Roman" w:hAnsi="Times New Roman" w:cs="Times New Roman"/>
          <w:sz w:val="24"/>
          <w:szCs w:val="24"/>
        </w:rPr>
        <w:t>wa</w:t>
      </w:r>
      <w:r>
        <w:rPr>
          <w:rFonts w:ascii="Times New Roman" w:hAnsi="Times New Roman" w:cs="Times New Roman"/>
          <w:sz w:val="24"/>
          <w:szCs w:val="24"/>
        </w:rPr>
        <w:t>s where the court said that if an accused’s offence is against the personal property of the complainant and not against the person or the public interest generally, and the complainant does not wish to press charges, then it will be impossible to say that the person wronged w</w:t>
      </w:r>
      <w:r w:rsidR="005B1EA8">
        <w:rPr>
          <w:rFonts w:ascii="Times New Roman" w:hAnsi="Times New Roman" w:cs="Times New Roman"/>
          <w:sz w:val="24"/>
          <w:szCs w:val="24"/>
        </w:rPr>
        <w:t xml:space="preserve">ill </w:t>
      </w:r>
      <w:r>
        <w:rPr>
          <w:rFonts w:ascii="Times New Roman" w:hAnsi="Times New Roman" w:cs="Times New Roman"/>
          <w:sz w:val="24"/>
          <w:szCs w:val="24"/>
        </w:rPr>
        <w:t xml:space="preserve">derive any satisfaction from any punishment imposed on the wrong-doer. The court further said that an unwillingness to press charges </w:t>
      </w:r>
      <w:r w:rsidR="00E237F9">
        <w:rPr>
          <w:rFonts w:ascii="Times New Roman" w:hAnsi="Times New Roman" w:cs="Times New Roman"/>
          <w:sz w:val="24"/>
          <w:szCs w:val="24"/>
        </w:rPr>
        <w:t>may be a strong mitigating factor because if the person directly prejudiced can show mercy, then a court of law cannot ignore such magnanimity.</w:t>
      </w:r>
      <w:r w:rsidR="00D70613">
        <w:rPr>
          <w:rFonts w:ascii="Times New Roman" w:hAnsi="Times New Roman" w:cs="Times New Roman"/>
          <w:sz w:val="24"/>
          <w:szCs w:val="24"/>
        </w:rPr>
        <w:t xml:space="preserve"> </w:t>
      </w:r>
      <w:r w:rsidR="00D70613" w:rsidRPr="008177A5">
        <w:rPr>
          <w:rFonts w:ascii="Times New Roman" w:hAnsi="Times New Roman" w:cs="Times New Roman"/>
          <w:sz w:val="24"/>
          <w:szCs w:val="24"/>
        </w:rPr>
        <w:t xml:space="preserve">The court made those remarks in the context </w:t>
      </w:r>
      <w:r w:rsidR="00F76397" w:rsidRPr="008177A5">
        <w:rPr>
          <w:rFonts w:ascii="Times New Roman" w:hAnsi="Times New Roman" w:cs="Times New Roman"/>
          <w:sz w:val="24"/>
          <w:szCs w:val="24"/>
        </w:rPr>
        <w:t>of</w:t>
      </w:r>
      <w:r w:rsidR="00D70613" w:rsidRPr="008177A5">
        <w:rPr>
          <w:rFonts w:ascii="Times New Roman" w:hAnsi="Times New Roman" w:cs="Times New Roman"/>
          <w:sz w:val="24"/>
          <w:szCs w:val="24"/>
        </w:rPr>
        <w:t xml:space="preserve"> the complainant, </w:t>
      </w:r>
      <w:r w:rsidR="00F76397" w:rsidRPr="008177A5">
        <w:rPr>
          <w:rFonts w:ascii="Times New Roman" w:hAnsi="Times New Roman" w:cs="Times New Roman"/>
          <w:sz w:val="24"/>
          <w:szCs w:val="24"/>
        </w:rPr>
        <w:t xml:space="preserve">an uncle to </w:t>
      </w:r>
      <w:r w:rsidR="00D70613" w:rsidRPr="008177A5">
        <w:rPr>
          <w:rFonts w:ascii="Times New Roman" w:hAnsi="Times New Roman" w:cs="Times New Roman"/>
          <w:sz w:val="24"/>
          <w:szCs w:val="24"/>
        </w:rPr>
        <w:t>the accused</w:t>
      </w:r>
      <w:r w:rsidR="00F76397" w:rsidRPr="008177A5">
        <w:rPr>
          <w:rFonts w:ascii="Times New Roman" w:hAnsi="Times New Roman" w:cs="Times New Roman"/>
          <w:sz w:val="24"/>
          <w:szCs w:val="24"/>
        </w:rPr>
        <w:t xml:space="preserve">, </w:t>
      </w:r>
      <w:r w:rsidR="008177A5" w:rsidRPr="008177A5">
        <w:rPr>
          <w:rFonts w:ascii="Times New Roman" w:hAnsi="Times New Roman" w:cs="Times New Roman"/>
          <w:sz w:val="24"/>
          <w:szCs w:val="24"/>
        </w:rPr>
        <w:t xml:space="preserve">herself </w:t>
      </w:r>
      <w:r w:rsidR="00F76397" w:rsidRPr="008177A5">
        <w:rPr>
          <w:rFonts w:ascii="Times New Roman" w:hAnsi="Times New Roman" w:cs="Times New Roman"/>
          <w:sz w:val="24"/>
          <w:szCs w:val="24"/>
        </w:rPr>
        <w:t>a single mother</w:t>
      </w:r>
      <w:r w:rsidR="00D70613" w:rsidRPr="008177A5">
        <w:rPr>
          <w:rFonts w:ascii="Times New Roman" w:hAnsi="Times New Roman" w:cs="Times New Roman"/>
          <w:sz w:val="24"/>
          <w:szCs w:val="24"/>
        </w:rPr>
        <w:t xml:space="preserve"> </w:t>
      </w:r>
      <w:r w:rsidR="00F76397" w:rsidRPr="008177A5">
        <w:rPr>
          <w:rFonts w:ascii="Times New Roman" w:hAnsi="Times New Roman" w:cs="Times New Roman"/>
          <w:sz w:val="24"/>
          <w:szCs w:val="24"/>
        </w:rPr>
        <w:t>who</w:t>
      </w:r>
      <w:r w:rsidR="008177A5" w:rsidRPr="008177A5">
        <w:rPr>
          <w:rFonts w:ascii="Times New Roman" w:hAnsi="Times New Roman" w:cs="Times New Roman"/>
          <w:sz w:val="24"/>
          <w:szCs w:val="24"/>
        </w:rPr>
        <w:t>,</w:t>
      </w:r>
      <w:r w:rsidR="00F76397" w:rsidRPr="008177A5">
        <w:rPr>
          <w:rFonts w:ascii="Times New Roman" w:hAnsi="Times New Roman" w:cs="Times New Roman"/>
          <w:sz w:val="24"/>
          <w:szCs w:val="24"/>
        </w:rPr>
        <w:t xml:space="preserve"> together with her child</w:t>
      </w:r>
      <w:r w:rsidR="00652A61">
        <w:rPr>
          <w:rFonts w:ascii="Times New Roman" w:hAnsi="Times New Roman" w:cs="Times New Roman"/>
          <w:sz w:val="24"/>
          <w:szCs w:val="24"/>
        </w:rPr>
        <w:t>,</w:t>
      </w:r>
      <w:r w:rsidR="008177A5" w:rsidRPr="008177A5">
        <w:rPr>
          <w:rFonts w:ascii="Times New Roman" w:hAnsi="Times New Roman" w:cs="Times New Roman"/>
          <w:sz w:val="24"/>
          <w:szCs w:val="24"/>
        </w:rPr>
        <w:t xml:space="preserve"> lived </w:t>
      </w:r>
      <w:r w:rsidR="00652A61">
        <w:rPr>
          <w:rFonts w:ascii="Times New Roman" w:hAnsi="Times New Roman" w:cs="Times New Roman"/>
          <w:sz w:val="24"/>
          <w:szCs w:val="24"/>
        </w:rPr>
        <w:t xml:space="preserve">with </w:t>
      </w:r>
      <w:r w:rsidR="008177A5" w:rsidRPr="008177A5">
        <w:rPr>
          <w:rFonts w:ascii="Times New Roman" w:hAnsi="Times New Roman" w:cs="Times New Roman"/>
          <w:sz w:val="24"/>
          <w:szCs w:val="24"/>
        </w:rPr>
        <w:t>the complainant</w:t>
      </w:r>
      <w:r w:rsidR="008177A5">
        <w:rPr>
          <w:rFonts w:ascii="Times New Roman" w:hAnsi="Times New Roman" w:cs="Times New Roman"/>
          <w:sz w:val="24"/>
          <w:szCs w:val="24"/>
        </w:rPr>
        <w:t>,</w:t>
      </w:r>
      <w:r w:rsidR="00F76397" w:rsidRPr="000B4FFF">
        <w:rPr>
          <w:rFonts w:ascii="Times New Roman" w:hAnsi="Times New Roman" w:cs="Times New Roman"/>
          <w:color w:val="FF0000"/>
          <w:sz w:val="24"/>
          <w:szCs w:val="24"/>
        </w:rPr>
        <w:t xml:space="preserve"> </w:t>
      </w:r>
      <w:r w:rsidR="008177A5" w:rsidRPr="008177A5">
        <w:rPr>
          <w:rFonts w:ascii="Times New Roman" w:hAnsi="Times New Roman" w:cs="Times New Roman"/>
          <w:sz w:val="24"/>
          <w:szCs w:val="24"/>
        </w:rPr>
        <w:t xml:space="preserve">who </w:t>
      </w:r>
      <w:r w:rsidR="00D70613">
        <w:rPr>
          <w:rFonts w:ascii="Times New Roman" w:hAnsi="Times New Roman" w:cs="Times New Roman"/>
          <w:sz w:val="24"/>
          <w:szCs w:val="24"/>
        </w:rPr>
        <w:t>had wished to withdraw</w:t>
      </w:r>
      <w:r w:rsidR="00F76397">
        <w:rPr>
          <w:rFonts w:ascii="Times New Roman" w:hAnsi="Times New Roman" w:cs="Times New Roman"/>
          <w:sz w:val="24"/>
          <w:szCs w:val="24"/>
        </w:rPr>
        <w:t xml:space="preserve"> charges after the accused</w:t>
      </w:r>
      <w:r w:rsidR="00D70613">
        <w:rPr>
          <w:rFonts w:ascii="Times New Roman" w:hAnsi="Times New Roman" w:cs="Times New Roman"/>
          <w:sz w:val="24"/>
          <w:szCs w:val="24"/>
        </w:rPr>
        <w:t xml:space="preserve"> had defrauded him of various sums of money by making fraudulent withdrawals from his bank account using the passbook which the </w:t>
      </w:r>
      <w:r w:rsidR="00F76397">
        <w:rPr>
          <w:rFonts w:ascii="Times New Roman" w:hAnsi="Times New Roman" w:cs="Times New Roman"/>
          <w:sz w:val="24"/>
          <w:szCs w:val="24"/>
        </w:rPr>
        <w:t>complainant</w:t>
      </w:r>
      <w:r w:rsidR="00D70613">
        <w:rPr>
          <w:rFonts w:ascii="Times New Roman" w:hAnsi="Times New Roman" w:cs="Times New Roman"/>
          <w:sz w:val="24"/>
          <w:szCs w:val="24"/>
        </w:rPr>
        <w:t xml:space="preserve"> had entrusted into her custody. It was accepted that it was the State’s prerogative to determine whether to proceed </w:t>
      </w:r>
      <w:r w:rsidR="00F76397">
        <w:rPr>
          <w:rFonts w:ascii="Times New Roman" w:hAnsi="Times New Roman" w:cs="Times New Roman"/>
          <w:sz w:val="24"/>
          <w:szCs w:val="24"/>
        </w:rPr>
        <w:t xml:space="preserve">with </w:t>
      </w:r>
      <w:r w:rsidR="00D70613">
        <w:rPr>
          <w:rFonts w:ascii="Times New Roman" w:hAnsi="Times New Roman" w:cs="Times New Roman"/>
          <w:sz w:val="24"/>
          <w:szCs w:val="24"/>
        </w:rPr>
        <w:t>the prosecution of an</w:t>
      </w:r>
      <w:r w:rsidR="00F76397">
        <w:rPr>
          <w:rFonts w:ascii="Times New Roman" w:hAnsi="Times New Roman" w:cs="Times New Roman"/>
          <w:sz w:val="24"/>
          <w:szCs w:val="24"/>
        </w:rPr>
        <w:t>y</w:t>
      </w:r>
      <w:r w:rsidR="00D70613">
        <w:rPr>
          <w:rFonts w:ascii="Times New Roman" w:hAnsi="Times New Roman" w:cs="Times New Roman"/>
          <w:sz w:val="24"/>
          <w:szCs w:val="24"/>
        </w:rPr>
        <w:t xml:space="preserve"> person, the lack of desire on the part of the complainant </w:t>
      </w:r>
      <w:r w:rsidR="00C150AD">
        <w:rPr>
          <w:rFonts w:ascii="Times New Roman" w:hAnsi="Times New Roman" w:cs="Times New Roman"/>
          <w:sz w:val="24"/>
          <w:szCs w:val="24"/>
        </w:rPr>
        <w:t xml:space="preserve">only </w:t>
      </w:r>
      <w:r w:rsidR="00D70613">
        <w:rPr>
          <w:rFonts w:ascii="Times New Roman" w:hAnsi="Times New Roman" w:cs="Times New Roman"/>
          <w:sz w:val="24"/>
          <w:szCs w:val="24"/>
        </w:rPr>
        <w:t>being a very weighty mitigatory factor</w:t>
      </w:r>
      <w:r w:rsidR="00F208AD">
        <w:rPr>
          <w:rFonts w:ascii="Times New Roman" w:hAnsi="Times New Roman" w:cs="Times New Roman"/>
          <w:sz w:val="24"/>
          <w:szCs w:val="24"/>
        </w:rPr>
        <w:t xml:space="preserve"> on sentence.</w:t>
      </w:r>
    </w:p>
    <w:p w:rsidR="00F71EAB" w:rsidRDefault="00F208AD" w:rsidP="00E65758">
      <w:pPr>
        <w:spacing w:after="0" w:line="360" w:lineRule="auto"/>
        <w:ind w:firstLine="567"/>
        <w:jc w:val="both"/>
        <w:rPr>
          <w:rFonts w:ascii="Times New Roman" w:hAnsi="Times New Roman" w:cs="Times New Roman"/>
          <w:sz w:val="24"/>
          <w:szCs w:val="24"/>
        </w:rPr>
      </w:pPr>
      <w:r w:rsidRPr="00F71EAB">
        <w:rPr>
          <w:rFonts w:ascii="Times New Roman" w:hAnsi="Times New Roman" w:cs="Times New Roman"/>
          <w:i/>
          <w:sz w:val="24"/>
          <w:szCs w:val="24"/>
        </w:rPr>
        <w:t>Kelly</w:t>
      </w:r>
      <w:r>
        <w:rPr>
          <w:rFonts w:ascii="Times New Roman" w:hAnsi="Times New Roman" w:cs="Times New Roman"/>
          <w:sz w:val="24"/>
          <w:szCs w:val="24"/>
        </w:rPr>
        <w:t xml:space="preserve"> is where </w:t>
      </w:r>
      <w:r w:rsidR="00F71EAB">
        <w:rPr>
          <w:rFonts w:ascii="Times New Roman" w:hAnsi="Times New Roman" w:cs="Times New Roman"/>
          <w:sz w:val="24"/>
          <w:szCs w:val="24"/>
        </w:rPr>
        <w:t xml:space="preserve">the court reiterated that in as much as one appreciates that crimes are generally committed against the State, where the complainant indicates that it is not his desire to have the accused incarcerated, a sentencing authority ought to attach weight to such expressions as </w:t>
      </w:r>
      <w:r w:rsidR="005B1EA8">
        <w:rPr>
          <w:rFonts w:ascii="Times New Roman" w:hAnsi="Times New Roman" w:cs="Times New Roman"/>
          <w:sz w:val="24"/>
          <w:szCs w:val="24"/>
        </w:rPr>
        <w:t>they have</w:t>
      </w:r>
      <w:r w:rsidR="00F71EAB">
        <w:rPr>
          <w:rFonts w:ascii="Times New Roman" w:hAnsi="Times New Roman" w:cs="Times New Roman"/>
          <w:sz w:val="24"/>
          <w:szCs w:val="24"/>
        </w:rPr>
        <w:t xml:space="preserve"> an impact on the </w:t>
      </w:r>
      <w:r w:rsidR="00715D99">
        <w:rPr>
          <w:rFonts w:ascii="Times New Roman" w:hAnsi="Times New Roman" w:cs="Times New Roman"/>
          <w:sz w:val="24"/>
          <w:szCs w:val="24"/>
        </w:rPr>
        <w:t xml:space="preserve">form </w:t>
      </w:r>
      <w:r w:rsidR="00F71EAB">
        <w:rPr>
          <w:rFonts w:ascii="Times New Roman" w:hAnsi="Times New Roman" w:cs="Times New Roman"/>
          <w:sz w:val="24"/>
          <w:szCs w:val="24"/>
        </w:rPr>
        <w:t>of sentence to be imposed.</w:t>
      </w:r>
    </w:p>
    <w:p w:rsidR="006004AF" w:rsidRDefault="00715D99" w:rsidP="00E65758">
      <w:pPr>
        <w:spacing w:after="0" w:line="360" w:lineRule="auto"/>
        <w:ind w:firstLine="567"/>
        <w:jc w:val="both"/>
        <w:rPr>
          <w:rFonts w:ascii="Times New Roman" w:hAnsi="Times New Roman" w:cs="Times New Roman"/>
          <w:sz w:val="24"/>
          <w:szCs w:val="24"/>
        </w:rPr>
      </w:pPr>
      <w:r w:rsidRPr="005B1EA8">
        <w:rPr>
          <w:rFonts w:ascii="Times New Roman" w:hAnsi="Times New Roman" w:cs="Times New Roman"/>
          <w:i/>
          <w:sz w:val="24"/>
          <w:szCs w:val="24"/>
        </w:rPr>
        <w:t>In casu</w:t>
      </w:r>
      <w:r>
        <w:rPr>
          <w:rFonts w:ascii="Times New Roman" w:hAnsi="Times New Roman" w:cs="Times New Roman"/>
          <w:sz w:val="24"/>
          <w:szCs w:val="24"/>
        </w:rPr>
        <w:t xml:space="preserve">, the </w:t>
      </w:r>
      <w:r w:rsidR="00C150AD">
        <w:rPr>
          <w:rFonts w:ascii="Times New Roman" w:hAnsi="Times New Roman" w:cs="Times New Roman"/>
          <w:sz w:val="24"/>
          <w:szCs w:val="24"/>
        </w:rPr>
        <w:t>accused’s</w:t>
      </w:r>
      <w:r>
        <w:rPr>
          <w:rFonts w:ascii="Times New Roman" w:hAnsi="Times New Roman" w:cs="Times New Roman"/>
          <w:sz w:val="24"/>
          <w:szCs w:val="24"/>
        </w:rPr>
        <w:t xml:space="preserve"> statement </w:t>
      </w:r>
      <w:r w:rsidR="00C150AD">
        <w:rPr>
          <w:rFonts w:ascii="Times New Roman" w:hAnsi="Times New Roman" w:cs="Times New Roman"/>
          <w:sz w:val="24"/>
          <w:szCs w:val="24"/>
        </w:rPr>
        <w:t xml:space="preserve">on review </w:t>
      </w:r>
      <w:r>
        <w:rPr>
          <w:rFonts w:ascii="Times New Roman" w:hAnsi="Times New Roman" w:cs="Times New Roman"/>
          <w:sz w:val="24"/>
          <w:szCs w:val="24"/>
        </w:rPr>
        <w:t xml:space="preserve">concludes by </w:t>
      </w:r>
      <w:r w:rsidR="00C150AD">
        <w:rPr>
          <w:rFonts w:ascii="Times New Roman" w:hAnsi="Times New Roman" w:cs="Times New Roman"/>
          <w:sz w:val="24"/>
          <w:szCs w:val="24"/>
        </w:rPr>
        <w:t>declar</w:t>
      </w:r>
      <w:r>
        <w:rPr>
          <w:rFonts w:ascii="Times New Roman" w:hAnsi="Times New Roman" w:cs="Times New Roman"/>
          <w:sz w:val="24"/>
          <w:szCs w:val="24"/>
        </w:rPr>
        <w:t xml:space="preserve">ing that the complainant’s affidavit showed that special circumstances existed. Reference is made to the case of </w:t>
      </w:r>
      <w:r w:rsidRPr="00935440">
        <w:rPr>
          <w:rFonts w:ascii="Times New Roman" w:hAnsi="Times New Roman" w:cs="Times New Roman"/>
          <w:i/>
          <w:sz w:val="24"/>
          <w:szCs w:val="24"/>
        </w:rPr>
        <w:t xml:space="preserve">S v </w:t>
      </w:r>
      <w:r w:rsidRPr="00935440">
        <w:rPr>
          <w:rFonts w:ascii="Times New Roman" w:hAnsi="Times New Roman" w:cs="Times New Roman"/>
          <w:i/>
          <w:sz w:val="24"/>
          <w:szCs w:val="24"/>
        </w:rPr>
        <w:lastRenderedPageBreak/>
        <w:t>Kambuzuma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In that case MUREMBA J, in a review judgment </w:t>
      </w:r>
      <w:r w:rsidR="00935440">
        <w:rPr>
          <w:rFonts w:ascii="Times New Roman" w:hAnsi="Times New Roman" w:cs="Times New Roman"/>
          <w:sz w:val="24"/>
          <w:szCs w:val="24"/>
        </w:rPr>
        <w:t>[</w:t>
      </w:r>
      <w:r>
        <w:rPr>
          <w:rFonts w:ascii="Times New Roman" w:hAnsi="Times New Roman" w:cs="Times New Roman"/>
          <w:sz w:val="24"/>
          <w:szCs w:val="24"/>
        </w:rPr>
        <w:t>with which MAWADZE J concurred</w:t>
      </w:r>
      <w:r w:rsidR="00935440">
        <w:rPr>
          <w:rFonts w:ascii="Times New Roman" w:hAnsi="Times New Roman" w:cs="Times New Roman"/>
          <w:sz w:val="24"/>
          <w:szCs w:val="24"/>
        </w:rPr>
        <w:t>]</w:t>
      </w:r>
      <w:r>
        <w:rPr>
          <w:rFonts w:ascii="Times New Roman" w:hAnsi="Times New Roman" w:cs="Times New Roman"/>
          <w:sz w:val="24"/>
          <w:szCs w:val="24"/>
        </w:rPr>
        <w:t>, found that special circumstances existed where the accused who had stolen four cattle belonging to the complainant and had sold them, showed</w:t>
      </w:r>
      <w:r w:rsidR="001956A0">
        <w:rPr>
          <w:rFonts w:ascii="Times New Roman" w:hAnsi="Times New Roman" w:cs="Times New Roman"/>
          <w:sz w:val="24"/>
          <w:szCs w:val="24"/>
        </w:rPr>
        <w:t>, among other things,</w:t>
      </w:r>
      <w:r>
        <w:rPr>
          <w:rFonts w:ascii="Times New Roman" w:hAnsi="Times New Roman" w:cs="Times New Roman"/>
          <w:sz w:val="24"/>
          <w:szCs w:val="24"/>
        </w:rPr>
        <w:t xml:space="preserve"> that he had been </w:t>
      </w:r>
      <w:r w:rsidR="001956A0">
        <w:rPr>
          <w:rFonts w:ascii="Times New Roman" w:hAnsi="Times New Roman" w:cs="Times New Roman"/>
          <w:sz w:val="24"/>
          <w:szCs w:val="24"/>
        </w:rPr>
        <w:t xml:space="preserve">the </w:t>
      </w:r>
      <w:r>
        <w:rPr>
          <w:rFonts w:ascii="Times New Roman" w:hAnsi="Times New Roman" w:cs="Times New Roman"/>
          <w:sz w:val="24"/>
          <w:szCs w:val="24"/>
        </w:rPr>
        <w:t>complainant’s herd-boy</w:t>
      </w:r>
      <w:r w:rsidR="006004AF">
        <w:rPr>
          <w:rFonts w:ascii="Times New Roman" w:hAnsi="Times New Roman" w:cs="Times New Roman"/>
          <w:sz w:val="24"/>
          <w:szCs w:val="24"/>
        </w:rPr>
        <w:t xml:space="preserve">, and </w:t>
      </w:r>
      <w:r w:rsidR="001956A0">
        <w:rPr>
          <w:rFonts w:ascii="Times New Roman" w:hAnsi="Times New Roman" w:cs="Times New Roman"/>
          <w:sz w:val="24"/>
          <w:szCs w:val="24"/>
        </w:rPr>
        <w:t xml:space="preserve">that despite the complainant having entrusted his entire head of cattle and the accused to a neighbour whom </w:t>
      </w:r>
      <w:r w:rsidR="008E70CF">
        <w:rPr>
          <w:rFonts w:ascii="Times New Roman" w:hAnsi="Times New Roman" w:cs="Times New Roman"/>
          <w:sz w:val="24"/>
          <w:szCs w:val="24"/>
        </w:rPr>
        <w:t xml:space="preserve">he lived with thereafter </w:t>
      </w:r>
      <w:r w:rsidR="001956A0">
        <w:rPr>
          <w:rFonts w:ascii="Times New Roman" w:hAnsi="Times New Roman" w:cs="Times New Roman"/>
          <w:sz w:val="24"/>
          <w:szCs w:val="24"/>
        </w:rPr>
        <w:t xml:space="preserve">during </w:t>
      </w:r>
      <w:r w:rsidR="008E70CF">
        <w:rPr>
          <w:rFonts w:ascii="Times New Roman" w:hAnsi="Times New Roman" w:cs="Times New Roman"/>
          <w:sz w:val="24"/>
          <w:szCs w:val="24"/>
        </w:rPr>
        <w:t xml:space="preserve">the next </w:t>
      </w:r>
      <w:r w:rsidR="001956A0">
        <w:rPr>
          <w:rFonts w:ascii="Times New Roman" w:hAnsi="Times New Roman" w:cs="Times New Roman"/>
          <w:sz w:val="24"/>
          <w:szCs w:val="24"/>
        </w:rPr>
        <w:t>eight years when the complainant had relocated to South Africa, the accused had continued with his duties as herd-boy but without receiving a salary or any form of financial assistance</w:t>
      </w:r>
      <w:r w:rsidR="006004AF">
        <w:rPr>
          <w:rFonts w:ascii="Times New Roman" w:hAnsi="Times New Roman" w:cs="Times New Roman"/>
          <w:sz w:val="24"/>
          <w:szCs w:val="24"/>
        </w:rPr>
        <w:t xml:space="preserve">. The </w:t>
      </w:r>
      <w:r w:rsidR="00935440">
        <w:rPr>
          <w:rFonts w:ascii="Times New Roman" w:hAnsi="Times New Roman" w:cs="Times New Roman"/>
          <w:sz w:val="24"/>
          <w:szCs w:val="24"/>
        </w:rPr>
        <w:t xml:space="preserve">trial court had accepted the existence of special circumstances and had imposed a </w:t>
      </w:r>
      <w:r w:rsidR="006004AF">
        <w:rPr>
          <w:rFonts w:ascii="Times New Roman" w:hAnsi="Times New Roman" w:cs="Times New Roman"/>
          <w:sz w:val="24"/>
          <w:szCs w:val="24"/>
        </w:rPr>
        <w:t xml:space="preserve">sentence of twelve years imprisonment </w:t>
      </w:r>
      <w:r w:rsidR="008E70CF">
        <w:rPr>
          <w:rFonts w:ascii="Times New Roman" w:hAnsi="Times New Roman" w:cs="Times New Roman"/>
          <w:sz w:val="24"/>
          <w:szCs w:val="24"/>
        </w:rPr>
        <w:t xml:space="preserve">but </w:t>
      </w:r>
      <w:r w:rsidR="006004AF">
        <w:rPr>
          <w:rFonts w:ascii="Times New Roman" w:hAnsi="Times New Roman" w:cs="Times New Roman"/>
          <w:sz w:val="24"/>
          <w:szCs w:val="24"/>
        </w:rPr>
        <w:t>wholly suspended on condition the accused paid restitution in the form of four bovines by a certain date</w:t>
      </w:r>
      <w:r w:rsidR="00935440">
        <w:rPr>
          <w:rFonts w:ascii="Times New Roman" w:hAnsi="Times New Roman" w:cs="Times New Roman"/>
          <w:sz w:val="24"/>
          <w:szCs w:val="24"/>
        </w:rPr>
        <w:t>. On review</w:t>
      </w:r>
      <w:r w:rsidR="001956A0">
        <w:rPr>
          <w:rFonts w:ascii="Times New Roman" w:hAnsi="Times New Roman" w:cs="Times New Roman"/>
          <w:sz w:val="24"/>
          <w:szCs w:val="24"/>
        </w:rPr>
        <w:t>,</w:t>
      </w:r>
      <w:r w:rsidR="006004AF">
        <w:rPr>
          <w:rFonts w:ascii="Times New Roman" w:hAnsi="Times New Roman" w:cs="Times New Roman"/>
          <w:sz w:val="24"/>
          <w:szCs w:val="24"/>
        </w:rPr>
        <w:t xml:space="preserve"> </w:t>
      </w:r>
      <w:r w:rsidR="00935440">
        <w:rPr>
          <w:rFonts w:ascii="Times New Roman" w:hAnsi="Times New Roman" w:cs="Times New Roman"/>
          <w:sz w:val="24"/>
          <w:szCs w:val="24"/>
        </w:rPr>
        <w:t xml:space="preserve">the trial court’s findings on special circumstances </w:t>
      </w:r>
      <w:r w:rsidR="008E70CF">
        <w:rPr>
          <w:rFonts w:ascii="Times New Roman" w:hAnsi="Times New Roman" w:cs="Times New Roman"/>
          <w:sz w:val="24"/>
          <w:szCs w:val="24"/>
        </w:rPr>
        <w:t>were general</w:t>
      </w:r>
      <w:r w:rsidR="00C150AD">
        <w:rPr>
          <w:rFonts w:ascii="Times New Roman" w:hAnsi="Times New Roman" w:cs="Times New Roman"/>
          <w:sz w:val="24"/>
          <w:szCs w:val="24"/>
        </w:rPr>
        <w:t>ly</w:t>
      </w:r>
      <w:r w:rsidR="008E70CF">
        <w:rPr>
          <w:rFonts w:ascii="Times New Roman" w:hAnsi="Times New Roman" w:cs="Times New Roman"/>
          <w:sz w:val="24"/>
          <w:szCs w:val="24"/>
        </w:rPr>
        <w:t xml:space="preserve"> accepted. However, the magistrate was </w:t>
      </w:r>
      <w:r w:rsidR="00935440">
        <w:rPr>
          <w:rFonts w:ascii="Times New Roman" w:hAnsi="Times New Roman" w:cs="Times New Roman"/>
          <w:sz w:val="24"/>
          <w:szCs w:val="24"/>
        </w:rPr>
        <w:t xml:space="preserve">criticised for misdirections in other respects. The </w:t>
      </w:r>
      <w:r w:rsidR="008E70CF">
        <w:rPr>
          <w:rFonts w:ascii="Times New Roman" w:hAnsi="Times New Roman" w:cs="Times New Roman"/>
          <w:sz w:val="24"/>
          <w:szCs w:val="24"/>
        </w:rPr>
        <w:t>s</w:t>
      </w:r>
      <w:r w:rsidR="00935440">
        <w:rPr>
          <w:rFonts w:ascii="Times New Roman" w:hAnsi="Times New Roman" w:cs="Times New Roman"/>
          <w:sz w:val="24"/>
          <w:szCs w:val="24"/>
        </w:rPr>
        <w:t xml:space="preserve">entence </w:t>
      </w:r>
      <w:r w:rsidR="008E70CF">
        <w:rPr>
          <w:rFonts w:ascii="Times New Roman" w:hAnsi="Times New Roman" w:cs="Times New Roman"/>
          <w:sz w:val="24"/>
          <w:szCs w:val="24"/>
        </w:rPr>
        <w:t xml:space="preserve">was set aside </w:t>
      </w:r>
      <w:r w:rsidR="00935440">
        <w:rPr>
          <w:rFonts w:ascii="Times New Roman" w:hAnsi="Times New Roman" w:cs="Times New Roman"/>
          <w:sz w:val="24"/>
          <w:szCs w:val="24"/>
        </w:rPr>
        <w:t>and substituted with</w:t>
      </w:r>
      <w:r w:rsidR="006004AF">
        <w:rPr>
          <w:rFonts w:ascii="Times New Roman" w:hAnsi="Times New Roman" w:cs="Times New Roman"/>
          <w:sz w:val="24"/>
          <w:szCs w:val="24"/>
        </w:rPr>
        <w:t xml:space="preserve"> five years imprisonment </w:t>
      </w:r>
      <w:r w:rsidR="008E70CF">
        <w:rPr>
          <w:rFonts w:ascii="Times New Roman" w:hAnsi="Times New Roman" w:cs="Times New Roman"/>
          <w:sz w:val="24"/>
          <w:szCs w:val="24"/>
        </w:rPr>
        <w:t>but</w:t>
      </w:r>
      <w:r w:rsidR="00935440">
        <w:rPr>
          <w:rFonts w:ascii="Times New Roman" w:hAnsi="Times New Roman" w:cs="Times New Roman"/>
          <w:sz w:val="24"/>
          <w:szCs w:val="24"/>
        </w:rPr>
        <w:t xml:space="preserve"> </w:t>
      </w:r>
      <w:r w:rsidR="006004AF">
        <w:rPr>
          <w:rFonts w:ascii="Times New Roman" w:hAnsi="Times New Roman" w:cs="Times New Roman"/>
          <w:sz w:val="24"/>
          <w:szCs w:val="24"/>
        </w:rPr>
        <w:t>wholly suspended on condition that the accused paid restitution in the sum of $2 000.</w:t>
      </w:r>
    </w:p>
    <w:p w:rsidR="006004AF" w:rsidRDefault="006004AF" w:rsidP="00E65758">
      <w:pPr>
        <w:spacing w:after="0" w:line="360" w:lineRule="auto"/>
        <w:ind w:firstLine="567"/>
        <w:jc w:val="both"/>
        <w:rPr>
          <w:rFonts w:ascii="Times New Roman" w:hAnsi="Times New Roman" w:cs="Times New Roman"/>
          <w:sz w:val="24"/>
          <w:szCs w:val="24"/>
        </w:rPr>
      </w:pPr>
      <w:r w:rsidRPr="00923E21">
        <w:rPr>
          <w:rFonts w:ascii="Times New Roman" w:hAnsi="Times New Roman" w:cs="Times New Roman"/>
          <w:i/>
          <w:sz w:val="24"/>
          <w:szCs w:val="24"/>
        </w:rPr>
        <w:t>In casu</w:t>
      </w:r>
      <w:r>
        <w:rPr>
          <w:rFonts w:ascii="Times New Roman" w:hAnsi="Times New Roman" w:cs="Times New Roman"/>
          <w:sz w:val="24"/>
          <w:szCs w:val="24"/>
        </w:rPr>
        <w:t xml:space="preserve">, it is submitted in the accused’s statement on review that the </w:t>
      </w:r>
      <w:r w:rsidR="00935440">
        <w:rPr>
          <w:rFonts w:ascii="Times New Roman" w:hAnsi="Times New Roman" w:cs="Times New Roman"/>
          <w:sz w:val="24"/>
          <w:szCs w:val="24"/>
        </w:rPr>
        <w:t xml:space="preserve">court </w:t>
      </w:r>
      <w:r w:rsidR="00935440" w:rsidRPr="00935440">
        <w:rPr>
          <w:rFonts w:ascii="Times New Roman" w:hAnsi="Times New Roman" w:cs="Times New Roman"/>
          <w:i/>
          <w:sz w:val="24"/>
          <w:szCs w:val="24"/>
        </w:rPr>
        <w:t>a quo</w:t>
      </w:r>
      <w:r w:rsidR="00935440">
        <w:rPr>
          <w:rFonts w:ascii="Times New Roman" w:hAnsi="Times New Roman" w:cs="Times New Roman"/>
          <w:sz w:val="24"/>
          <w:szCs w:val="24"/>
        </w:rPr>
        <w:t xml:space="preserve">, </w:t>
      </w:r>
      <w:r w:rsidR="008177A5">
        <w:rPr>
          <w:rFonts w:ascii="Times New Roman" w:hAnsi="Times New Roman" w:cs="Times New Roman"/>
          <w:sz w:val="24"/>
          <w:szCs w:val="24"/>
        </w:rPr>
        <w:t xml:space="preserve">allegedly </w:t>
      </w:r>
      <w:r>
        <w:rPr>
          <w:rFonts w:ascii="Times New Roman" w:hAnsi="Times New Roman" w:cs="Times New Roman"/>
          <w:sz w:val="24"/>
          <w:szCs w:val="24"/>
        </w:rPr>
        <w:t>having committed such a serious and fatal irregularity, the matter should be remitted for a proper recording and enquiry into special circumstances.</w:t>
      </w:r>
    </w:p>
    <w:p w:rsidR="00935440" w:rsidRDefault="0093544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 I agree?</w:t>
      </w:r>
    </w:p>
    <w:p w:rsidR="00673E10" w:rsidRDefault="00935440"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For stock theft, t</w:t>
      </w:r>
      <w:r w:rsidR="00923E21">
        <w:rPr>
          <w:rFonts w:ascii="Times New Roman" w:hAnsi="Times New Roman" w:cs="Times New Roman"/>
          <w:sz w:val="24"/>
          <w:szCs w:val="24"/>
        </w:rPr>
        <w:t xml:space="preserve">he term </w:t>
      </w:r>
      <w:r w:rsidR="00434BE6">
        <w:rPr>
          <w:rFonts w:ascii="Times New Roman" w:hAnsi="Times New Roman" w:cs="Times New Roman"/>
          <w:sz w:val="24"/>
          <w:szCs w:val="24"/>
        </w:rPr>
        <w:t>“</w:t>
      </w:r>
      <w:r w:rsidR="00923E21" w:rsidRPr="002D3A6E">
        <w:rPr>
          <w:rFonts w:ascii="Times New Roman" w:hAnsi="Times New Roman" w:cs="Times New Roman"/>
          <w:sz w:val="24"/>
          <w:szCs w:val="24"/>
        </w:rPr>
        <w:t>special circumstances</w:t>
      </w:r>
      <w:r w:rsidR="00434BE6">
        <w:rPr>
          <w:rFonts w:ascii="Times New Roman" w:hAnsi="Times New Roman" w:cs="Times New Roman"/>
          <w:sz w:val="24"/>
          <w:szCs w:val="24"/>
        </w:rPr>
        <w:t>”</w:t>
      </w:r>
      <w:r>
        <w:rPr>
          <w:rFonts w:ascii="Times New Roman" w:hAnsi="Times New Roman" w:cs="Times New Roman"/>
          <w:sz w:val="24"/>
          <w:szCs w:val="24"/>
        </w:rPr>
        <w:t xml:space="preserve"> is found in </w:t>
      </w:r>
      <w:r w:rsidR="002D3A6E">
        <w:rPr>
          <w:rFonts w:ascii="Times New Roman" w:hAnsi="Times New Roman" w:cs="Times New Roman"/>
          <w:sz w:val="24"/>
          <w:szCs w:val="24"/>
        </w:rPr>
        <w:t>s 114[3]</w:t>
      </w:r>
      <w:r>
        <w:rPr>
          <w:rFonts w:ascii="Times New Roman" w:hAnsi="Times New Roman" w:cs="Times New Roman"/>
          <w:sz w:val="24"/>
          <w:szCs w:val="24"/>
        </w:rPr>
        <w:t xml:space="preserve"> </w:t>
      </w:r>
      <w:r w:rsidR="00923E21">
        <w:rPr>
          <w:rFonts w:ascii="Times New Roman" w:hAnsi="Times New Roman" w:cs="Times New Roman"/>
          <w:sz w:val="24"/>
          <w:szCs w:val="24"/>
        </w:rPr>
        <w:t xml:space="preserve">of the Criminal Law Code. In </w:t>
      </w:r>
      <w:r w:rsidR="00673E10">
        <w:rPr>
          <w:rFonts w:ascii="Times New Roman" w:hAnsi="Times New Roman" w:cs="Times New Roman"/>
          <w:sz w:val="24"/>
          <w:szCs w:val="24"/>
        </w:rPr>
        <w:t xml:space="preserve">my </w:t>
      </w:r>
      <w:r w:rsidR="00A623D2">
        <w:rPr>
          <w:rFonts w:ascii="Times New Roman" w:hAnsi="Times New Roman" w:cs="Times New Roman"/>
          <w:sz w:val="24"/>
          <w:szCs w:val="24"/>
        </w:rPr>
        <w:t>paraphrase</w:t>
      </w:r>
      <w:r w:rsidR="00725555">
        <w:rPr>
          <w:rFonts w:ascii="Times New Roman" w:hAnsi="Times New Roman" w:cs="Times New Roman"/>
          <w:sz w:val="24"/>
          <w:szCs w:val="24"/>
        </w:rPr>
        <w:t>,</w:t>
      </w:r>
      <w:r w:rsidR="00923E21">
        <w:rPr>
          <w:rFonts w:ascii="Times New Roman" w:hAnsi="Times New Roman" w:cs="Times New Roman"/>
          <w:sz w:val="24"/>
          <w:szCs w:val="24"/>
        </w:rPr>
        <w:t xml:space="preserve"> </w:t>
      </w:r>
      <w:r w:rsidR="008E70CF">
        <w:rPr>
          <w:rFonts w:ascii="Times New Roman" w:hAnsi="Times New Roman" w:cs="Times New Roman"/>
          <w:sz w:val="24"/>
          <w:szCs w:val="24"/>
        </w:rPr>
        <w:t xml:space="preserve">the provision says that </w:t>
      </w:r>
      <w:r w:rsidR="00923E21">
        <w:rPr>
          <w:rFonts w:ascii="Times New Roman" w:hAnsi="Times New Roman" w:cs="Times New Roman"/>
          <w:sz w:val="24"/>
          <w:szCs w:val="24"/>
        </w:rPr>
        <w:t xml:space="preserve">stock theft </w:t>
      </w:r>
      <w:r w:rsidR="00994707">
        <w:rPr>
          <w:rFonts w:ascii="Times New Roman" w:hAnsi="Times New Roman" w:cs="Times New Roman"/>
          <w:sz w:val="24"/>
          <w:szCs w:val="24"/>
        </w:rPr>
        <w:t xml:space="preserve">involving </w:t>
      </w:r>
      <w:r w:rsidR="00923E21">
        <w:rPr>
          <w:rFonts w:ascii="Times New Roman" w:hAnsi="Times New Roman" w:cs="Times New Roman"/>
          <w:sz w:val="24"/>
          <w:szCs w:val="24"/>
        </w:rPr>
        <w:t>a bovine or equine animal attracts a penalty of nine years imprisonment where there are no special circumstances</w:t>
      </w:r>
      <w:r w:rsidR="00A623D2">
        <w:rPr>
          <w:rFonts w:ascii="Times New Roman" w:hAnsi="Times New Roman" w:cs="Times New Roman"/>
          <w:sz w:val="24"/>
          <w:szCs w:val="24"/>
        </w:rPr>
        <w:t xml:space="preserve"> [s</w:t>
      </w:r>
      <w:r w:rsidR="00042068">
        <w:rPr>
          <w:rFonts w:ascii="Times New Roman" w:hAnsi="Times New Roman" w:cs="Times New Roman"/>
          <w:sz w:val="24"/>
          <w:szCs w:val="24"/>
        </w:rPr>
        <w:t>ub-</w:t>
      </w:r>
      <w:r w:rsidR="00A623D2">
        <w:rPr>
          <w:rFonts w:ascii="Times New Roman" w:hAnsi="Times New Roman" w:cs="Times New Roman"/>
          <w:sz w:val="24"/>
          <w:szCs w:val="24"/>
        </w:rPr>
        <w:t>s</w:t>
      </w:r>
      <w:r w:rsidR="00042068">
        <w:rPr>
          <w:rFonts w:ascii="Times New Roman" w:hAnsi="Times New Roman" w:cs="Times New Roman"/>
          <w:sz w:val="24"/>
          <w:szCs w:val="24"/>
        </w:rPr>
        <w:t xml:space="preserve">ection </w:t>
      </w:r>
      <w:r w:rsidR="00A623D2">
        <w:rPr>
          <w:rFonts w:ascii="Times New Roman" w:hAnsi="Times New Roman" w:cs="Times New Roman"/>
          <w:sz w:val="24"/>
          <w:szCs w:val="24"/>
        </w:rPr>
        <w:t>(2)(e)]</w:t>
      </w:r>
      <w:r w:rsidR="00923E21">
        <w:rPr>
          <w:rFonts w:ascii="Times New Roman" w:hAnsi="Times New Roman" w:cs="Times New Roman"/>
          <w:sz w:val="24"/>
          <w:szCs w:val="24"/>
        </w:rPr>
        <w:t xml:space="preserve">. </w:t>
      </w:r>
      <w:r w:rsidR="00D54E15">
        <w:rPr>
          <w:rFonts w:ascii="Times New Roman" w:hAnsi="Times New Roman" w:cs="Times New Roman"/>
          <w:sz w:val="24"/>
          <w:szCs w:val="24"/>
        </w:rPr>
        <w:t>However, w</w:t>
      </w:r>
      <w:r w:rsidR="00A623D2">
        <w:rPr>
          <w:rFonts w:ascii="Times New Roman" w:hAnsi="Times New Roman" w:cs="Times New Roman"/>
          <w:sz w:val="24"/>
          <w:szCs w:val="24"/>
        </w:rPr>
        <w:t xml:space="preserve">here there are </w:t>
      </w:r>
      <w:r w:rsidR="00994707">
        <w:rPr>
          <w:rFonts w:ascii="Times New Roman" w:hAnsi="Times New Roman" w:cs="Times New Roman"/>
          <w:sz w:val="24"/>
          <w:szCs w:val="24"/>
        </w:rPr>
        <w:t>special circumstances peculiar to the case</w:t>
      </w:r>
      <w:r w:rsidR="00725555">
        <w:rPr>
          <w:rFonts w:ascii="Times New Roman" w:hAnsi="Times New Roman" w:cs="Times New Roman"/>
          <w:sz w:val="24"/>
          <w:szCs w:val="24"/>
        </w:rPr>
        <w:t>,</w:t>
      </w:r>
      <w:r w:rsidR="00994707">
        <w:rPr>
          <w:rFonts w:ascii="Times New Roman" w:hAnsi="Times New Roman" w:cs="Times New Roman"/>
          <w:sz w:val="24"/>
          <w:szCs w:val="24"/>
        </w:rPr>
        <w:t xml:space="preserve"> the </w:t>
      </w:r>
      <w:r w:rsidR="00A623D2">
        <w:rPr>
          <w:rFonts w:ascii="Times New Roman" w:hAnsi="Times New Roman" w:cs="Times New Roman"/>
          <w:sz w:val="24"/>
          <w:szCs w:val="24"/>
        </w:rPr>
        <w:t xml:space="preserve">mandatory minimum </w:t>
      </w:r>
      <w:r w:rsidR="00994707">
        <w:rPr>
          <w:rFonts w:ascii="Times New Roman" w:hAnsi="Times New Roman" w:cs="Times New Roman"/>
          <w:sz w:val="24"/>
          <w:szCs w:val="24"/>
        </w:rPr>
        <w:t xml:space="preserve">penalty </w:t>
      </w:r>
      <w:r w:rsidR="00725555">
        <w:rPr>
          <w:rFonts w:ascii="Times New Roman" w:hAnsi="Times New Roman" w:cs="Times New Roman"/>
          <w:sz w:val="24"/>
          <w:szCs w:val="24"/>
        </w:rPr>
        <w:t>may</w:t>
      </w:r>
      <w:r w:rsidR="00994707">
        <w:rPr>
          <w:rFonts w:ascii="Times New Roman" w:hAnsi="Times New Roman" w:cs="Times New Roman"/>
          <w:sz w:val="24"/>
          <w:szCs w:val="24"/>
        </w:rPr>
        <w:t xml:space="preserve"> not be imposed</w:t>
      </w:r>
      <w:r w:rsidR="00A623D2">
        <w:rPr>
          <w:rFonts w:ascii="Times New Roman" w:hAnsi="Times New Roman" w:cs="Times New Roman"/>
          <w:sz w:val="24"/>
          <w:szCs w:val="24"/>
        </w:rPr>
        <w:t xml:space="preserve">. The </w:t>
      </w:r>
      <w:r w:rsidR="00725555">
        <w:rPr>
          <w:rFonts w:ascii="Times New Roman" w:hAnsi="Times New Roman" w:cs="Times New Roman"/>
          <w:sz w:val="24"/>
          <w:szCs w:val="24"/>
        </w:rPr>
        <w:t xml:space="preserve">court has two options: either [1] to impose </w:t>
      </w:r>
      <w:r w:rsidR="00994707">
        <w:rPr>
          <w:rFonts w:ascii="Times New Roman" w:hAnsi="Times New Roman" w:cs="Times New Roman"/>
          <w:sz w:val="24"/>
          <w:szCs w:val="24"/>
        </w:rPr>
        <w:t>a fine</w:t>
      </w:r>
      <w:r w:rsidR="00725555">
        <w:rPr>
          <w:rFonts w:ascii="Times New Roman" w:hAnsi="Times New Roman" w:cs="Times New Roman"/>
          <w:sz w:val="24"/>
          <w:szCs w:val="24"/>
        </w:rPr>
        <w:t xml:space="preserve"> either </w:t>
      </w:r>
      <w:r w:rsidR="00994707">
        <w:rPr>
          <w:rFonts w:ascii="Times New Roman" w:hAnsi="Times New Roman" w:cs="Times New Roman"/>
          <w:sz w:val="24"/>
          <w:szCs w:val="24"/>
        </w:rPr>
        <w:t>not exceeding $5 000 [i.e. level fourteen]</w:t>
      </w:r>
      <w:r w:rsidR="00A623D2">
        <w:rPr>
          <w:rFonts w:ascii="Times New Roman" w:hAnsi="Times New Roman" w:cs="Times New Roman"/>
          <w:sz w:val="24"/>
          <w:szCs w:val="24"/>
        </w:rPr>
        <w:t>,</w:t>
      </w:r>
      <w:r w:rsidR="00994707">
        <w:rPr>
          <w:rFonts w:ascii="Times New Roman" w:hAnsi="Times New Roman" w:cs="Times New Roman"/>
          <w:sz w:val="24"/>
          <w:szCs w:val="24"/>
        </w:rPr>
        <w:t xml:space="preserve"> or twice the value of the </w:t>
      </w:r>
      <w:r w:rsidR="00673E10">
        <w:rPr>
          <w:rFonts w:ascii="Times New Roman" w:hAnsi="Times New Roman" w:cs="Times New Roman"/>
          <w:sz w:val="24"/>
          <w:szCs w:val="24"/>
        </w:rPr>
        <w:t xml:space="preserve">stolen property, whichever is the greater, or </w:t>
      </w:r>
      <w:r w:rsidR="00725555">
        <w:rPr>
          <w:rFonts w:ascii="Times New Roman" w:hAnsi="Times New Roman" w:cs="Times New Roman"/>
          <w:sz w:val="24"/>
          <w:szCs w:val="24"/>
        </w:rPr>
        <w:t xml:space="preserve">[2] to impose a term of </w:t>
      </w:r>
      <w:r w:rsidR="00673E10">
        <w:rPr>
          <w:rFonts w:ascii="Times New Roman" w:hAnsi="Times New Roman" w:cs="Times New Roman"/>
          <w:sz w:val="24"/>
          <w:szCs w:val="24"/>
        </w:rPr>
        <w:t>imprisonment for a period not exceeding twenty-five years.</w:t>
      </w:r>
    </w:p>
    <w:p w:rsidR="007C0081" w:rsidRDefault="00A623D2"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Section </w:t>
      </w:r>
      <w:r w:rsidR="00042068">
        <w:rPr>
          <w:rFonts w:ascii="Times New Roman" w:hAnsi="Times New Roman" w:cs="Times New Roman"/>
          <w:sz w:val="24"/>
          <w:szCs w:val="24"/>
        </w:rPr>
        <w:t>114</w:t>
      </w:r>
      <w:r w:rsidR="002D3A6E">
        <w:rPr>
          <w:rFonts w:ascii="Times New Roman" w:hAnsi="Times New Roman" w:cs="Times New Roman"/>
          <w:sz w:val="24"/>
          <w:szCs w:val="24"/>
        </w:rPr>
        <w:t>[3]</w:t>
      </w:r>
      <w:r w:rsidR="00042068">
        <w:rPr>
          <w:rFonts w:ascii="Times New Roman" w:hAnsi="Times New Roman" w:cs="Times New Roman"/>
          <w:sz w:val="24"/>
          <w:szCs w:val="24"/>
        </w:rPr>
        <w:t xml:space="preserve"> </w:t>
      </w:r>
      <w:r>
        <w:rPr>
          <w:rFonts w:ascii="Times New Roman" w:hAnsi="Times New Roman" w:cs="Times New Roman"/>
          <w:sz w:val="24"/>
          <w:szCs w:val="24"/>
        </w:rPr>
        <w:t xml:space="preserve">does not exactly define </w:t>
      </w:r>
      <w:r w:rsidR="00D54E15">
        <w:rPr>
          <w:rFonts w:ascii="Times New Roman" w:hAnsi="Times New Roman" w:cs="Times New Roman"/>
          <w:sz w:val="24"/>
          <w:szCs w:val="24"/>
        </w:rPr>
        <w:t xml:space="preserve">what should constitute </w:t>
      </w:r>
      <w:r>
        <w:rPr>
          <w:rFonts w:ascii="Times New Roman" w:hAnsi="Times New Roman" w:cs="Times New Roman"/>
          <w:sz w:val="24"/>
          <w:szCs w:val="24"/>
        </w:rPr>
        <w:t>special circumstances.</w:t>
      </w:r>
      <w:r w:rsidR="002D3A6E">
        <w:rPr>
          <w:rFonts w:ascii="Times New Roman" w:hAnsi="Times New Roman" w:cs="Times New Roman"/>
          <w:sz w:val="24"/>
          <w:szCs w:val="24"/>
        </w:rPr>
        <w:t xml:space="preserve"> It has generally been accepted that the expression is incapable of any hard and fast definition and that, in fact, it is undesirable to do so as every case will have to be determined in accordance with its own special set of circumstances: see </w:t>
      </w:r>
      <w:r w:rsidR="002D3A6E" w:rsidRPr="0016649B">
        <w:rPr>
          <w:rFonts w:ascii="Times New Roman" w:hAnsi="Times New Roman" w:cs="Times New Roman"/>
          <w:i/>
          <w:sz w:val="24"/>
          <w:szCs w:val="24"/>
        </w:rPr>
        <w:t>R v Finnis</w:t>
      </w:r>
      <w:r w:rsidR="002D3A6E">
        <w:rPr>
          <w:rStyle w:val="FootnoteReference"/>
          <w:rFonts w:ascii="Times New Roman" w:hAnsi="Times New Roman" w:cs="Times New Roman"/>
          <w:sz w:val="24"/>
          <w:szCs w:val="24"/>
        </w:rPr>
        <w:footnoteReference w:id="8"/>
      </w:r>
      <w:r w:rsidR="002D3A6E">
        <w:rPr>
          <w:rFonts w:ascii="Times New Roman" w:hAnsi="Times New Roman" w:cs="Times New Roman"/>
          <w:sz w:val="24"/>
          <w:szCs w:val="24"/>
        </w:rPr>
        <w:t xml:space="preserve"> </w:t>
      </w:r>
      <w:r w:rsidR="0016649B">
        <w:rPr>
          <w:rFonts w:ascii="Times New Roman" w:hAnsi="Times New Roman" w:cs="Times New Roman"/>
          <w:sz w:val="24"/>
          <w:szCs w:val="24"/>
        </w:rPr>
        <w:t xml:space="preserve">and </w:t>
      </w:r>
      <w:r w:rsidR="002D3A6E" w:rsidRPr="00C46A3B">
        <w:rPr>
          <w:rFonts w:ascii="Times New Roman" w:hAnsi="Times New Roman" w:cs="Times New Roman"/>
          <w:i/>
          <w:sz w:val="24"/>
          <w:szCs w:val="24"/>
        </w:rPr>
        <w:t>R v da Costa Silva</w:t>
      </w:r>
      <w:r w:rsidR="002D3A6E">
        <w:rPr>
          <w:rStyle w:val="FootnoteReference"/>
          <w:rFonts w:ascii="Times New Roman" w:hAnsi="Times New Roman" w:cs="Times New Roman"/>
          <w:sz w:val="24"/>
          <w:szCs w:val="24"/>
        </w:rPr>
        <w:footnoteReference w:id="9"/>
      </w:r>
      <w:r w:rsidR="0016649B">
        <w:rPr>
          <w:rFonts w:ascii="Times New Roman" w:hAnsi="Times New Roman" w:cs="Times New Roman"/>
          <w:sz w:val="24"/>
          <w:szCs w:val="24"/>
        </w:rPr>
        <w:t>.</w:t>
      </w:r>
    </w:p>
    <w:p w:rsidR="007C0081" w:rsidRDefault="00A623D2"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All </w:t>
      </w:r>
      <w:r w:rsidR="00D54E15">
        <w:rPr>
          <w:rFonts w:ascii="Times New Roman" w:hAnsi="Times New Roman" w:cs="Times New Roman"/>
          <w:sz w:val="24"/>
          <w:szCs w:val="24"/>
        </w:rPr>
        <w:t xml:space="preserve">that </w:t>
      </w:r>
      <w:r w:rsidR="0016649B">
        <w:rPr>
          <w:rFonts w:ascii="Times New Roman" w:hAnsi="Times New Roman" w:cs="Times New Roman"/>
          <w:sz w:val="24"/>
          <w:szCs w:val="24"/>
        </w:rPr>
        <w:t xml:space="preserve">the section </w:t>
      </w:r>
      <w:r>
        <w:rPr>
          <w:rFonts w:ascii="Times New Roman" w:hAnsi="Times New Roman" w:cs="Times New Roman"/>
          <w:sz w:val="24"/>
          <w:szCs w:val="24"/>
        </w:rPr>
        <w:t>requires is th</w:t>
      </w:r>
      <w:r w:rsidR="00D54E15">
        <w:rPr>
          <w:rFonts w:ascii="Times New Roman" w:hAnsi="Times New Roman" w:cs="Times New Roman"/>
          <w:sz w:val="24"/>
          <w:szCs w:val="24"/>
        </w:rPr>
        <w:t xml:space="preserve">at the </w:t>
      </w:r>
      <w:r>
        <w:rPr>
          <w:rFonts w:ascii="Times New Roman" w:hAnsi="Times New Roman" w:cs="Times New Roman"/>
          <w:sz w:val="24"/>
          <w:szCs w:val="24"/>
        </w:rPr>
        <w:t>special circumstances</w:t>
      </w:r>
      <w:r w:rsidR="00D54E15">
        <w:rPr>
          <w:rFonts w:ascii="Times New Roman" w:hAnsi="Times New Roman" w:cs="Times New Roman"/>
          <w:sz w:val="24"/>
          <w:szCs w:val="24"/>
        </w:rPr>
        <w:t xml:space="preserve"> be those</w:t>
      </w:r>
      <w:r>
        <w:rPr>
          <w:rFonts w:ascii="Times New Roman" w:hAnsi="Times New Roman" w:cs="Times New Roman"/>
          <w:sz w:val="24"/>
          <w:szCs w:val="24"/>
        </w:rPr>
        <w:t xml:space="preserve"> </w:t>
      </w:r>
      <w:r w:rsidRPr="00042068">
        <w:rPr>
          <w:rFonts w:ascii="Times New Roman" w:hAnsi="Times New Roman" w:cs="Times New Roman"/>
          <w:b/>
          <w:sz w:val="24"/>
          <w:szCs w:val="24"/>
          <w:u w:val="single"/>
        </w:rPr>
        <w:t xml:space="preserve">peculiar to </w:t>
      </w:r>
      <w:r w:rsidR="00042068" w:rsidRPr="00042068">
        <w:rPr>
          <w:rFonts w:ascii="Times New Roman" w:hAnsi="Times New Roman" w:cs="Times New Roman"/>
          <w:b/>
          <w:sz w:val="24"/>
          <w:szCs w:val="24"/>
          <w:u w:val="single"/>
        </w:rPr>
        <w:t>the case</w:t>
      </w:r>
      <w:r w:rsidR="0016649B">
        <w:rPr>
          <w:rFonts w:ascii="Times New Roman" w:hAnsi="Times New Roman" w:cs="Times New Roman"/>
          <w:sz w:val="24"/>
          <w:szCs w:val="24"/>
        </w:rPr>
        <w:t xml:space="preserve">. It does not say </w:t>
      </w:r>
      <w:r w:rsidR="00042068" w:rsidRPr="00042068">
        <w:rPr>
          <w:rFonts w:ascii="Times New Roman" w:hAnsi="Times New Roman" w:cs="Times New Roman"/>
          <w:sz w:val="24"/>
          <w:szCs w:val="24"/>
          <w:u w:val="single"/>
        </w:rPr>
        <w:t>peculiar to the accused</w:t>
      </w:r>
      <w:r w:rsidR="00042068">
        <w:rPr>
          <w:rFonts w:ascii="Times New Roman" w:hAnsi="Times New Roman" w:cs="Times New Roman"/>
          <w:sz w:val="24"/>
          <w:szCs w:val="24"/>
        </w:rPr>
        <w:t>.</w:t>
      </w:r>
      <w:r w:rsidR="00725555">
        <w:rPr>
          <w:rFonts w:ascii="Times New Roman" w:hAnsi="Times New Roman" w:cs="Times New Roman"/>
          <w:sz w:val="24"/>
          <w:szCs w:val="24"/>
        </w:rPr>
        <w:t xml:space="preserve"> </w:t>
      </w:r>
      <w:r w:rsidR="004D6A7E">
        <w:rPr>
          <w:rFonts w:ascii="Times New Roman" w:hAnsi="Times New Roman" w:cs="Times New Roman"/>
          <w:sz w:val="24"/>
          <w:szCs w:val="24"/>
        </w:rPr>
        <w:t>But i</w:t>
      </w:r>
      <w:r w:rsidR="00725555">
        <w:rPr>
          <w:rFonts w:ascii="Times New Roman" w:hAnsi="Times New Roman" w:cs="Times New Roman"/>
          <w:sz w:val="24"/>
          <w:szCs w:val="24"/>
        </w:rPr>
        <w:t xml:space="preserve">n </w:t>
      </w:r>
      <w:r w:rsidR="00725555" w:rsidRPr="00C46A3B">
        <w:rPr>
          <w:rFonts w:ascii="Times New Roman" w:hAnsi="Times New Roman" w:cs="Times New Roman"/>
          <w:i/>
          <w:sz w:val="24"/>
          <w:szCs w:val="24"/>
        </w:rPr>
        <w:t>da Costa Silva</w:t>
      </w:r>
      <w:r w:rsidR="00725555">
        <w:rPr>
          <w:rFonts w:ascii="Times New Roman" w:hAnsi="Times New Roman" w:cs="Times New Roman"/>
          <w:sz w:val="24"/>
          <w:szCs w:val="24"/>
        </w:rPr>
        <w:t xml:space="preserve"> </w:t>
      </w:r>
      <w:r w:rsidR="0016649B">
        <w:rPr>
          <w:rFonts w:ascii="Times New Roman" w:hAnsi="Times New Roman" w:cs="Times New Roman"/>
          <w:sz w:val="24"/>
          <w:szCs w:val="24"/>
        </w:rPr>
        <w:t xml:space="preserve">above, </w:t>
      </w:r>
      <w:r w:rsidR="00725555">
        <w:rPr>
          <w:rFonts w:ascii="Times New Roman" w:hAnsi="Times New Roman" w:cs="Times New Roman"/>
          <w:sz w:val="24"/>
          <w:szCs w:val="24"/>
        </w:rPr>
        <w:t>it was held</w:t>
      </w:r>
      <w:r w:rsidR="00D54E15">
        <w:rPr>
          <w:rFonts w:ascii="Times New Roman" w:hAnsi="Times New Roman" w:cs="Times New Roman"/>
          <w:sz w:val="24"/>
          <w:szCs w:val="24"/>
        </w:rPr>
        <w:t xml:space="preserve"> that there </w:t>
      </w:r>
      <w:r w:rsidR="008E70CF">
        <w:rPr>
          <w:rFonts w:ascii="Times New Roman" w:hAnsi="Times New Roman" w:cs="Times New Roman"/>
          <w:sz w:val="24"/>
          <w:szCs w:val="24"/>
        </w:rPr>
        <w:t>is</w:t>
      </w:r>
      <w:r w:rsidR="00C150AD">
        <w:rPr>
          <w:rFonts w:ascii="Times New Roman" w:hAnsi="Times New Roman" w:cs="Times New Roman"/>
          <w:sz w:val="24"/>
          <w:szCs w:val="24"/>
        </w:rPr>
        <w:t>,</w:t>
      </w:r>
      <w:r w:rsidR="008E70CF">
        <w:rPr>
          <w:rFonts w:ascii="Times New Roman" w:hAnsi="Times New Roman" w:cs="Times New Roman"/>
          <w:sz w:val="24"/>
          <w:szCs w:val="24"/>
        </w:rPr>
        <w:t xml:space="preserve"> or </w:t>
      </w:r>
      <w:r w:rsidR="00D54E15">
        <w:rPr>
          <w:rFonts w:ascii="Times New Roman" w:hAnsi="Times New Roman" w:cs="Times New Roman"/>
          <w:sz w:val="24"/>
          <w:szCs w:val="24"/>
        </w:rPr>
        <w:t>should be</w:t>
      </w:r>
      <w:r w:rsidR="00800EDE">
        <w:rPr>
          <w:rFonts w:ascii="Times New Roman" w:hAnsi="Times New Roman" w:cs="Times New Roman"/>
          <w:sz w:val="24"/>
          <w:szCs w:val="24"/>
        </w:rPr>
        <w:t>,</w:t>
      </w:r>
      <w:r w:rsidR="00D54E15">
        <w:rPr>
          <w:rFonts w:ascii="Times New Roman" w:hAnsi="Times New Roman" w:cs="Times New Roman"/>
          <w:sz w:val="24"/>
          <w:szCs w:val="24"/>
        </w:rPr>
        <w:t xml:space="preserve"> no di</w:t>
      </w:r>
      <w:r w:rsidR="008E70CF">
        <w:rPr>
          <w:rFonts w:ascii="Times New Roman" w:hAnsi="Times New Roman" w:cs="Times New Roman"/>
          <w:sz w:val="24"/>
          <w:szCs w:val="24"/>
        </w:rPr>
        <w:t>stinction</w:t>
      </w:r>
      <w:r w:rsidR="00D54E15">
        <w:rPr>
          <w:rFonts w:ascii="Times New Roman" w:hAnsi="Times New Roman" w:cs="Times New Roman"/>
          <w:sz w:val="24"/>
          <w:szCs w:val="24"/>
        </w:rPr>
        <w:t xml:space="preserve">. </w:t>
      </w:r>
    </w:p>
    <w:p w:rsidR="007C0081" w:rsidRDefault="0016649B"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Discussing the expression </w:t>
      </w:r>
      <w:r w:rsidR="008E70CF">
        <w:rPr>
          <w:rFonts w:ascii="Times New Roman" w:hAnsi="Times New Roman" w:cs="Times New Roman"/>
          <w:sz w:val="24"/>
          <w:szCs w:val="24"/>
        </w:rPr>
        <w:t xml:space="preserve">“special circumstances of the case” </w:t>
      </w:r>
      <w:r>
        <w:rPr>
          <w:rFonts w:ascii="Times New Roman" w:hAnsi="Times New Roman" w:cs="Times New Roman"/>
          <w:sz w:val="24"/>
          <w:szCs w:val="24"/>
        </w:rPr>
        <w:t>in</w:t>
      </w:r>
      <w:r w:rsidR="00D54E15">
        <w:rPr>
          <w:rFonts w:ascii="Times New Roman" w:hAnsi="Times New Roman" w:cs="Times New Roman"/>
          <w:sz w:val="24"/>
          <w:szCs w:val="24"/>
        </w:rPr>
        <w:t xml:space="preserve"> </w:t>
      </w:r>
      <w:r w:rsidR="00C46A3B">
        <w:rPr>
          <w:rFonts w:ascii="Times New Roman" w:hAnsi="Times New Roman" w:cs="Times New Roman"/>
          <w:sz w:val="24"/>
          <w:szCs w:val="24"/>
        </w:rPr>
        <w:t xml:space="preserve">the context </w:t>
      </w:r>
      <w:r>
        <w:rPr>
          <w:rFonts w:ascii="Times New Roman" w:hAnsi="Times New Roman" w:cs="Times New Roman"/>
          <w:sz w:val="24"/>
          <w:szCs w:val="24"/>
        </w:rPr>
        <w:t xml:space="preserve">of </w:t>
      </w:r>
      <w:r w:rsidR="00C46A3B">
        <w:rPr>
          <w:rFonts w:ascii="Times New Roman" w:hAnsi="Times New Roman" w:cs="Times New Roman"/>
          <w:sz w:val="24"/>
          <w:szCs w:val="24"/>
        </w:rPr>
        <w:t>a motoring offence in terms of the then Roa</w:t>
      </w:r>
      <w:r w:rsidR="00C641B6">
        <w:rPr>
          <w:rFonts w:ascii="Times New Roman" w:hAnsi="Times New Roman" w:cs="Times New Roman"/>
          <w:sz w:val="24"/>
          <w:szCs w:val="24"/>
        </w:rPr>
        <w:t>ds</w:t>
      </w:r>
      <w:r w:rsidR="00C46A3B">
        <w:rPr>
          <w:rFonts w:ascii="Times New Roman" w:hAnsi="Times New Roman" w:cs="Times New Roman"/>
          <w:sz w:val="24"/>
          <w:szCs w:val="24"/>
        </w:rPr>
        <w:t xml:space="preserve"> and R</w:t>
      </w:r>
      <w:r w:rsidR="00C641B6">
        <w:rPr>
          <w:rFonts w:ascii="Times New Roman" w:hAnsi="Times New Roman" w:cs="Times New Roman"/>
          <w:sz w:val="24"/>
          <w:szCs w:val="24"/>
        </w:rPr>
        <w:t>oad Traffic Act,</w:t>
      </w:r>
      <w:r w:rsidR="00725555">
        <w:rPr>
          <w:rFonts w:ascii="Times New Roman" w:hAnsi="Times New Roman" w:cs="Times New Roman"/>
          <w:sz w:val="24"/>
          <w:szCs w:val="24"/>
        </w:rPr>
        <w:t xml:space="preserve"> </w:t>
      </w:r>
      <w:r>
        <w:rPr>
          <w:rFonts w:ascii="Times New Roman" w:hAnsi="Times New Roman" w:cs="Times New Roman"/>
          <w:sz w:val="24"/>
          <w:szCs w:val="24"/>
        </w:rPr>
        <w:t xml:space="preserve">in terms of which driving a motor vehicle on a road without third party insurance cover attracted a jail term unless there were special circumstances of the case enabling a court to impose a fine, </w:t>
      </w:r>
      <w:r w:rsidR="00D54E15">
        <w:rPr>
          <w:rFonts w:ascii="Times New Roman" w:hAnsi="Times New Roman" w:cs="Times New Roman"/>
          <w:sz w:val="24"/>
          <w:szCs w:val="24"/>
        </w:rPr>
        <w:t xml:space="preserve">the court said </w:t>
      </w:r>
      <w:r w:rsidR="00725555">
        <w:rPr>
          <w:rFonts w:ascii="Times New Roman" w:hAnsi="Times New Roman" w:cs="Times New Roman"/>
          <w:sz w:val="24"/>
          <w:szCs w:val="24"/>
        </w:rPr>
        <w:t xml:space="preserve">that no distinction should be drawn between circumstances </w:t>
      </w:r>
      <w:r w:rsidR="00725555" w:rsidRPr="00C46A3B">
        <w:rPr>
          <w:rFonts w:ascii="Times New Roman" w:hAnsi="Times New Roman" w:cs="Times New Roman"/>
          <w:sz w:val="24"/>
          <w:szCs w:val="24"/>
          <w:u w:val="single"/>
        </w:rPr>
        <w:t>special to the offence</w:t>
      </w:r>
      <w:r w:rsidR="00725555">
        <w:rPr>
          <w:rFonts w:ascii="Times New Roman" w:hAnsi="Times New Roman" w:cs="Times New Roman"/>
          <w:sz w:val="24"/>
          <w:szCs w:val="24"/>
        </w:rPr>
        <w:t xml:space="preserve"> and circumstances </w:t>
      </w:r>
      <w:r w:rsidR="00725555" w:rsidRPr="00C46A3B">
        <w:rPr>
          <w:rFonts w:ascii="Times New Roman" w:hAnsi="Times New Roman" w:cs="Times New Roman"/>
          <w:sz w:val="24"/>
          <w:szCs w:val="24"/>
          <w:u w:val="single"/>
        </w:rPr>
        <w:t>special to the offender</w:t>
      </w:r>
      <w:r w:rsidR="007C7DBD">
        <w:rPr>
          <w:rFonts w:ascii="Times New Roman" w:hAnsi="Times New Roman" w:cs="Times New Roman"/>
          <w:sz w:val="24"/>
          <w:szCs w:val="24"/>
        </w:rPr>
        <w:t xml:space="preserve">. </w:t>
      </w:r>
    </w:p>
    <w:p w:rsidR="007C7DBD" w:rsidRDefault="00572EEC" w:rsidP="00E6575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 </w:t>
      </w:r>
      <w:r w:rsidR="00800EDE">
        <w:rPr>
          <w:rFonts w:ascii="Times New Roman" w:hAnsi="Times New Roman" w:cs="Times New Roman"/>
          <w:sz w:val="24"/>
          <w:szCs w:val="24"/>
        </w:rPr>
        <w:t>help explain the point</w:t>
      </w:r>
      <w:r>
        <w:rPr>
          <w:rFonts w:ascii="Times New Roman" w:hAnsi="Times New Roman" w:cs="Times New Roman"/>
          <w:sz w:val="24"/>
          <w:szCs w:val="24"/>
        </w:rPr>
        <w:t xml:space="preserve">, BEADLE J, as he then was, at </w:t>
      </w:r>
      <w:r w:rsidR="007C0081">
        <w:rPr>
          <w:rFonts w:ascii="Times New Roman" w:hAnsi="Times New Roman" w:cs="Times New Roman"/>
          <w:sz w:val="24"/>
          <w:szCs w:val="24"/>
        </w:rPr>
        <w:t xml:space="preserve">p </w:t>
      </w:r>
      <w:r w:rsidR="00C46A3B">
        <w:rPr>
          <w:rFonts w:ascii="Times New Roman" w:hAnsi="Times New Roman" w:cs="Times New Roman"/>
          <w:sz w:val="24"/>
          <w:szCs w:val="24"/>
        </w:rPr>
        <w:t>181</w:t>
      </w:r>
      <w:r w:rsidR="00C641B6">
        <w:rPr>
          <w:rFonts w:ascii="Times New Roman" w:hAnsi="Times New Roman" w:cs="Times New Roman"/>
          <w:sz w:val="24"/>
          <w:szCs w:val="24"/>
        </w:rPr>
        <w:t xml:space="preserve"> of the judgment</w:t>
      </w:r>
      <w:r>
        <w:rPr>
          <w:rFonts w:ascii="Times New Roman" w:hAnsi="Times New Roman" w:cs="Times New Roman"/>
          <w:sz w:val="24"/>
          <w:szCs w:val="24"/>
        </w:rPr>
        <w:t xml:space="preserve">, gave the example of a very elderly man suffering from some chronic disease </w:t>
      </w:r>
      <w:r w:rsidR="007C0081">
        <w:rPr>
          <w:rFonts w:ascii="Times New Roman" w:hAnsi="Times New Roman" w:cs="Times New Roman"/>
          <w:sz w:val="24"/>
          <w:szCs w:val="24"/>
        </w:rPr>
        <w:t xml:space="preserve">requiring some special diet </w:t>
      </w:r>
      <w:r>
        <w:rPr>
          <w:rFonts w:ascii="Times New Roman" w:hAnsi="Times New Roman" w:cs="Times New Roman"/>
          <w:sz w:val="24"/>
          <w:szCs w:val="24"/>
        </w:rPr>
        <w:t xml:space="preserve">and specialised medical treatment who, if convicted of the motoring offence </w:t>
      </w:r>
      <w:r w:rsidR="007C0081">
        <w:rPr>
          <w:rFonts w:ascii="Times New Roman" w:hAnsi="Times New Roman" w:cs="Times New Roman"/>
          <w:sz w:val="24"/>
          <w:szCs w:val="24"/>
        </w:rPr>
        <w:t xml:space="preserve">in question, would be liable for the mandatory prison term. The learned judge said that if it were shown that the sentence of imprisonment would be likely to cause the sick old man’s death, then it would be a proper factor for the court to take into account and impose a sentence of a fine instead of imprisonment, even though this would be a circumstance “special” </w:t>
      </w:r>
      <w:r w:rsidR="007C0081" w:rsidRPr="007C0081">
        <w:rPr>
          <w:rFonts w:ascii="Times New Roman" w:hAnsi="Times New Roman" w:cs="Times New Roman"/>
          <w:sz w:val="24"/>
          <w:szCs w:val="24"/>
          <w:u w:val="single"/>
        </w:rPr>
        <w:t>to the offender</w:t>
      </w:r>
      <w:r w:rsidR="007C0081">
        <w:rPr>
          <w:rFonts w:ascii="Times New Roman" w:hAnsi="Times New Roman" w:cs="Times New Roman"/>
          <w:sz w:val="24"/>
          <w:szCs w:val="24"/>
        </w:rPr>
        <w:t xml:space="preserve">, and not “special” </w:t>
      </w:r>
      <w:r w:rsidR="007C0081" w:rsidRPr="007C0081">
        <w:rPr>
          <w:rFonts w:ascii="Times New Roman" w:hAnsi="Times New Roman" w:cs="Times New Roman"/>
          <w:sz w:val="24"/>
          <w:szCs w:val="24"/>
          <w:u w:val="single"/>
        </w:rPr>
        <w:t>to the offence</w:t>
      </w:r>
      <w:r w:rsidR="007C0081">
        <w:rPr>
          <w:rFonts w:ascii="Times New Roman" w:hAnsi="Times New Roman" w:cs="Times New Roman"/>
          <w:sz w:val="24"/>
          <w:szCs w:val="24"/>
        </w:rPr>
        <w:t xml:space="preserve">. </w:t>
      </w:r>
    </w:p>
    <w:p w:rsidR="00FF235D" w:rsidRDefault="00AE5ADA" w:rsidP="00A93B70">
      <w:pPr>
        <w:spacing w:after="0" w:line="360" w:lineRule="auto"/>
        <w:ind w:firstLine="567"/>
        <w:jc w:val="both"/>
        <w:rPr>
          <w:rFonts w:ascii="Times New Roman" w:hAnsi="Times New Roman" w:cs="Times New Roman"/>
          <w:i/>
          <w:sz w:val="24"/>
          <w:szCs w:val="24"/>
        </w:rPr>
      </w:pPr>
      <w:r>
        <w:rPr>
          <w:rFonts w:ascii="Times New Roman" w:hAnsi="Times New Roman" w:cs="Times New Roman"/>
          <w:sz w:val="24"/>
          <w:szCs w:val="24"/>
        </w:rPr>
        <w:t>“</w:t>
      </w:r>
      <w:r w:rsidR="00396B3D">
        <w:rPr>
          <w:rFonts w:ascii="Times New Roman" w:hAnsi="Times New Roman" w:cs="Times New Roman"/>
          <w:sz w:val="24"/>
          <w:szCs w:val="24"/>
        </w:rPr>
        <w:t>S</w:t>
      </w:r>
      <w:r>
        <w:rPr>
          <w:rFonts w:ascii="Times New Roman" w:hAnsi="Times New Roman" w:cs="Times New Roman"/>
          <w:sz w:val="24"/>
          <w:szCs w:val="24"/>
        </w:rPr>
        <w:t>pecial circumstances peculiar to the case” must be those factors associ</w:t>
      </w:r>
      <w:r w:rsidR="000E4F0E">
        <w:rPr>
          <w:rFonts w:ascii="Times New Roman" w:hAnsi="Times New Roman" w:cs="Times New Roman"/>
          <w:sz w:val="24"/>
          <w:szCs w:val="24"/>
        </w:rPr>
        <w:t>ated with the crime which serve</w:t>
      </w:r>
      <w:r>
        <w:rPr>
          <w:rFonts w:ascii="Times New Roman" w:hAnsi="Times New Roman" w:cs="Times New Roman"/>
          <w:sz w:val="24"/>
          <w:szCs w:val="24"/>
        </w:rPr>
        <w:t xml:space="preserve"> to diminish morally the degree of the accused’s guilt</w:t>
      </w:r>
      <w:r w:rsidR="004B6952">
        <w:rPr>
          <w:rFonts w:ascii="Times New Roman" w:hAnsi="Times New Roman" w:cs="Times New Roman"/>
          <w:sz w:val="24"/>
          <w:szCs w:val="24"/>
        </w:rPr>
        <w:t>.</w:t>
      </w:r>
      <w:r>
        <w:rPr>
          <w:rFonts w:ascii="Times New Roman" w:hAnsi="Times New Roman" w:cs="Times New Roman"/>
          <w:sz w:val="24"/>
          <w:szCs w:val="24"/>
        </w:rPr>
        <w:t xml:space="preserve"> In other words, they are mitigating or extenuating circumstances, not amounting in law to a defence to the charge, but are directly connected with the commission of the offence, and which the court ought to properly take into consideration when imposing </w:t>
      </w:r>
      <w:r w:rsidR="004B6952">
        <w:rPr>
          <w:rFonts w:ascii="Times New Roman" w:hAnsi="Times New Roman" w:cs="Times New Roman"/>
          <w:sz w:val="24"/>
          <w:szCs w:val="24"/>
        </w:rPr>
        <w:t xml:space="preserve">punishment: </w:t>
      </w:r>
      <w:r w:rsidR="004B6952" w:rsidRPr="00AE5ADA">
        <w:rPr>
          <w:rFonts w:ascii="Times New Roman" w:hAnsi="Times New Roman" w:cs="Times New Roman"/>
          <w:i/>
          <w:sz w:val="24"/>
          <w:szCs w:val="24"/>
        </w:rPr>
        <w:t xml:space="preserve">da </w:t>
      </w:r>
      <w:r w:rsidR="00C150AD">
        <w:rPr>
          <w:rFonts w:ascii="Times New Roman" w:hAnsi="Times New Roman" w:cs="Times New Roman"/>
          <w:i/>
          <w:sz w:val="24"/>
          <w:szCs w:val="24"/>
        </w:rPr>
        <w:t xml:space="preserve">Costa </w:t>
      </w:r>
      <w:r w:rsidR="004B6952" w:rsidRPr="00AE5ADA">
        <w:rPr>
          <w:rFonts w:ascii="Times New Roman" w:hAnsi="Times New Roman" w:cs="Times New Roman"/>
          <w:i/>
          <w:sz w:val="24"/>
          <w:szCs w:val="24"/>
        </w:rPr>
        <w:t>Silva</w:t>
      </w:r>
      <w:r w:rsidR="004B6952">
        <w:rPr>
          <w:rFonts w:ascii="Times New Roman" w:hAnsi="Times New Roman" w:cs="Times New Roman"/>
          <w:i/>
          <w:sz w:val="24"/>
          <w:szCs w:val="24"/>
        </w:rPr>
        <w:t>, supra</w:t>
      </w:r>
      <w:r w:rsidR="00FF235D">
        <w:rPr>
          <w:rFonts w:ascii="Times New Roman" w:hAnsi="Times New Roman" w:cs="Times New Roman"/>
          <w:i/>
          <w:sz w:val="24"/>
          <w:szCs w:val="24"/>
        </w:rPr>
        <w:t>,</w:t>
      </w:r>
      <w:r w:rsidR="000E4F0E">
        <w:rPr>
          <w:rFonts w:ascii="Times New Roman" w:hAnsi="Times New Roman" w:cs="Times New Roman"/>
          <w:sz w:val="24"/>
          <w:szCs w:val="24"/>
        </w:rPr>
        <w:t xml:space="preserve"> at</w:t>
      </w:r>
      <w:r w:rsidR="00FF235D" w:rsidRPr="00FF235D">
        <w:rPr>
          <w:rFonts w:ascii="Times New Roman" w:hAnsi="Times New Roman" w:cs="Times New Roman"/>
          <w:sz w:val="24"/>
          <w:szCs w:val="24"/>
        </w:rPr>
        <w:t xml:space="preserve"> p 179.</w:t>
      </w:r>
    </w:p>
    <w:p w:rsidR="004B6952" w:rsidRDefault="00A93B70" w:rsidP="00A93B7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Section 114[3] aforesaid requires the court to record the special circumstances peculiar to the case that an accused may mention</w:t>
      </w:r>
      <w:r w:rsidR="0016649B">
        <w:rPr>
          <w:rFonts w:ascii="Times New Roman" w:hAnsi="Times New Roman" w:cs="Times New Roman"/>
          <w:sz w:val="24"/>
          <w:szCs w:val="24"/>
        </w:rPr>
        <w:t>.</w:t>
      </w:r>
      <w:r>
        <w:rPr>
          <w:rFonts w:ascii="Times New Roman" w:hAnsi="Times New Roman" w:cs="Times New Roman"/>
          <w:sz w:val="24"/>
          <w:szCs w:val="24"/>
        </w:rPr>
        <w:t xml:space="preserve"> Nothing is said about the recording of the court’s own explanation to the accused. But it is now trite that th</w:t>
      </w:r>
      <w:r w:rsidR="000E4F0E">
        <w:rPr>
          <w:rFonts w:ascii="Times New Roman" w:hAnsi="Times New Roman" w:cs="Times New Roman"/>
          <w:sz w:val="24"/>
          <w:szCs w:val="24"/>
        </w:rPr>
        <w:t xml:space="preserve">e court’s </w:t>
      </w:r>
      <w:r w:rsidR="00396B3D">
        <w:rPr>
          <w:rFonts w:ascii="Times New Roman" w:hAnsi="Times New Roman" w:cs="Times New Roman"/>
          <w:sz w:val="24"/>
          <w:szCs w:val="24"/>
        </w:rPr>
        <w:t xml:space="preserve">own </w:t>
      </w:r>
      <w:r>
        <w:rPr>
          <w:rFonts w:ascii="Times New Roman" w:hAnsi="Times New Roman" w:cs="Times New Roman"/>
          <w:sz w:val="24"/>
          <w:szCs w:val="24"/>
        </w:rPr>
        <w:t xml:space="preserve">explanation should </w:t>
      </w:r>
      <w:r w:rsidR="00396B3D">
        <w:rPr>
          <w:rFonts w:ascii="Times New Roman" w:hAnsi="Times New Roman" w:cs="Times New Roman"/>
          <w:sz w:val="24"/>
          <w:szCs w:val="24"/>
        </w:rPr>
        <w:t xml:space="preserve">also </w:t>
      </w:r>
      <w:r>
        <w:rPr>
          <w:rFonts w:ascii="Times New Roman" w:hAnsi="Times New Roman" w:cs="Times New Roman"/>
          <w:sz w:val="24"/>
          <w:szCs w:val="24"/>
        </w:rPr>
        <w:t>be recorded: see</w:t>
      </w:r>
      <w:r w:rsidR="00684D8E">
        <w:rPr>
          <w:rFonts w:ascii="Times New Roman" w:hAnsi="Times New Roman" w:cs="Times New Roman"/>
          <w:sz w:val="24"/>
          <w:szCs w:val="24"/>
        </w:rPr>
        <w:t xml:space="preserve"> </w:t>
      </w:r>
      <w:r w:rsidR="00684D8E" w:rsidRPr="00AE5ADA">
        <w:rPr>
          <w:rFonts w:ascii="Times New Roman" w:hAnsi="Times New Roman" w:cs="Times New Roman"/>
          <w:i/>
          <w:sz w:val="24"/>
          <w:szCs w:val="24"/>
        </w:rPr>
        <w:t>Chaerera</w:t>
      </w:r>
      <w:r w:rsidR="00684D8E">
        <w:rPr>
          <w:rFonts w:ascii="Times New Roman" w:hAnsi="Times New Roman" w:cs="Times New Roman"/>
          <w:sz w:val="24"/>
          <w:szCs w:val="24"/>
        </w:rPr>
        <w:t xml:space="preserve">; </w:t>
      </w:r>
      <w:r w:rsidR="00684D8E" w:rsidRPr="00AE5ADA">
        <w:rPr>
          <w:rFonts w:ascii="Times New Roman" w:hAnsi="Times New Roman" w:cs="Times New Roman"/>
          <w:i/>
          <w:sz w:val="24"/>
          <w:szCs w:val="24"/>
        </w:rPr>
        <w:t>Manase</w:t>
      </w:r>
      <w:r w:rsidR="00684D8E">
        <w:rPr>
          <w:rFonts w:ascii="Times New Roman" w:hAnsi="Times New Roman" w:cs="Times New Roman"/>
          <w:sz w:val="24"/>
          <w:szCs w:val="24"/>
        </w:rPr>
        <w:t xml:space="preserve">; </w:t>
      </w:r>
      <w:r w:rsidR="00684D8E" w:rsidRPr="00AE5ADA">
        <w:rPr>
          <w:rFonts w:ascii="Times New Roman" w:hAnsi="Times New Roman" w:cs="Times New Roman"/>
          <w:i/>
          <w:sz w:val="24"/>
          <w:szCs w:val="24"/>
        </w:rPr>
        <w:t>Chembe</w:t>
      </w:r>
      <w:r w:rsidR="00684D8E">
        <w:rPr>
          <w:rFonts w:ascii="Times New Roman" w:hAnsi="Times New Roman" w:cs="Times New Roman"/>
          <w:sz w:val="24"/>
          <w:szCs w:val="24"/>
        </w:rPr>
        <w:t>,</w:t>
      </w:r>
      <w:r w:rsidR="00800EDE">
        <w:rPr>
          <w:rFonts w:ascii="Times New Roman" w:hAnsi="Times New Roman" w:cs="Times New Roman"/>
          <w:sz w:val="24"/>
          <w:szCs w:val="24"/>
        </w:rPr>
        <w:t xml:space="preserve"> all above</w:t>
      </w:r>
      <w:r w:rsidR="00FF235D">
        <w:rPr>
          <w:rFonts w:ascii="Times New Roman" w:hAnsi="Times New Roman" w:cs="Times New Roman"/>
          <w:sz w:val="24"/>
          <w:szCs w:val="24"/>
        </w:rPr>
        <w:t xml:space="preserve">, </w:t>
      </w:r>
      <w:r w:rsidR="00684D8E">
        <w:rPr>
          <w:rFonts w:ascii="Times New Roman" w:hAnsi="Times New Roman" w:cs="Times New Roman"/>
          <w:sz w:val="24"/>
          <w:szCs w:val="24"/>
        </w:rPr>
        <w:t xml:space="preserve">and </w:t>
      </w:r>
      <w:r w:rsidR="00A84BE2" w:rsidRPr="00AE5ADA">
        <w:rPr>
          <w:rFonts w:ascii="Times New Roman" w:hAnsi="Times New Roman" w:cs="Times New Roman"/>
          <w:i/>
          <w:sz w:val="24"/>
          <w:szCs w:val="24"/>
        </w:rPr>
        <w:t>Ziyadhuma v S</w:t>
      </w:r>
      <w:r w:rsidR="00A84BE2">
        <w:rPr>
          <w:rStyle w:val="FootnoteReference"/>
          <w:rFonts w:ascii="Times New Roman" w:hAnsi="Times New Roman" w:cs="Times New Roman"/>
          <w:sz w:val="24"/>
          <w:szCs w:val="24"/>
        </w:rPr>
        <w:footnoteReference w:id="10"/>
      </w:r>
      <w:r w:rsidR="00A84BE2">
        <w:rPr>
          <w:rFonts w:ascii="Times New Roman" w:hAnsi="Times New Roman" w:cs="Times New Roman"/>
          <w:sz w:val="24"/>
          <w:szCs w:val="24"/>
        </w:rPr>
        <w:t>.</w:t>
      </w:r>
      <w:r w:rsidR="004B6952">
        <w:rPr>
          <w:rFonts w:ascii="Times New Roman" w:hAnsi="Times New Roman" w:cs="Times New Roman"/>
          <w:sz w:val="24"/>
          <w:szCs w:val="24"/>
        </w:rPr>
        <w:t xml:space="preserve"> On this score, I support the summing up in </w:t>
      </w:r>
      <w:r w:rsidR="004B6952" w:rsidRPr="004B6952">
        <w:rPr>
          <w:rFonts w:ascii="Times New Roman" w:hAnsi="Times New Roman" w:cs="Times New Roman"/>
          <w:i/>
          <w:sz w:val="24"/>
          <w:szCs w:val="24"/>
        </w:rPr>
        <w:t>Ziyadhu</w:t>
      </w:r>
      <w:r w:rsidR="008C0C4D">
        <w:rPr>
          <w:rFonts w:ascii="Times New Roman" w:hAnsi="Times New Roman" w:cs="Times New Roman"/>
          <w:i/>
          <w:sz w:val="24"/>
          <w:szCs w:val="24"/>
        </w:rPr>
        <w:t>m</w:t>
      </w:r>
      <w:r w:rsidR="004B6952" w:rsidRPr="004B6952">
        <w:rPr>
          <w:rFonts w:ascii="Times New Roman" w:hAnsi="Times New Roman" w:cs="Times New Roman"/>
          <w:i/>
          <w:sz w:val="24"/>
          <w:szCs w:val="24"/>
        </w:rPr>
        <w:t>a</w:t>
      </w:r>
      <w:r w:rsidR="004B6952">
        <w:rPr>
          <w:rFonts w:ascii="Times New Roman" w:hAnsi="Times New Roman" w:cs="Times New Roman"/>
          <w:sz w:val="24"/>
          <w:szCs w:val="24"/>
        </w:rPr>
        <w:t xml:space="preserve"> where, in setting aside the sentence of the court </w:t>
      </w:r>
      <w:r w:rsidR="004B6952" w:rsidRPr="004B6952">
        <w:rPr>
          <w:rFonts w:ascii="Times New Roman" w:hAnsi="Times New Roman" w:cs="Times New Roman"/>
          <w:i/>
          <w:sz w:val="24"/>
          <w:szCs w:val="24"/>
        </w:rPr>
        <w:t>a quo</w:t>
      </w:r>
      <w:r w:rsidR="004B6952">
        <w:rPr>
          <w:rFonts w:ascii="Times New Roman" w:hAnsi="Times New Roman" w:cs="Times New Roman"/>
          <w:sz w:val="24"/>
          <w:szCs w:val="24"/>
        </w:rPr>
        <w:t xml:space="preserve"> where the magistrate had, exactly as in this case, merely recorded that “</w:t>
      </w:r>
      <w:r w:rsidR="003E7B64" w:rsidRPr="003E7B64">
        <w:rPr>
          <w:rFonts w:ascii="Times New Roman" w:hAnsi="Times New Roman" w:cs="Times New Roman"/>
          <w:i/>
          <w:sz w:val="24"/>
          <w:szCs w:val="24"/>
        </w:rPr>
        <w:t>S</w:t>
      </w:r>
      <w:r w:rsidR="004B6952" w:rsidRPr="003E7B64">
        <w:rPr>
          <w:rFonts w:ascii="Times New Roman" w:hAnsi="Times New Roman" w:cs="Times New Roman"/>
          <w:i/>
          <w:sz w:val="24"/>
          <w:szCs w:val="24"/>
        </w:rPr>
        <w:t>pecial circumstances peculiar to the case explained and understood</w:t>
      </w:r>
      <w:r w:rsidR="00286BFD">
        <w:rPr>
          <w:rFonts w:ascii="Times New Roman" w:hAnsi="Times New Roman" w:cs="Times New Roman"/>
          <w:sz w:val="24"/>
          <w:szCs w:val="24"/>
        </w:rPr>
        <w:t>”</w:t>
      </w:r>
      <w:r w:rsidR="004B6952">
        <w:rPr>
          <w:rFonts w:ascii="Times New Roman" w:hAnsi="Times New Roman" w:cs="Times New Roman"/>
          <w:sz w:val="24"/>
          <w:szCs w:val="24"/>
        </w:rPr>
        <w:t>, BERE</w:t>
      </w:r>
      <w:r w:rsidR="008C0C4D">
        <w:rPr>
          <w:rFonts w:ascii="Times New Roman" w:hAnsi="Times New Roman" w:cs="Times New Roman"/>
          <w:sz w:val="24"/>
          <w:szCs w:val="24"/>
        </w:rPr>
        <w:t xml:space="preserve"> J</w:t>
      </w:r>
      <w:r w:rsidR="004B6952">
        <w:rPr>
          <w:rFonts w:ascii="Times New Roman" w:hAnsi="Times New Roman" w:cs="Times New Roman"/>
          <w:sz w:val="24"/>
          <w:szCs w:val="24"/>
        </w:rPr>
        <w:t xml:space="preserve"> [HUNGWE J concurring]</w:t>
      </w:r>
      <w:r w:rsidR="000E4F0E">
        <w:rPr>
          <w:rFonts w:ascii="Times New Roman" w:hAnsi="Times New Roman" w:cs="Times New Roman"/>
          <w:sz w:val="24"/>
          <w:szCs w:val="24"/>
        </w:rPr>
        <w:t xml:space="preserve"> </w:t>
      </w:r>
      <w:r w:rsidR="008C0C4D">
        <w:rPr>
          <w:rFonts w:ascii="Times New Roman" w:hAnsi="Times New Roman" w:cs="Times New Roman"/>
          <w:sz w:val="24"/>
          <w:szCs w:val="24"/>
        </w:rPr>
        <w:t>said</w:t>
      </w:r>
      <w:r w:rsidR="008C0C4D">
        <w:rPr>
          <w:rStyle w:val="FootnoteReference"/>
          <w:rFonts w:ascii="Times New Roman" w:hAnsi="Times New Roman" w:cs="Times New Roman"/>
          <w:sz w:val="24"/>
          <w:szCs w:val="24"/>
        </w:rPr>
        <w:footnoteReference w:id="11"/>
      </w:r>
      <w:r w:rsidR="004B6952">
        <w:rPr>
          <w:rFonts w:ascii="Times New Roman" w:hAnsi="Times New Roman" w:cs="Times New Roman"/>
          <w:sz w:val="24"/>
          <w:szCs w:val="24"/>
        </w:rPr>
        <w:t>:</w:t>
      </w:r>
    </w:p>
    <w:p w:rsidR="00800EDE" w:rsidRDefault="00800EDE" w:rsidP="00A93B70">
      <w:pPr>
        <w:spacing w:after="0" w:line="360" w:lineRule="auto"/>
        <w:ind w:firstLine="567"/>
        <w:jc w:val="both"/>
        <w:rPr>
          <w:rFonts w:ascii="Times New Roman" w:hAnsi="Times New Roman" w:cs="Times New Roman"/>
          <w:sz w:val="24"/>
          <w:szCs w:val="24"/>
        </w:rPr>
      </w:pPr>
    </w:p>
    <w:p w:rsidR="008C0C4D" w:rsidRDefault="008C0C4D" w:rsidP="003E7B6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w:t>
      </w:r>
      <w:r w:rsidRPr="003E7B64">
        <w:rPr>
          <w:rFonts w:ascii="Times New Roman" w:hAnsi="Times New Roman" w:cs="Times New Roman"/>
        </w:rPr>
        <w:t>It is imperative in my view that where there is need to deal with the issue of special circumstances, the actual explanation given by the magistrate be recorded to avoid the appeal court having to speculate on what was explained to the appellant before sentencing. … The proper approach should be for the magistrate to explain what special circumstances are and also the consequences of a failure by the convicted person to give such special circumstances. Both the explanation given by the magistrate and the responses given by the convicted person must be recorded</w:t>
      </w:r>
      <w:r>
        <w:rPr>
          <w:rFonts w:ascii="Times New Roman" w:hAnsi="Times New Roman" w:cs="Times New Roman"/>
          <w:sz w:val="24"/>
          <w:szCs w:val="24"/>
        </w:rPr>
        <w:t>.”</w:t>
      </w:r>
    </w:p>
    <w:p w:rsidR="008C0C4D" w:rsidRDefault="008C0C4D" w:rsidP="00A93B70">
      <w:pPr>
        <w:spacing w:after="0" w:line="360" w:lineRule="auto"/>
        <w:ind w:firstLine="567"/>
        <w:jc w:val="both"/>
        <w:rPr>
          <w:rFonts w:ascii="Times New Roman" w:hAnsi="Times New Roman" w:cs="Times New Roman"/>
          <w:sz w:val="24"/>
          <w:szCs w:val="24"/>
        </w:rPr>
      </w:pPr>
    </w:p>
    <w:p w:rsidR="003B6C06" w:rsidRDefault="008C0C4D" w:rsidP="00A93B7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importance of </w:t>
      </w:r>
      <w:r w:rsidR="00AE6DC6">
        <w:rPr>
          <w:rFonts w:ascii="Times New Roman" w:hAnsi="Times New Roman" w:cs="Times New Roman"/>
          <w:sz w:val="24"/>
          <w:szCs w:val="24"/>
        </w:rPr>
        <w:t xml:space="preserve">adequately and properly </w:t>
      </w:r>
      <w:r>
        <w:rPr>
          <w:rFonts w:ascii="Times New Roman" w:hAnsi="Times New Roman" w:cs="Times New Roman"/>
          <w:sz w:val="24"/>
          <w:szCs w:val="24"/>
        </w:rPr>
        <w:t>explaining</w:t>
      </w:r>
      <w:r w:rsidR="00AE6DC6">
        <w:rPr>
          <w:rFonts w:ascii="Times New Roman" w:hAnsi="Times New Roman" w:cs="Times New Roman"/>
          <w:sz w:val="24"/>
          <w:szCs w:val="24"/>
        </w:rPr>
        <w:t xml:space="preserve"> the expression “special circumstances peculiar to the case” is perhaps underscored by </w:t>
      </w:r>
      <w:r>
        <w:rPr>
          <w:rFonts w:ascii="Times New Roman" w:hAnsi="Times New Roman" w:cs="Times New Roman"/>
          <w:sz w:val="24"/>
          <w:szCs w:val="24"/>
        </w:rPr>
        <w:t>the</w:t>
      </w:r>
      <w:r w:rsidR="00AE6DC6">
        <w:rPr>
          <w:rFonts w:ascii="Times New Roman" w:hAnsi="Times New Roman" w:cs="Times New Roman"/>
          <w:sz w:val="24"/>
          <w:szCs w:val="24"/>
        </w:rPr>
        <w:t xml:space="preserve"> fact that if not done, the convicted persons invariably and routinely end up talking about the plight of </w:t>
      </w:r>
      <w:r w:rsidR="000E4F0E">
        <w:rPr>
          <w:rFonts w:ascii="Times New Roman" w:hAnsi="Times New Roman" w:cs="Times New Roman"/>
          <w:sz w:val="24"/>
          <w:szCs w:val="24"/>
        </w:rPr>
        <w:t xml:space="preserve">their </w:t>
      </w:r>
      <w:r w:rsidR="00AE6DC6">
        <w:rPr>
          <w:rFonts w:ascii="Times New Roman" w:hAnsi="Times New Roman" w:cs="Times New Roman"/>
          <w:sz w:val="24"/>
          <w:szCs w:val="24"/>
        </w:rPr>
        <w:t xml:space="preserve">wives and children </w:t>
      </w:r>
      <w:r w:rsidR="00396B3D">
        <w:rPr>
          <w:rFonts w:ascii="Times New Roman" w:hAnsi="Times New Roman" w:cs="Times New Roman"/>
          <w:sz w:val="24"/>
          <w:szCs w:val="24"/>
        </w:rPr>
        <w:t>should</w:t>
      </w:r>
      <w:r w:rsidR="003E7B64">
        <w:rPr>
          <w:rFonts w:ascii="Times New Roman" w:hAnsi="Times New Roman" w:cs="Times New Roman"/>
          <w:sz w:val="24"/>
          <w:szCs w:val="24"/>
        </w:rPr>
        <w:t xml:space="preserve"> the </w:t>
      </w:r>
      <w:r w:rsidR="00AE6DC6">
        <w:rPr>
          <w:rFonts w:ascii="Times New Roman" w:hAnsi="Times New Roman" w:cs="Times New Roman"/>
          <w:sz w:val="24"/>
          <w:szCs w:val="24"/>
        </w:rPr>
        <w:t xml:space="preserve">mandatory jail term </w:t>
      </w:r>
      <w:r w:rsidR="00396B3D">
        <w:rPr>
          <w:rFonts w:ascii="Times New Roman" w:hAnsi="Times New Roman" w:cs="Times New Roman"/>
          <w:sz w:val="24"/>
          <w:szCs w:val="24"/>
        </w:rPr>
        <w:t>be</w:t>
      </w:r>
      <w:r w:rsidR="003E7B64">
        <w:rPr>
          <w:rFonts w:ascii="Times New Roman" w:hAnsi="Times New Roman" w:cs="Times New Roman"/>
          <w:sz w:val="24"/>
          <w:szCs w:val="24"/>
        </w:rPr>
        <w:t xml:space="preserve"> imposed</w:t>
      </w:r>
      <w:r w:rsidR="00396B3D">
        <w:rPr>
          <w:rFonts w:ascii="Times New Roman" w:hAnsi="Times New Roman" w:cs="Times New Roman"/>
          <w:sz w:val="24"/>
          <w:szCs w:val="24"/>
        </w:rPr>
        <w:t>.</w:t>
      </w:r>
      <w:r w:rsidR="00AE6DC6">
        <w:rPr>
          <w:rFonts w:ascii="Times New Roman" w:hAnsi="Times New Roman" w:cs="Times New Roman"/>
          <w:sz w:val="24"/>
          <w:szCs w:val="24"/>
        </w:rPr>
        <w:t xml:space="preserve"> In </w:t>
      </w:r>
      <w:r w:rsidR="000E4F0E">
        <w:rPr>
          <w:rFonts w:ascii="Times New Roman" w:hAnsi="Times New Roman" w:cs="Times New Roman"/>
          <w:i/>
          <w:sz w:val="24"/>
          <w:szCs w:val="24"/>
        </w:rPr>
        <w:t>S v Dube &amp; Anor</w:t>
      </w:r>
      <w:r w:rsidR="000E4F0E" w:rsidRPr="00396B3D">
        <w:rPr>
          <w:rStyle w:val="FootnoteReference"/>
          <w:rFonts w:ascii="Times New Roman" w:hAnsi="Times New Roman" w:cs="Times New Roman"/>
          <w:sz w:val="24"/>
          <w:szCs w:val="24"/>
        </w:rPr>
        <w:footnoteReference w:id="12"/>
      </w:r>
      <w:r w:rsidR="00AE6DC6">
        <w:rPr>
          <w:rFonts w:ascii="Times New Roman" w:hAnsi="Times New Roman" w:cs="Times New Roman"/>
          <w:sz w:val="24"/>
          <w:szCs w:val="24"/>
        </w:rPr>
        <w:t xml:space="preserve"> DU</w:t>
      </w:r>
      <w:r w:rsidR="003B6C06">
        <w:rPr>
          <w:rFonts w:ascii="Times New Roman" w:hAnsi="Times New Roman" w:cs="Times New Roman"/>
          <w:sz w:val="24"/>
          <w:szCs w:val="24"/>
        </w:rPr>
        <w:t xml:space="preserve">MBUTSHENA CJ, criticising the magistrate’s approach in mentioning special circumstances only </w:t>
      </w:r>
      <w:r w:rsidR="003E7B64">
        <w:rPr>
          <w:rFonts w:ascii="Times New Roman" w:hAnsi="Times New Roman" w:cs="Times New Roman"/>
          <w:sz w:val="24"/>
          <w:szCs w:val="24"/>
        </w:rPr>
        <w:t xml:space="preserve">at the end </w:t>
      </w:r>
      <w:r w:rsidR="003B6C06">
        <w:rPr>
          <w:rFonts w:ascii="Times New Roman" w:hAnsi="Times New Roman" w:cs="Times New Roman"/>
          <w:sz w:val="24"/>
          <w:szCs w:val="24"/>
        </w:rPr>
        <w:t>when imposing the sentence, said</w:t>
      </w:r>
      <w:r w:rsidR="003B6C06">
        <w:rPr>
          <w:rStyle w:val="FootnoteReference"/>
          <w:rFonts w:ascii="Times New Roman" w:hAnsi="Times New Roman" w:cs="Times New Roman"/>
          <w:sz w:val="24"/>
          <w:szCs w:val="24"/>
        </w:rPr>
        <w:footnoteReference w:id="13"/>
      </w:r>
      <w:r w:rsidR="003B6C06">
        <w:rPr>
          <w:rFonts w:ascii="Times New Roman" w:hAnsi="Times New Roman" w:cs="Times New Roman"/>
          <w:sz w:val="24"/>
          <w:szCs w:val="24"/>
        </w:rPr>
        <w:t>:</w:t>
      </w:r>
    </w:p>
    <w:p w:rsidR="003B6C06" w:rsidRDefault="003B6C06" w:rsidP="00A93B70">
      <w:pPr>
        <w:spacing w:after="0" w:line="360" w:lineRule="auto"/>
        <w:ind w:firstLine="567"/>
        <w:jc w:val="both"/>
        <w:rPr>
          <w:rFonts w:ascii="Times New Roman" w:hAnsi="Times New Roman" w:cs="Times New Roman"/>
          <w:sz w:val="24"/>
          <w:szCs w:val="24"/>
        </w:rPr>
      </w:pPr>
    </w:p>
    <w:p w:rsidR="00286BFD" w:rsidRDefault="003B6C06" w:rsidP="00FF235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286BFD" w:rsidRPr="003E7B64">
        <w:rPr>
          <w:rFonts w:ascii="Times New Roman" w:hAnsi="Times New Roman" w:cs="Times New Roman"/>
        </w:rPr>
        <w:t>This approach is grievously inadequate. It normally leads, as it led in this case, to a recitation of the number of wives, children and dependants who will be discommoded if the accused is sent to prison. The accused should have been told at this stage [indeed … at a much earlier stage] that the offence involved a minimum sentence and that the court was obliged to … send each of them to prison for at least five years unless they could establish the existence of special circumstances. Some explanation of special circumstances should then have been proffered, including that they may be circumstances peculiar to the offender himself or to the commission of the offence</w:t>
      </w:r>
      <w:r w:rsidR="00286BFD">
        <w:rPr>
          <w:rFonts w:ascii="Times New Roman" w:hAnsi="Times New Roman" w:cs="Times New Roman"/>
          <w:sz w:val="24"/>
          <w:szCs w:val="24"/>
        </w:rPr>
        <w:t>.”</w:t>
      </w:r>
    </w:p>
    <w:p w:rsidR="003E7B64" w:rsidRDefault="003E7B64" w:rsidP="003E7B64">
      <w:pPr>
        <w:spacing w:after="0" w:line="240" w:lineRule="auto"/>
        <w:ind w:left="567"/>
        <w:jc w:val="both"/>
        <w:rPr>
          <w:rFonts w:ascii="Times New Roman" w:hAnsi="Times New Roman" w:cs="Times New Roman"/>
          <w:sz w:val="24"/>
          <w:szCs w:val="24"/>
        </w:rPr>
      </w:pPr>
    </w:p>
    <w:p w:rsidR="00800EDE" w:rsidRDefault="003E7B64" w:rsidP="000E4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accused’s statement on review re</w:t>
      </w:r>
      <w:r w:rsidR="00AB2760">
        <w:rPr>
          <w:rFonts w:ascii="Times New Roman" w:hAnsi="Times New Roman" w:cs="Times New Roman"/>
          <w:sz w:val="24"/>
          <w:szCs w:val="24"/>
        </w:rPr>
        <w:t xml:space="preserve">fers to </w:t>
      </w:r>
      <w:r w:rsidR="00AB2760" w:rsidRPr="00FF235D">
        <w:rPr>
          <w:rFonts w:ascii="Times New Roman" w:hAnsi="Times New Roman" w:cs="Times New Roman"/>
          <w:i/>
          <w:sz w:val="24"/>
          <w:szCs w:val="24"/>
        </w:rPr>
        <w:t>Hamadziripi</w:t>
      </w:r>
      <w:r w:rsidR="00AB2760">
        <w:rPr>
          <w:rFonts w:ascii="Times New Roman" w:hAnsi="Times New Roman" w:cs="Times New Roman"/>
          <w:sz w:val="24"/>
          <w:szCs w:val="24"/>
        </w:rPr>
        <w:t xml:space="preserve"> </w:t>
      </w:r>
      <w:r w:rsidR="00FF235D">
        <w:rPr>
          <w:rFonts w:ascii="Times New Roman" w:hAnsi="Times New Roman" w:cs="Times New Roman"/>
          <w:sz w:val="24"/>
          <w:szCs w:val="24"/>
        </w:rPr>
        <w:t xml:space="preserve">above </w:t>
      </w:r>
      <w:r w:rsidR="00AB2760">
        <w:rPr>
          <w:rFonts w:ascii="Times New Roman" w:hAnsi="Times New Roman" w:cs="Times New Roman"/>
          <w:sz w:val="24"/>
          <w:szCs w:val="24"/>
        </w:rPr>
        <w:t xml:space="preserve">where a prosecution should not have been </w:t>
      </w:r>
      <w:r w:rsidR="000E4F0E">
        <w:rPr>
          <w:rFonts w:ascii="Times New Roman" w:hAnsi="Times New Roman" w:cs="Times New Roman"/>
          <w:sz w:val="24"/>
          <w:szCs w:val="24"/>
        </w:rPr>
        <w:t>moun</w:t>
      </w:r>
      <w:r w:rsidR="00AB2760">
        <w:rPr>
          <w:rFonts w:ascii="Times New Roman" w:hAnsi="Times New Roman" w:cs="Times New Roman"/>
          <w:sz w:val="24"/>
          <w:szCs w:val="24"/>
        </w:rPr>
        <w:t xml:space="preserve">ted in the first </w:t>
      </w:r>
      <w:r w:rsidR="00FF235D">
        <w:rPr>
          <w:rFonts w:ascii="Times New Roman" w:hAnsi="Times New Roman" w:cs="Times New Roman"/>
          <w:sz w:val="24"/>
          <w:szCs w:val="24"/>
        </w:rPr>
        <w:t>place</w:t>
      </w:r>
      <w:r w:rsidR="00800EDE">
        <w:rPr>
          <w:rFonts w:ascii="Times New Roman" w:hAnsi="Times New Roman" w:cs="Times New Roman"/>
          <w:sz w:val="24"/>
          <w:szCs w:val="24"/>
        </w:rPr>
        <w:t>. He then says</w:t>
      </w:r>
      <w:r w:rsidR="00AB2760">
        <w:rPr>
          <w:rFonts w:ascii="Times New Roman" w:hAnsi="Times New Roman" w:cs="Times New Roman"/>
          <w:sz w:val="24"/>
          <w:szCs w:val="24"/>
        </w:rPr>
        <w:t xml:space="preserve"> he too should not have been prosecuted</w:t>
      </w:r>
      <w:r w:rsidR="00800EDE">
        <w:rPr>
          <w:rFonts w:ascii="Times New Roman" w:hAnsi="Times New Roman" w:cs="Times New Roman"/>
          <w:sz w:val="24"/>
          <w:szCs w:val="24"/>
        </w:rPr>
        <w:t xml:space="preserve">. He blames some nameless overzealous </w:t>
      </w:r>
      <w:r w:rsidR="00AB2760">
        <w:rPr>
          <w:rFonts w:ascii="Times New Roman" w:hAnsi="Times New Roman" w:cs="Times New Roman"/>
          <w:sz w:val="24"/>
          <w:szCs w:val="24"/>
        </w:rPr>
        <w:t>public busybodies.</w:t>
      </w:r>
    </w:p>
    <w:p w:rsidR="00FF235D" w:rsidRDefault="00AB2760" w:rsidP="000E4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it is not the </w:t>
      </w:r>
      <w:r w:rsidR="00800EDE">
        <w:rPr>
          <w:rFonts w:ascii="Times New Roman" w:hAnsi="Times New Roman" w:cs="Times New Roman"/>
          <w:sz w:val="24"/>
          <w:szCs w:val="24"/>
        </w:rPr>
        <w:t>function</w:t>
      </w:r>
      <w:r>
        <w:rPr>
          <w:rFonts w:ascii="Times New Roman" w:hAnsi="Times New Roman" w:cs="Times New Roman"/>
          <w:sz w:val="24"/>
          <w:szCs w:val="24"/>
        </w:rPr>
        <w:t xml:space="preserve"> of a statement o</w:t>
      </w:r>
      <w:r w:rsidR="00800EDE">
        <w:rPr>
          <w:rFonts w:ascii="Times New Roman" w:hAnsi="Times New Roman" w:cs="Times New Roman"/>
          <w:sz w:val="24"/>
          <w:szCs w:val="24"/>
        </w:rPr>
        <w:t>n</w:t>
      </w:r>
      <w:r>
        <w:rPr>
          <w:rFonts w:ascii="Times New Roman" w:hAnsi="Times New Roman" w:cs="Times New Roman"/>
          <w:sz w:val="24"/>
          <w:szCs w:val="24"/>
        </w:rPr>
        <w:t xml:space="preserve"> review </w:t>
      </w:r>
      <w:r w:rsidR="00800EDE">
        <w:rPr>
          <w:rFonts w:ascii="Times New Roman" w:hAnsi="Times New Roman" w:cs="Times New Roman"/>
          <w:sz w:val="24"/>
          <w:szCs w:val="24"/>
        </w:rPr>
        <w:t xml:space="preserve">submitted </w:t>
      </w:r>
      <w:r>
        <w:rPr>
          <w:rFonts w:ascii="Times New Roman" w:hAnsi="Times New Roman" w:cs="Times New Roman"/>
          <w:sz w:val="24"/>
          <w:szCs w:val="24"/>
        </w:rPr>
        <w:t xml:space="preserve">in terms of s 59 of the Magistrate’s Court Act for an accused to seek the setting aside of a conviction. </w:t>
      </w:r>
      <w:r w:rsidR="00FF235D">
        <w:rPr>
          <w:rFonts w:ascii="Times New Roman" w:hAnsi="Times New Roman" w:cs="Times New Roman"/>
          <w:sz w:val="24"/>
          <w:szCs w:val="24"/>
        </w:rPr>
        <w:t xml:space="preserve">The purpose of </w:t>
      </w:r>
      <w:r w:rsidR="00800EDE">
        <w:rPr>
          <w:rFonts w:ascii="Times New Roman" w:hAnsi="Times New Roman" w:cs="Times New Roman"/>
          <w:sz w:val="24"/>
          <w:szCs w:val="24"/>
        </w:rPr>
        <w:t xml:space="preserve">such </w:t>
      </w:r>
      <w:r w:rsidR="00FF235D">
        <w:rPr>
          <w:rFonts w:ascii="Times New Roman" w:hAnsi="Times New Roman" w:cs="Times New Roman"/>
          <w:sz w:val="24"/>
          <w:szCs w:val="24"/>
        </w:rPr>
        <w:t xml:space="preserve">a statement is to show the grounds or reasons why </w:t>
      </w:r>
      <w:r w:rsidR="00800EDE">
        <w:rPr>
          <w:rFonts w:ascii="Times New Roman" w:hAnsi="Times New Roman" w:cs="Times New Roman"/>
          <w:sz w:val="24"/>
          <w:szCs w:val="24"/>
        </w:rPr>
        <w:t>a</w:t>
      </w:r>
      <w:r w:rsidR="00FF235D">
        <w:rPr>
          <w:rFonts w:ascii="Times New Roman" w:hAnsi="Times New Roman" w:cs="Times New Roman"/>
          <w:sz w:val="24"/>
          <w:szCs w:val="24"/>
        </w:rPr>
        <w:t xml:space="preserve"> sentence </w:t>
      </w:r>
      <w:r w:rsidR="00800EDE">
        <w:rPr>
          <w:rFonts w:ascii="Times New Roman" w:hAnsi="Times New Roman" w:cs="Times New Roman"/>
          <w:sz w:val="24"/>
          <w:szCs w:val="24"/>
        </w:rPr>
        <w:t xml:space="preserve">of the court </w:t>
      </w:r>
      <w:r w:rsidR="000E4F0E">
        <w:rPr>
          <w:rFonts w:ascii="Times New Roman" w:hAnsi="Times New Roman" w:cs="Times New Roman"/>
          <w:sz w:val="24"/>
          <w:szCs w:val="24"/>
        </w:rPr>
        <w:t xml:space="preserve">should be considered </w:t>
      </w:r>
      <w:r w:rsidR="00FF235D">
        <w:rPr>
          <w:rFonts w:ascii="Times New Roman" w:hAnsi="Times New Roman" w:cs="Times New Roman"/>
          <w:sz w:val="24"/>
          <w:szCs w:val="24"/>
        </w:rPr>
        <w:t xml:space="preserve">excessive. </w:t>
      </w:r>
    </w:p>
    <w:p w:rsidR="00800EDE" w:rsidRDefault="00AB2760" w:rsidP="00FF235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accused was properly prosecuted. He was properly convicted. Cases such as </w:t>
      </w:r>
      <w:r w:rsidRPr="00B85B87">
        <w:rPr>
          <w:rFonts w:ascii="Times New Roman" w:hAnsi="Times New Roman" w:cs="Times New Roman"/>
          <w:i/>
          <w:sz w:val="24"/>
          <w:szCs w:val="24"/>
        </w:rPr>
        <w:t>Mlala</w:t>
      </w:r>
      <w:r>
        <w:rPr>
          <w:rFonts w:ascii="Times New Roman" w:hAnsi="Times New Roman" w:cs="Times New Roman"/>
          <w:sz w:val="24"/>
          <w:szCs w:val="24"/>
        </w:rPr>
        <w:t xml:space="preserve"> and </w:t>
      </w:r>
      <w:r w:rsidRPr="00B85B87">
        <w:rPr>
          <w:rFonts w:ascii="Times New Roman" w:hAnsi="Times New Roman" w:cs="Times New Roman"/>
          <w:i/>
          <w:sz w:val="24"/>
          <w:szCs w:val="24"/>
        </w:rPr>
        <w:t>Kelly</w:t>
      </w:r>
      <w:r>
        <w:rPr>
          <w:rFonts w:ascii="Times New Roman" w:hAnsi="Times New Roman" w:cs="Times New Roman"/>
          <w:sz w:val="24"/>
          <w:szCs w:val="24"/>
        </w:rPr>
        <w:t xml:space="preserve"> </w:t>
      </w:r>
      <w:r w:rsidR="00800EDE">
        <w:rPr>
          <w:rFonts w:ascii="Times New Roman" w:hAnsi="Times New Roman" w:cs="Times New Roman"/>
          <w:sz w:val="24"/>
          <w:szCs w:val="24"/>
        </w:rPr>
        <w:t xml:space="preserve">are irrelevant to his cause. They </w:t>
      </w:r>
      <w:r>
        <w:rPr>
          <w:rFonts w:ascii="Times New Roman" w:hAnsi="Times New Roman" w:cs="Times New Roman"/>
          <w:sz w:val="24"/>
          <w:szCs w:val="24"/>
        </w:rPr>
        <w:t>clearly explain that a complainant’s unwillingness to press charge</w:t>
      </w:r>
      <w:r w:rsidR="000E4F0E">
        <w:rPr>
          <w:rFonts w:ascii="Times New Roman" w:hAnsi="Times New Roman" w:cs="Times New Roman"/>
          <w:sz w:val="24"/>
          <w:szCs w:val="24"/>
        </w:rPr>
        <w:t>s,</w:t>
      </w:r>
      <w:r>
        <w:rPr>
          <w:rFonts w:ascii="Times New Roman" w:hAnsi="Times New Roman" w:cs="Times New Roman"/>
          <w:sz w:val="24"/>
          <w:szCs w:val="24"/>
        </w:rPr>
        <w:t xml:space="preserve"> or his willingness to withdraw them where the State has already inst</w:t>
      </w:r>
      <w:r w:rsidR="00B85B87">
        <w:rPr>
          <w:rFonts w:ascii="Times New Roman" w:hAnsi="Times New Roman" w:cs="Times New Roman"/>
          <w:sz w:val="24"/>
          <w:szCs w:val="24"/>
        </w:rPr>
        <w:t xml:space="preserve">ituted a prosecution, are factors relevant only to the mitigation of sentence. </w:t>
      </w:r>
    </w:p>
    <w:p w:rsidR="00B85B87" w:rsidRDefault="00800EDE" w:rsidP="00FF235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the premises</w:t>
      </w:r>
      <w:r w:rsidR="00B85B87">
        <w:rPr>
          <w:rFonts w:ascii="Times New Roman" w:hAnsi="Times New Roman" w:cs="Times New Roman"/>
          <w:sz w:val="24"/>
          <w:szCs w:val="24"/>
        </w:rPr>
        <w:t xml:space="preserve">, the conviction </w:t>
      </w:r>
      <w:r w:rsidR="00396B3D">
        <w:rPr>
          <w:rFonts w:ascii="Times New Roman" w:hAnsi="Times New Roman" w:cs="Times New Roman"/>
          <w:sz w:val="24"/>
          <w:szCs w:val="24"/>
        </w:rPr>
        <w:t xml:space="preserve">of the accused </w:t>
      </w:r>
      <w:r w:rsidR="00B85B87">
        <w:rPr>
          <w:rFonts w:ascii="Times New Roman" w:hAnsi="Times New Roman" w:cs="Times New Roman"/>
          <w:sz w:val="24"/>
          <w:szCs w:val="24"/>
        </w:rPr>
        <w:t>is hereby confirmed.</w:t>
      </w:r>
    </w:p>
    <w:p w:rsidR="00B85B87" w:rsidRDefault="00396B3D" w:rsidP="00800ED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Regarding</w:t>
      </w:r>
      <w:r w:rsidR="00B85B87">
        <w:rPr>
          <w:rFonts w:ascii="Times New Roman" w:hAnsi="Times New Roman" w:cs="Times New Roman"/>
          <w:sz w:val="24"/>
          <w:szCs w:val="24"/>
        </w:rPr>
        <w:t xml:space="preserve"> the failure by the magistrate to record his own exp</w:t>
      </w:r>
      <w:r w:rsidR="000E4F0E">
        <w:rPr>
          <w:rFonts w:ascii="Times New Roman" w:hAnsi="Times New Roman" w:cs="Times New Roman"/>
          <w:sz w:val="24"/>
          <w:szCs w:val="24"/>
        </w:rPr>
        <w:t xml:space="preserve">lanation to the accused of the </w:t>
      </w:r>
      <w:r w:rsidR="00B85B87">
        <w:rPr>
          <w:rFonts w:ascii="Times New Roman" w:hAnsi="Times New Roman" w:cs="Times New Roman"/>
          <w:sz w:val="24"/>
          <w:szCs w:val="24"/>
        </w:rPr>
        <w:t xml:space="preserve">expression </w:t>
      </w:r>
      <w:r w:rsidR="000E4F0E">
        <w:rPr>
          <w:rFonts w:ascii="Times New Roman" w:hAnsi="Times New Roman" w:cs="Times New Roman"/>
          <w:sz w:val="24"/>
          <w:szCs w:val="24"/>
        </w:rPr>
        <w:t>“</w:t>
      </w:r>
      <w:r w:rsidR="00B85B87">
        <w:rPr>
          <w:rFonts w:ascii="Times New Roman" w:hAnsi="Times New Roman" w:cs="Times New Roman"/>
          <w:sz w:val="24"/>
          <w:szCs w:val="24"/>
        </w:rPr>
        <w:t>special circumstances peculiar to the case”, I agree that this was a misdirection. As the review court</w:t>
      </w:r>
      <w:r w:rsidR="000E4F0E">
        <w:rPr>
          <w:rFonts w:ascii="Times New Roman" w:hAnsi="Times New Roman" w:cs="Times New Roman"/>
          <w:sz w:val="24"/>
          <w:szCs w:val="24"/>
        </w:rPr>
        <w:t xml:space="preserve"> or judge</w:t>
      </w:r>
      <w:r w:rsidR="00B85B87">
        <w:rPr>
          <w:rFonts w:ascii="Times New Roman" w:hAnsi="Times New Roman" w:cs="Times New Roman"/>
          <w:sz w:val="24"/>
          <w:szCs w:val="24"/>
        </w:rPr>
        <w:t xml:space="preserve">, I am unable to tell what </w:t>
      </w:r>
      <w:r w:rsidR="00267F1C">
        <w:rPr>
          <w:rFonts w:ascii="Times New Roman" w:hAnsi="Times New Roman" w:cs="Times New Roman"/>
          <w:sz w:val="24"/>
          <w:szCs w:val="24"/>
        </w:rPr>
        <w:t xml:space="preserve">exactly the </w:t>
      </w:r>
      <w:r w:rsidR="00D45CD9">
        <w:rPr>
          <w:rFonts w:ascii="Times New Roman" w:hAnsi="Times New Roman" w:cs="Times New Roman"/>
          <w:sz w:val="24"/>
          <w:szCs w:val="24"/>
        </w:rPr>
        <w:t>court’s explanation</w:t>
      </w:r>
      <w:r w:rsidR="00B85B87">
        <w:rPr>
          <w:rFonts w:ascii="Times New Roman" w:hAnsi="Times New Roman" w:cs="Times New Roman"/>
          <w:sz w:val="24"/>
          <w:szCs w:val="24"/>
        </w:rPr>
        <w:t xml:space="preserve"> </w:t>
      </w:r>
      <w:r w:rsidR="000E4B2D">
        <w:rPr>
          <w:rFonts w:ascii="Times New Roman" w:hAnsi="Times New Roman" w:cs="Times New Roman"/>
          <w:sz w:val="24"/>
          <w:szCs w:val="24"/>
        </w:rPr>
        <w:t xml:space="preserve">was </w:t>
      </w:r>
      <w:r w:rsidR="00B85B87">
        <w:rPr>
          <w:rFonts w:ascii="Times New Roman" w:hAnsi="Times New Roman" w:cs="Times New Roman"/>
          <w:sz w:val="24"/>
          <w:szCs w:val="24"/>
        </w:rPr>
        <w:t>and whether or not it was adequate. In such circumstance</w:t>
      </w:r>
      <w:r w:rsidR="000E4B2D">
        <w:rPr>
          <w:rFonts w:ascii="Times New Roman" w:hAnsi="Times New Roman" w:cs="Times New Roman"/>
          <w:sz w:val="24"/>
          <w:szCs w:val="24"/>
        </w:rPr>
        <w:t>s</w:t>
      </w:r>
      <w:r w:rsidR="00B85B87">
        <w:rPr>
          <w:rFonts w:ascii="Times New Roman" w:hAnsi="Times New Roman" w:cs="Times New Roman"/>
          <w:sz w:val="24"/>
          <w:szCs w:val="24"/>
        </w:rPr>
        <w:t xml:space="preserve">, the general </w:t>
      </w:r>
      <w:r w:rsidR="005218D2">
        <w:rPr>
          <w:rFonts w:ascii="Times New Roman" w:hAnsi="Times New Roman" w:cs="Times New Roman"/>
          <w:sz w:val="24"/>
          <w:szCs w:val="24"/>
        </w:rPr>
        <w:t xml:space="preserve">approach would be </w:t>
      </w:r>
      <w:r w:rsidR="00B85B87">
        <w:rPr>
          <w:rFonts w:ascii="Times New Roman" w:hAnsi="Times New Roman" w:cs="Times New Roman"/>
          <w:sz w:val="24"/>
          <w:szCs w:val="24"/>
        </w:rPr>
        <w:t xml:space="preserve">to remit the matter to the trial court for the proper </w:t>
      </w:r>
      <w:r w:rsidR="000E4B2D">
        <w:rPr>
          <w:rFonts w:ascii="Times New Roman" w:hAnsi="Times New Roman" w:cs="Times New Roman"/>
          <w:sz w:val="24"/>
          <w:szCs w:val="24"/>
        </w:rPr>
        <w:t xml:space="preserve">recording of the explanations on </w:t>
      </w:r>
      <w:r w:rsidR="00B85B87">
        <w:rPr>
          <w:rFonts w:ascii="Times New Roman" w:hAnsi="Times New Roman" w:cs="Times New Roman"/>
          <w:sz w:val="24"/>
          <w:szCs w:val="24"/>
        </w:rPr>
        <w:t xml:space="preserve">special circumstances. However, this </w:t>
      </w:r>
      <w:r w:rsidR="000E4B2D">
        <w:rPr>
          <w:rFonts w:ascii="Times New Roman" w:hAnsi="Times New Roman" w:cs="Times New Roman"/>
          <w:sz w:val="24"/>
          <w:szCs w:val="24"/>
        </w:rPr>
        <w:t>is not</w:t>
      </w:r>
      <w:r w:rsidR="00B85B87">
        <w:rPr>
          <w:rFonts w:ascii="Times New Roman" w:hAnsi="Times New Roman" w:cs="Times New Roman"/>
          <w:sz w:val="24"/>
          <w:szCs w:val="24"/>
        </w:rPr>
        <w:t xml:space="preserve"> a rule of thumb. Every case depends on its own special facts. </w:t>
      </w:r>
    </w:p>
    <w:p w:rsidR="00267F1C" w:rsidRDefault="00267F1C" w:rsidP="00D45CD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terms of s 57[4] of the Magistrate’s Court Act, the review of a criminal matter from the magistrate’s court is done in accordance with the High Court Act, </w:t>
      </w:r>
      <w:r w:rsidR="00D752E4">
        <w:rPr>
          <w:rFonts w:ascii="Times New Roman" w:hAnsi="Times New Roman" w:cs="Times New Roman"/>
          <w:sz w:val="24"/>
          <w:szCs w:val="24"/>
        </w:rPr>
        <w:t>[</w:t>
      </w:r>
      <w:r w:rsidRPr="000E4B2D">
        <w:rPr>
          <w:rFonts w:ascii="Times New Roman" w:hAnsi="Times New Roman" w:cs="Times New Roman"/>
          <w:i/>
          <w:sz w:val="24"/>
          <w:szCs w:val="24"/>
        </w:rPr>
        <w:t>Cap 7:06</w:t>
      </w:r>
      <w:r w:rsidR="00D752E4">
        <w:rPr>
          <w:rFonts w:ascii="Times New Roman" w:hAnsi="Times New Roman" w:cs="Times New Roman"/>
          <w:i/>
          <w:sz w:val="24"/>
          <w:szCs w:val="24"/>
        </w:rPr>
        <w:t>]</w:t>
      </w:r>
      <w:r>
        <w:rPr>
          <w:rFonts w:ascii="Times New Roman" w:hAnsi="Times New Roman" w:cs="Times New Roman"/>
          <w:sz w:val="24"/>
          <w:szCs w:val="24"/>
        </w:rPr>
        <w:t xml:space="preserve">. Section 29 </w:t>
      </w:r>
      <w:r w:rsidR="000E4B2D">
        <w:rPr>
          <w:rFonts w:ascii="Times New Roman" w:hAnsi="Times New Roman" w:cs="Times New Roman"/>
          <w:sz w:val="24"/>
          <w:szCs w:val="24"/>
        </w:rPr>
        <w:t>of the High Court Act s</w:t>
      </w:r>
      <w:r>
        <w:rPr>
          <w:rFonts w:ascii="Times New Roman" w:hAnsi="Times New Roman" w:cs="Times New Roman"/>
          <w:sz w:val="24"/>
          <w:szCs w:val="24"/>
        </w:rPr>
        <w:t>ays</w:t>
      </w:r>
      <w:r w:rsidR="000E4B2D">
        <w:rPr>
          <w:rFonts w:ascii="Times New Roman" w:hAnsi="Times New Roman" w:cs="Times New Roman"/>
          <w:sz w:val="24"/>
          <w:szCs w:val="24"/>
        </w:rPr>
        <w:t xml:space="preserve"> that</w:t>
      </w:r>
      <w:r>
        <w:rPr>
          <w:rFonts w:ascii="Times New Roman" w:hAnsi="Times New Roman" w:cs="Times New Roman"/>
          <w:sz w:val="24"/>
          <w:szCs w:val="24"/>
        </w:rPr>
        <w:t xml:space="preserve">, among other things, if on review </w:t>
      </w:r>
      <w:r w:rsidR="005218D2">
        <w:rPr>
          <w:rFonts w:ascii="Times New Roman" w:hAnsi="Times New Roman" w:cs="Times New Roman"/>
          <w:sz w:val="24"/>
          <w:szCs w:val="24"/>
        </w:rPr>
        <w:t xml:space="preserve">the judge </w:t>
      </w:r>
      <w:r>
        <w:rPr>
          <w:rFonts w:ascii="Times New Roman" w:hAnsi="Times New Roman" w:cs="Times New Roman"/>
          <w:sz w:val="24"/>
          <w:szCs w:val="24"/>
        </w:rPr>
        <w:t xml:space="preserve">considers that the proceedings of the inferior court are in accordance with real and substantial justice, </w:t>
      </w:r>
      <w:r w:rsidR="005218D2">
        <w:rPr>
          <w:rFonts w:ascii="Times New Roman" w:hAnsi="Times New Roman" w:cs="Times New Roman"/>
          <w:sz w:val="24"/>
          <w:szCs w:val="24"/>
        </w:rPr>
        <w:t>he</w:t>
      </w:r>
      <w:r>
        <w:rPr>
          <w:rFonts w:ascii="Times New Roman" w:hAnsi="Times New Roman" w:cs="Times New Roman"/>
          <w:sz w:val="24"/>
          <w:szCs w:val="24"/>
        </w:rPr>
        <w:t xml:space="preserve"> shall confirm them. Sub-section [3] says that no conviction or sentence [of the inferior court] shall be quashed or set aside by reason of any irregularity or defect in</w:t>
      </w:r>
      <w:r w:rsidR="000E4B2D">
        <w:rPr>
          <w:rFonts w:ascii="Times New Roman" w:hAnsi="Times New Roman" w:cs="Times New Roman"/>
          <w:sz w:val="24"/>
          <w:szCs w:val="24"/>
        </w:rPr>
        <w:t xml:space="preserve"> the record or proceedings</w:t>
      </w:r>
      <w:r>
        <w:rPr>
          <w:rFonts w:ascii="Times New Roman" w:hAnsi="Times New Roman" w:cs="Times New Roman"/>
          <w:sz w:val="24"/>
          <w:szCs w:val="24"/>
        </w:rPr>
        <w:t xml:space="preserve"> unless the review judge is satisfied that a substantial miscarriage of justice has actually occurred.</w:t>
      </w:r>
    </w:p>
    <w:p w:rsidR="00025749" w:rsidRDefault="00025749" w:rsidP="00B85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it is not every irregularity or defect in the record or proceedings that </w:t>
      </w:r>
      <w:r w:rsidR="00D45CD9">
        <w:rPr>
          <w:rFonts w:ascii="Times New Roman" w:hAnsi="Times New Roman" w:cs="Times New Roman"/>
          <w:sz w:val="24"/>
          <w:szCs w:val="24"/>
        </w:rPr>
        <w:t>leads to</w:t>
      </w:r>
      <w:r>
        <w:rPr>
          <w:rFonts w:ascii="Times New Roman" w:hAnsi="Times New Roman" w:cs="Times New Roman"/>
          <w:sz w:val="24"/>
          <w:szCs w:val="24"/>
        </w:rPr>
        <w:t xml:space="preserve"> the setting aside of the sentence</w:t>
      </w:r>
      <w:r w:rsidR="005218D2">
        <w:rPr>
          <w:rFonts w:ascii="Times New Roman" w:hAnsi="Times New Roman" w:cs="Times New Roman"/>
          <w:sz w:val="24"/>
          <w:szCs w:val="24"/>
        </w:rPr>
        <w:t>,</w:t>
      </w:r>
      <w:r>
        <w:rPr>
          <w:rFonts w:ascii="Times New Roman" w:hAnsi="Times New Roman" w:cs="Times New Roman"/>
          <w:sz w:val="24"/>
          <w:szCs w:val="24"/>
        </w:rPr>
        <w:t xml:space="preserve"> or the quashing of the proceedings of the court </w:t>
      </w:r>
      <w:r w:rsidRPr="00025749">
        <w:rPr>
          <w:rFonts w:ascii="Times New Roman" w:hAnsi="Times New Roman" w:cs="Times New Roman"/>
          <w:i/>
          <w:sz w:val="24"/>
          <w:szCs w:val="24"/>
        </w:rPr>
        <w:t>a quo</w:t>
      </w:r>
      <w:r>
        <w:rPr>
          <w:rFonts w:ascii="Times New Roman" w:hAnsi="Times New Roman" w:cs="Times New Roman"/>
          <w:i/>
          <w:sz w:val="24"/>
          <w:szCs w:val="24"/>
        </w:rPr>
        <w:t xml:space="preserve">. </w:t>
      </w:r>
      <w:r w:rsidRPr="00025749">
        <w:rPr>
          <w:rFonts w:ascii="Times New Roman" w:hAnsi="Times New Roman" w:cs="Times New Roman"/>
          <w:sz w:val="24"/>
          <w:szCs w:val="24"/>
        </w:rPr>
        <w:t xml:space="preserve">It is only those from which the court is unable </w:t>
      </w:r>
      <w:r>
        <w:rPr>
          <w:rFonts w:ascii="Times New Roman" w:hAnsi="Times New Roman" w:cs="Times New Roman"/>
          <w:sz w:val="24"/>
          <w:szCs w:val="24"/>
        </w:rPr>
        <w:t>to conclude that real and substantial justice has been done. The situation has to be considered holistically and objectively</w:t>
      </w:r>
      <w:r w:rsidR="000E4B2D">
        <w:rPr>
          <w:rFonts w:ascii="Times New Roman" w:hAnsi="Times New Roman" w:cs="Times New Roman"/>
          <w:sz w:val="24"/>
          <w:szCs w:val="24"/>
        </w:rPr>
        <w:t xml:space="preserve">, not in an </w:t>
      </w:r>
      <w:r>
        <w:rPr>
          <w:rFonts w:ascii="Times New Roman" w:hAnsi="Times New Roman" w:cs="Times New Roman"/>
          <w:sz w:val="24"/>
          <w:szCs w:val="24"/>
        </w:rPr>
        <w:t xml:space="preserve">over fastidious </w:t>
      </w:r>
      <w:r w:rsidR="000E4B2D">
        <w:rPr>
          <w:rFonts w:ascii="Times New Roman" w:hAnsi="Times New Roman" w:cs="Times New Roman"/>
          <w:sz w:val="24"/>
          <w:szCs w:val="24"/>
        </w:rPr>
        <w:t>manner</w:t>
      </w:r>
      <w:r>
        <w:rPr>
          <w:rFonts w:ascii="Times New Roman" w:hAnsi="Times New Roman" w:cs="Times New Roman"/>
          <w:sz w:val="24"/>
          <w:szCs w:val="24"/>
        </w:rPr>
        <w:t>.</w:t>
      </w:r>
    </w:p>
    <w:p w:rsidR="00AC1386" w:rsidRDefault="00025749" w:rsidP="00B85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5218D2">
        <w:rPr>
          <w:rFonts w:ascii="Times New Roman" w:hAnsi="Times New Roman" w:cs="Times New Roman"/>
          <w:sz w:val="24"/>
          <w:szCs w:val="24"/>
        </w:rPr>
        <w:t>,</w:t>
      </w:r>
      <w:r>
        <w:rPr>
          <w:rFonts w:ascii="Times New Roman" w:hAnsi="Times New Roman" w:cs="Times New Roman"/>
          <w:sz w:val="24"/>
          <w:szCs w:val="24"/>
        </w:rPr>
        <w:t xml:space="preserve"> it is not that the magistrate did not explain the term </w:t>
      </w:r>
      <w:r w:rsidR="00AC1386">
        <w:rPr>
          <w:rFonts w:ascii="Times New Roman" w:hAnsi="Times New Roman" w:cs="Times New Roman"/>
          <w:sz w:val="24"/>
          <w:szCs w:val="24"/>
        </w:rPr>
        <w:t>“</w:t>
      </w:r>
      <w:r>
        <w:rPr>
          <w:rFonts w:ascii="Times New Roman" w:hAnsi="Times New Roman" w:cs="Times New Roman"/>
          <w:sz w:val="24"/>
          <w:szCs w:val="24"/>
        </w:rPr>
        <w:t>special circumstances</w:t>
      </w:r>
      <w:r w:rsidR="00AC1386">
        <w:rPr>
          <w:rFonts w:ascii="Times New Roman" w:hAnsi="Times New Roman" w:cs="Times New Roman"/>
          <w:sz w:val="24"/>
          <w:szCs w:val="24"/>
        </w:rPr>
        <w:t>”</w:t>
      </w:r>
      <w:r>
        <w:rPr>
          <w:rFonts w:ascii="Times New Roman" w:hAnsi="Times New Roman" w:cs="Times New Roman"/>
          <w:sz w:val="24"/>
          <w:szCs w:val="24"/>
        </w:rPr>
        <w:t xml:space="preserve"> to the accused. He </w:t>
      </w:r>
      <w:r w:rsidR="00AC1386">
        <w:rPr>
          <w:rFonts w:ascii="Times New Roman" w:hAnsi="Times New Roman" w:cs="Times New Roman"/>
          <w:sz w:val="24"/>
          <w:szCs w:val="24"/>
        </w:rPr>
        <w:t>did</w:t>
      </w:r>
      <w:r>
        <w:rPr>
          <w:rFonts w:ascii="Times New Roman" w:hAnsi="Times New Roman" w:cs="Times New Roman"/>
          <w:sz w:val="24"/>
          <w:szCs w:val="24"/>
        </w:rPr>
        <w:t xml:space="preserve">. It was because of something explained to him that the accused proffered an explanation about having </w:t>
      </w:r>
      <w:r w:rsidR="00AC1386">
        <w:rPr>
          <w:rFonts w:ascii="Times New Roman" w:hAnsi="Times New Roman" w:cs="Times New Roman"/>
          <w:sz w:val="24"/>
          <w:szCs w:val="24"/>
        </w:rPr>
        <w:t>stolen the heifer so as to exchange it for a bicycle whi</w:t>
      </w:r>
      <w:r w:rsidR="00D45CD9">
        <w:rPr>
          <w:rFonts w:ascii="Times New Roman" w:hAnsi="Times New Roman" w:cs="Times New Roman"/>
          <w:sz w:val="24"/>
          <w:szCs w:val="24"/>
        </w:rPr>
        <w:t xml:space="preserve">ch he would in turn exchange </w:t>
      </w:r>
      <w:r>
        <w:rPr>
          <w:rFonts w:ascii="Times New Roman" w:hAnsi="Times New Roman" w:cs="Times New Roman"/>
          <w:sz w:val="24"/>
          <w:szCs w:val="24"/>
        </w:rPr>
        <w:t xml:space="preserve">to pay </w:t>
      </w:r>
      <w:r w:rsidRPr="00AC1386">
        <w:rPr>
          <w:rFonts w:ascii="Times New Roman" w:hAnsi="Times New Roman" w:cs="Times New Roman"/>
          <w:i/>
          <w:sz w:val="24"/>
          <w:szCs w:val="24"/>
        </w:rPr>
        <w:t>lobola</w:t>
      </w:r>
      <w:r>
        <w:rPr>
          <w:rFonts w:ascii="Times New Roman" w:hAnsi="Times New Roman" w:cs="Times New Roman"/>
          <w:sz w:val="24"/>
          <w:szCs w:val="24"/>
        </w:rPr>
        <w:t xml:space="preserve"> for his wife</w:t>
      </w:r>
      <w:r w:rsidR="00AC1386">
        <w:rPr>
          <w:rFonts w:ascii="Times New Roman" w:hAnsi="Times New Roman" w:cs="Times New Roman"/>
          <w:sz w:val="24"/>
          <w:szCs w:val="24"/>
        </w:rPr>
        <w:t>. The mistake by the magistrate was to omit recording his own explanation to the accused. Thus, one is unable to gauge the adequacy or otherwise of that explanation. If that was the end of the matter I would probably have remitted it</w:t>
      </w:r>
      <w:r w:rsidR="00D45CD9">
        <w:rPr>
          <w:rFonts w:ascii="Times New Roman" w:hAnsi="Times New Roman" w:cs="Times New Roman"/>
          <w:sz w:val="24"/>
          <w:szCs w:val="24"/>
        </w:rPr>
        <w:t>.</w:t>
      </w:r>
      <w:r w:rsidR="00AC1386">
        <w:rPr>
          <w:rFonts w:ascii="Times New Roman" w:hAnsi="Times New Roman" w:cs="Times New Roman"/>
          <w:sz w:val="24"/>
          <w:szCs w:val="24"/>
        </w:rPr>
        <w:t xml:space="preserve"> But it was not the end of the matter. </w:t>
      </w:r>
    </w:p>
    <w:p w:rsidR="008E3732" w:rsidRDefault="00AC1386" w:rsidP="00B85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know from the accused’s statement on review, </w:t>
      </w:r>
      <w:r w:rsidR="00D45CD9">
        <w:rPr>
          <w:rFonts w:ascii="Times New Roman" w:hAnsi="Times New Roman" w:cs="Times New Roman"/>
          <w:sz w:val="24"/>
          <w:szCs w:val="24"/>
        </w:rPr>
        <w:t>now</w:t>
      </w:r>
      <w:r>
        <w:rPr>
          <w:rFonts w:ascii="Times New Roman" w:hAnsi="Times New Roman" w:cs="Times New Roman"/>
          <w:sz w:val="24"/>
          <w:szCs w:val="24"/>
        </w:rPr>
        <w:t xml:space="preserve"> with </w:t>
      </w:r>
      <w:r w:rsidR="000E4B2D">
        <w:rPr>
          <w:rFonts w:ascii="Times New Roman" w:hAnsi="Times New Roman" w:cs="Times New Roman"/>
          <w:sz w:val="24"/>
          <w:szCs w:val="24"/>
        </w:rPr>
        <w:t xml:space="preserve">the </w:t>
      </w:r>
      <w:r>
        <w:rPr>
          <w:rFonts w:ascii="Times New Roman" w:hAnsi="Times New Roman" w:cs="Times New Roman"/>
          <w:sz w:val="24"/>
          <w:szCs w:val="24"/>
        </w:rPr>
        <w:t xml:space="preserve">aid of legal representation, what other explanation of special circumstances </w:t>
      </w:r>
      <w:r w:rsidR="000E4B2D">
        <w:rPr>
          <w:rFonts w:ascii="Times New Roman" w:hAnsi="Times New Roman" w:cs="Times New Roman"/>
          <w:sz w:val="24"/>
          <w:szCs w:val="24"/>
        </w:rPr>
        <w:t xml:space="preserve">he </w:t>
      </w:r>
      <w:r>
        <w:rPr>
          <w:rFonts w:ascii="Times New Roman" w:hAnsi="Times New Roman" w:cs="Times New Roman"/>
          <w:sz w:val="24"/>
          <w:szCs w:val="24"/>
        </w:rPr>
        <w:t>would give</w:t>
      </w:r>
      <w:r w:rsidR="000E4B2D">
        <w:rPr>
          <w:rFonts w:ascii="Times New Roman" w:hAnsi="Times New Roman" w:cs="Times New Roman"/>
          <w:sz w:val="24"/>
          <w:szCs w:val="24"/>
        </w:rPr>
        <w:t xml:space="preserve">. I now know </w:t>
      </w:r>
      <w:r>
        <w:rPr>
          <w:rFonts w:ascii="Times New Roman" w:hAnsi="Times New Roman" w:cs="Times New Roman"/>
          <w:sz w:val="24"/>
          <w:szCs w:val="24"/>
        </w:rPr>
        <w:t xml:space="preserve">which witness </w:t>
      </w:r>
      <w:r w:rsidR="000E4B2D">
        <w:rPr>
          <w:rFonts w:ascii="Times New Roman" w:hAnsi="Times New Roman" w:cs="Times New Roman"/>
          <w:sz w:val="24"/>
          <w:szCs w:val="24"/>
        </w:rPr>
        <w:t xml:space="preserve">he </w:t>
      </w:r>
      <w:r>
        <w:rPr>
          <w:rFonts w:ascii="Times New Roman" w:hAnsi="Times New Roman" w:cs="Times New Roman"/>
          <w:sz w:val="24"/>
          <w:szCs w:val="24"/>
        </w:rPr>
        <w:t xml:space="preserve">would </w:t>
      </w:r>
      <w:r w:rsidR="000E4B2D">
        <w:rPr>
          <w:rFonts w:ascii="Times New Roman" w:hAnsi="Times New Roman" w:cs="Times New Roman"/>
          <w:sz w:val="24"/>
          <w:szCs w:val="24"/>
        </w:rPr>
        <w:t>c</w:t>
      </w:r>
      <w:r>
        <w:rPr>
          <w:rFonts w:ascii="Times New Roman" w:hAnsi="Times New Roman" w:cs="Times New Roman"/>
          <w:sz w:val="24"/>
          <w:szCs w:val="24"/>
        </w:rPr>
        <w:t xml:space="preserve">all to back him up. </w:t>
      </w:r>
      <w:r w:rsidR="00D515DB">
        <w:rPr>
          <w:rFonts w:ascii="Times New Roman" w:hAnsi="Times New Roman" w:cs="Times New Roman"/>
          <w:sz w:val="24"/>
          <w:szCs w:val="24"/>
        </w:rPr>
        <w:t>The accused’s</w:t>
      </w:r>
      <w:r>
        <w:rPr>
          <w:rFonts w:ascii="Times New Roman" w:hAnsi="Times New Roman" w:cs="Times New Roman"/>
          <w:sz w:val="24"/>
          <w:szCs w:val="24"/>
        </w:rPr>
        <w:t xml:space="preserve"> explanation</w:t>
      </w:r>
      <w:r w:rsidR="000E4B2D">
        <w:rPr>
          <w:rFonts w:ascii="Times New Roman" w:hAnsi="Times New Roman" w:cs="Times New Roman"/>
          <w:sz w:val="24"/>
          <w:szCs w:val="24"/>
        </w:rPr>
        <w:t xml:space="preserve">, the other one, </w:t>
      </w:r>
      <w:r>
        <w:rPr>
          <w:rFonts w:ascii="Times New Roman" w:hAnsi="Times New Roman" w:cs="Times New Roman"/>
          <w:sz w:val="24"/>
          <w:szCs w:val="24"/>
        </w:rPr>
        <w:t xml:space="preserve">would be that the complainant was his in-law who would have withdrawn charges given that he </w:t>
      </w:r>
      <w:r w:rsidR="00D515DB">
        <w:rPr>
          <w:rFonts w:ascii="Times New Roman" w:hAnsi="Times New Roman" w:cs="Times New Roman"/>
          <w:sz w:val="24"/>
          <w:szCs w:val="24"/>
        </w:rPr>
        <w:t xml:space="preserve">himself </w:t>
      </w:r>
      <w:r>
        <w:rPr>
          <w:rFonts w:ascii="Times New Roman" w:hAnsi="Times New Roman" w:cs="Times New Roman"/>
          <w:sz w:val="24"/>
          <w:szCs w:val="24"/>
        </w:rPr>
        <w:t>had recovered his stolen property.</w:t>
      </w:r>
      <w:r w:rsidRPr="00D45CD9">
        <w:rPr>
          <w:rFonts w:ascii="Times New Roman" w:hAnsi="Times New Roman" w:cs="Times New Roman"/>
          <w:sz w:val="24"/>
          <w:szCs w:val="24"/>
        </w:rPr>
        <w:t xml:space="preserve"> </w:t>
      </w:r>
      <w:r w:rsidR="000E4B2D" w:rsidRPr="00D45CD9">
        <w:rPr>
          <w:rFonts w:ascii="Times New Roman" w:hAnsi="Times New Roman" w:cs="Times New Roman"/>
          <w:sz w:val="24"/>
          <w:szCs w:val="24"/>
        </w:rPr>
        <w:t>I now know that the complainant</w:t>
      </w:r>
      <w:r w:rsidR="00D45CD9" w:rsidRPr="00D45CD9">
        <w:rPr>
          <w:rFonts w:ascii="Times New Roman" w:hAnsi="Times New Roman" w:cs="Times New Roman"/>
          <w:sz w:val="24"/>
          <w:szCs w:val="24"/>
        </w:rPr>
        <w:t xml:space="preserve"> would explain</w:t>
      </w:r>
      <w:r w:rsidR="008E3732" w:rsidRPr="00D45CD9">
        <w:rPr>
          <w:rFonts w:ascii="Times New Roman" w:hAnsi="Times New Roman" w:cs="Times New Roman"/>
          <w:sz w:val="24"/>
          <w:szCs w:val="24"/>
        </w:rPr>
        <w:t xml:space="preserve"> that but for some unknown public </w:t>
      </w:r>
      <w:r w:rsidR="008E3732">
        <w:rPr>
          <w:rFonts w:ascii="Times New Roman" w:hAnsi="Times New Roman" w:cs="Times New Roman"/>
          <w:sz w:val="24"/>
          <w:szCs w:val="24"/>
        </w:rPr>
        <w:t>busybodies the offence would not have been reported to the police.</w:t>
      </w:r>
    </w:p>
    <w:p w:rsidR="008E3732" w:rsidRDefault="008E3732" w:rsidP="00B85B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However, none of all that amounts to special circumstances peculiar to the case</w:t>
      </w:r>
      <w:r w:rsidR="000E4B2D">
        <w:rPr>
          <w:rFonts w:ascii="Times New Roman" w:hAnsi="Times New Roman" w:cs="Times New Roman"/>
          <w:sz w:val="24"/>
          <w:szCs w:val="24"/>
        </w:rPr>
        <w:t xml:space="preserve"> or the accused</w:t>
      </w:r>
      <w:r>
        <w:rPr>
          <w:rFonts w:ascii="Times New Roman" w:hAnsi="Times New Roman" w:cs="Times New Roman"/>
          <w:sz w:val="24"/>
          <w:szCs w:val="24"/>
        </w:rPr>
        <w:t xml:space="preserve">. </w:t>
      </w:r>
      <w:r w:rsidR="00B14BD7">
        <w:rPr>
          <w:rFonts w:ascii="Times New Roman" w:hAnsi="Times New Roman" w:cs="Times New Roman"/>
          <w:sz w:val="24"/>
          <w:szCs w:val="24"/>
        </w:rPr>
        <w:t>There is nothing special in them. The</w:t>
      </w:r>
      <w:r w:rsidR="00D45CD9">
        <w:rPr>
          <w:rFonts w:ascii="Times New Roman" w:hAnsi="Times New Roman" w:cs="Times New Roman"/>
          <w:sz w:val="24"/>
          <w:szCs w:val="24"/>
        </w:rPr>
        <w:t>se are the ordinary and general mitigating features</w:t>
      </w:r>
      <w:r w:rsidR="00B14BD7">
        <w:rPr>
          <w:rFonts w:ascii="Times New Roman" w:hAnsi="Times New Roman" w:cs="Times New Roman"/>
          <w:sz w:val="24"/>
          <w:szCs w:val="24"/>
        </w:rPr>
        <w:t xml:space="preserve">. They are not the kind contemplated by the law. </w:t>
      </w:r>
      <w:r>
        <w:rPr>
          <w:rFonts w:ascii="Times New Roman" w:hAnsi="Times New Roman" w:cs="Times New Roman"/>
          <w:sz w:val="24"/>
          <w:szCs w:val="24"/>
        </w:rPr>
        <w:t xml:space="preserve">The </w:t>
      </w:r>
      <w:r w:rsidR="00B14BD7">
        <w:rPr>
          <w:rFonts w:ascii="Times New Roman" w:hAnsi="Times New Roman" w:cs="Times New Roman"/>
          <w:sz w:val="24"/>
          <w:szCs w:val="24"/>
        </w:rPr>
        <w:t xml:space="preserve">accused’s </w:t>
      </w:r>
      <w:r>
        <w:rPr>
          <w:rFonts w:ascii="Times New Roman" w:hAnsi="Times New Roman" w:cs="Times New Roman"/>
          <w:sz w:val="24"/>
          <w:szCs w:val="24"/>
        </w:rPr>
        <w:t xml:space="preserve">circumstances are </w:t>
      </w:r>
      <w:r w:rsidR="00B14BD7">
        <w:rPr>
          <w:rFonts w:ascii="Times New Roman" w:hAnsi="Times New Roman" w:cs="Times New Roman"/>
          <w:sz w:val="24"/>
          <w:szCs w:val="24"/>
        </w:rPr>
        <w:t xml:space="preserve">quite </w:t>
      </w:r>
      <w:r>
        <w:rPr>
          <w:rFonts w:ascii="Times New Roman" w:hAnsi="Times New Roman" w:cs="Times New Roman"/>
          <w:sz w:val="24"/>
          <w:szCs w:val="24"/>
        </w:rPr>
        <w:t xml:space="preserve">far removed from those in </w:t>
      </w:r>
      <w:r w:rsidRPr="00B14BD7">
        <w:rPr>
          <w:rFonts w:ascii="Times New Roman" w:hAnsi="Times New Roman" w:cs="Times New Roman"/>
          <w:i/>
          <w:sz w:val="24"/>
          <w:szCs w:val="24"/>
        </w:rPr>
        <w:t>Kambuzuma</w:t>
      </w:r>
      <w:r>
        <w:rPr>
          <w:rFonts w:ascii="Times New Roman" w:hAnsi="Times New Roman" w:cs="Times New Roman"/>
          <w:sz w:val="24"/>
          <w:szCs w:val="24"/>
        </w:rPr>
        <w:t xml:space="preserve"> where, for the reason that the complainant </w:t>
      </w:r>
      <w:r w:rsidR="00B14BD7">
        <w:rPr>
          <w:rFonts w:ascii="Times New Roman" w:hAnsi="Times New Roman" w:cs="Times New Roman"/>
          <w:sz w:val="24"/>
          <w:szCs w:val="24"/>
        </w:rPr>
        <w:t xml:space="preserve">therein </w:t>
      </w:r>
      <w:r>
        <w:rPr>
          <w:rFonts w:ascii="Times New Roman" w:hAnsi="Times New Roman" w:cs="Times New Roman"/>
          <w:sz w:val="24"/>
          <w:szCs w:val="24"/>
        </w:rPr>
        <w:t xml:space="preserve">had </w:t>
      </w:r>
      <w:r w:rsidR="00B14BD7">
        <w:rPr>
          <w:rFonts w:ascii="Times New Roman" w:hAnsi="Times New Roman" w:cs="Times New Roman"/>
          <w:sz w:val="24"/>
          <w:szCs w:val="24"/>
        </w:rPr>
        <w:t xml:space="preserve">literally </w:t>
      </w:r>
      <w:r>
        <w:rPr>
          <w:rFonts w:ascii="Times New Roman" w:hAnsi="Times New Roman" w:cs="Times New Roman"/>
          <w:sz w:val="24"/>
          <w:szCs w:val="24"/>
        </w:rPr>
        <w:t xml:space="preserve">abandoned both the accused and the head of cattle for eight years, the court held </w:t>
      </w:r>
      <w:r w:rsidR="00B14BD7">
        <w:rPr>
          <w:rFonts w:ascii="Times New Roman" w:hAnsi="Times New Roman" w:cs="Times New Roman"/>
          <w:sz w:val="24"/>
          <w:szCs w:val="24"/>
        </w:rPr>
        <w:t xml:space="preserve">that </w:t>
      </w:r>
      <w:r>
        <w:rPr>
          <w:rFonts w:ascii="Times New Roman" w:hAnsi="Times New Roman" w:cs="Times New Roman"/>
          <w:sz w:val="24"/>
          <w:szCs w:val="24"/>
        </w:rPr>
        <w:t>there were special circumstances peculiar to the case</w:t>
      </w:r>
      <w:r w:rsidR="00B14BD7">
        <w:rPr>
          <w:rFonts w:ascii="Times New Roman" w:hAnsi="Times New Roman" w:cs="Times New Roman"/>
          <w:sz w:val="24"/>
          <w:szCs w:val="24"/>
        </w:rPr>
        <w:t xml:space="preserve">. As a result, it was able to </w:t>
      </w:r>
      <w:r>
        <w:rPr>
          <w:rFonts w:ascii="Times New Roman" w:hAnsi="Times New Roman" w:cs="Times New Roman"/>
          <w:sz w:val="24"/>
          <w:szCs w:val="24"/>
        </w:rPr>
        <w:t xml:space="preserve">depart from the mandatory sentence and </w:t>
      </w:r>
      <w:r w:rsidR="00D515DB">
        <w:rPr>
          <w:rFonts w:ascii="Times New Roman" w:hAnsi="Times New Roman" w:cs="Times New Roman"/>
          <w:sz w:val="24"/>
          <w:szCs w:val="24"/>
        </w:rPr>
        <w:t>i</w:t>
      </w:r>
      <w:r>
        <w:rPr>
          <w:rFonts w:ascii="Times New Roman" w:hAnsi="Times New Roman" w:cs="Times New Roman"/>
          <w:sz w:val="24"/>
          <w:szCs w:val="24"/>
        </w:rPr>
        <w:t xml:space="preserve">mpose a </w:t>
      </w:r>
      <w:r w:rsidR="00B14BD7">
        <w:rPr>
          <w:rFonts w:ascii="Times New Roman" w:hAnsi="Times New Roman" w:cs="Times New Roman"/>
          <w:sz w:val="24"/>
          <w:szCs w:val="24"/>
        </w:rPr>
        <w:t xml:space="preserve">much lesser </w:t>
      </w:r>
      <w:r>
        <w:rPr>
          <w:rFonts w:ascii="Times New Roman" w:hAnsi="Times New Roman" w:cs="Times New Roman"/>
          <w:sz w:val="24"/>
          <w:szCs w:val="24"/>
        </w:rPr>
        <w:t>term of imprisonment</w:t>
      </w:r>
      <w:r w:rsidR="00D515DB">
        <w:rPr>
          <w:rFonts w:ascii="Times New Roman" w:hAnsi="Times New Roman" w:cs="Times New Roman"/>
          <w:sz w:val="24"/>
          <w:szCs w:val="24"/>
        </w:rPr>
        <w:t>,</w:t>
      </w:r>
      <w:r>
        <w:rPr>
          <w:rFonts w:ascii="Times New Roman" w:hAnsi="Times New Roman" w:cs="Times New Roman"/>
          <w:sz w:val="24"/>
          <w:szCs w:val="24"/>
        </w:rPr>
        <w:t xml:space="preserve"> </w:t>
      </w:r>
      <w:r w:rsidR="00B14BD7">
        <w:rPr>
          <w:rFonts w:ascii="Times New Roman" w:hAnsi="Times New Roman" w:cs="Times New Roman"/>
          <w:sz w:val="24"/>
          <w:szCs w:val="24"/>
        </w:rPr>
        <w:t xml:space="preserve">wholly suspended </w:t>
      </w:r>
      <w:r>
        <w:rPr>
          <w:rFonts w:ascii="Times New Roman" w:hAnsi="Times New Roman" w:cs="Times New Roman"/>
          <w:sz w:val="24"/>
          <w:szCs w:val="24"/>
        </w:rPr>
        <w:t xml:space="preserve">on condition of restitution. In the present </w:t>
      </w:r>
      <w:r w:rsidR="00B14BD7">
        <w:rPr>
          <w:rFonts w:ascii="Times New Roman" w:hAnsi="Times New Roman" w:cs="Times New Roman"/>
          <w:sz w:val="24"/>
          <w:szCs w:val="24"/>
        </w:rPr>
        <w:t>case</w:t>
      </w:r>
      <w:r>
        <w:rPr>
          <w:rFonts w:ascii="Times New Roman" w:hAnsi="Times New Roman" w:cs="Times New Roman"/>
          <w:sz w:val="24"/>
          <w:szCs w:val="24"/>
        </w:rPr>
        <w:t xml:space="preserve">, </w:t>
      </w:r>
      <w:r w:rsidR="00B14BD7">
        <w:rPr>
          <w:rFonts w:ascii="Times New Roman" w:hAnsi="Times New Roman" w:cs="Times New Roman"/>
          <w:sz w:val="24"/>
          <w:szCs w:val="24"/>
        </w:rPr>
        <w:t>the accused</w:t>
      </w:r>
      <w:r w:rsidR="005218D2">
        <w:rPr>
          <w:rFonts w:ascii="Times New Roman" w:hAnsi="Times New Roman" w:cs="Times New Roman"/>
          <w:sz w:val="24"/>
          <w:szCs w:val="24"/>
        </w:rPr>
        <w:t>’s</w:t>
      </w:r>
      <w:r w:rsidR="00B14BD7">
        <w:rPr>
          <w:rFonts w:ascii="Times New Roman" w:hAnsi="Times New Roman" w:cs="Times New Roman"/>
          <w:sz w:val="24"/>
          <w:szCs w:val="24"/>
        </w:rPr>
        <w:t xml:space="preserve"> circumstances</w:t>
      </w:r>
      <w:r w:rsidR="00D45CD9">
        <w:rPr>
          <w:rFonts w:ascii="Times New Roman" w:hAnsi="Times New Roman" w:cs="Times New Roman"/>
          <w:sz w:val="24"/>
          <w:szCs w:val="24"/>
        </w:rPr>
        <w:t>,</w:t>
      </w:r>
      <w:r w:rsidR="00B14BD7">
        <w:rPr>
          <w:rFonts w:ascii="Times New Roman" w:hAnsi="Times New Roman" w:cs="Times New Roman"/>
          <w:sz w:val="24"/>
          <w:szCs w:val="24"/>
        </w:rPr>
        <w:t xml:space="preserve"> as explained in the statement on review, whilst probably mitigating, do</w:t>
      </w:r>
      <w:r>
        <w:rPr>
          <w:rFonts w:ascii="Times New Roman" w:hAnsi="Times New Roman" w:cs="Times New Roman"/>
          <w:sz w:val="24"/>
          <w:szCs w:val="24"/>
        </w:rPr>
        <w:t xml:space="preserve"> not </w:t>
      </w:r>
      <w:r w:rsidR="00B14BD7">
        <w:rPr>
          <w:rFonts w:ascii="Times New Roman" w:hAnsi="Times New Roman" w:cs="Times New Roman"/>
          <w:sz w:val="24"/>
          <w:szCs w:val="24"/>
        </w:rPr>
        <w:t xml:space="preserve">amount to </w:t>
      </w:r>
      <w:r w:rsidR="00D45CD9">
        <w:rPr>
          <w:rFonts w:ascii="Times New Roman" w:hAnsi="Times New Roman" w:cs="Times New Roman"/>
          <w:sz w:val="24"/>
          <w:szCs w:val="24"/>
        </w:rPr>
        <w:t xml:space="preserve">such </w:t>
      </w:r>
      <w:r>
        <w:rPr>
          <w:rFonts w:ascii="Times New Roman" w:hAnsi="Times New Roman" w:cs="Times New Roman"/>
          <w:sz w:val="24"/>
          <w:szCs w:val="24"/>
        </w:rPr>
        <w:t xml:space="preserve">special circumstances </w:t>
      </w:r>
      <w:r w:rsidR="00D45CD9">
        <w:rPr>
          <w:rFonts w:ascii="Times New Roman" w:hAnsi="Times New Roman" w:cs="Times New Roman"/>
          <w:sz w:val="24"/>
          <w:szCs w:val="24"/>
        </w:rPr>
        <w:t>as</w:t>
      </w:r>
      <w:r w:rsidR="00B14BD7">
        <w:rPr>
          <w:rFonts w:ascii="Times New Roman" w:hAnsi="Times New Roman" w:cs="Times New Roman"/>
          <w:sz w:val="24"/>
          <w:szCs w:val="24"/>
        </w:rPr>
        <w:t xml:space="preserve"> would dissuade the imposition of the mandatory sentence</w:t>
      </w:r>
      <w:r>
        <w:rPr>
          <w:rFonts w:ascii="Times New Roman" w:hAnsi="Times New Roman" w:cs="Times New Roman"/>
          <w:sz w:val="24"/>
          <w:szCs w:val="24"/>
        </w:rPr>
        <w:t xml:space="preserve">. </w:t>
      </w:r>
    </w:p>
    <w:p w:rsidR="00AB4B33" w:rsidRPr="00632BFE" w:rsidRDefault="008E3732" w:rsidP="00D569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D515DB">
        <w:rPr>
          <w:rFonts w:ascii="Times New Roman" w:hAnsi="Times New Roman" w:cs="Times New Roman"/>
          <w:sz w:val="24"/>
          <w:szCs w:val="24"/>
        </w:rPr>
        <w:t>result</w:t>
      </w:r>
      <w:r>
        <w:rPr>
          <w:rFonts w:ascii="Times New Roman" w:hAnsi="Times New Roman" w:cs="Times New Roman"/>
          <w:sz w:val="24"/>
          <w:szCs w:val="24"/>
        </w:rPr>
        <w:t xml:space="preserve">, the sentence passed by the court </w:t>
      </w:r>
      <w:r w:rsidRPr="00D45CD9">
        <w:rPr>
          <w:rFonts w:ascii="Times New Roman" w:hAnsi="Times New Roman" w:cs="Times New Roman"/>
          <w:i/>
          <w:sz w:val="24"/>
          <w:szCs w:val="24"/>
        </w:rPr>
        <w:t>a quo</w:t>
      </w:r>
      <w:r>
        <w:rPr>
          <w:rFonts w:ascii="Times New Roman" w:hAnsi="Times New Roman" w:cs="Times New Roman"/>
          <w:sz w:val="24"/>
          <w:szCs w:val="24"/>
        </w:rPr>
        <w:t xml:space="preserve"> is hereby confirmed. The accused’s request to have the matter remitted for a recording and enquiry into special circumstances is hereby </w:t>
      </w:r>
      <w:r w:rsidR="00D56975">
        <w:rPr>
          <w:rFonts w:ascii="Times New Roman" w:hAnsi="Times New Roman" w:cs="Times New Roman"/>
          <w:sz w:val="24"/>
          <w:szCs w:val="24"/>
        </w:rPr>
        <w:t>dismissed.</w:t>
      </w:r>
    </w:p>
    <w:p w:rsidR="00406CEF" w:rsidRPr="009500E4" w:rsidRDefault="00406CEF" w:rsidP="009500E4">
      <w:pPr>
        <w:spacing w:after="0" w:line="360" w:lineRule="auto"/>
        <w:jc w:val="both"/>
        <w:rPr>
          <w:rFonts w:ascii="Times New Roman" w:hAnsi="Times New Roman" w:cs="Times New Roman"/>
          <w:sz w:val="24"/>
          <w:szCs w:val="24"/>
        </w:rPr>
      </w:pPr>
    </w:p>
    <w:p w:rsidR="008D2A5D" w:rsidRDefault="00D56975"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w:t>
      </w:r>
      <w:r w:rsidR="00D45CD9">
        <w:rPr>
          <w:rFonts w:ascii="Times New Roman" w:hAnsi="Times New Roman" w:cs="Times New Roman"/>
          <w:sz w:val="24"/>
          <w:szCs w:val="24"/>
        </w:rPr>
        <w:t>4</w:t>
      </w:r>
      <w:r w:rsidR="008B5259">
        <w:rPr>
          <w:rFonts w:ascii="Times New Roman" w:hAnsi="Times New Roman" w:cs="Times New Roman"/>
          <w:sz w:val="24"/>
          <w:szCs w:val="24"/>
        </w:rPr>
        <w:t xml:space="preserve"> November</w:t>
      </w:r>
      <w:r w:rsidR="008D2A5D">
        <w:rPr>
          <w:rFonts w:ascii="Times New Roman" w:hAnsi="Times New Roman" w:cs="Times New Roman"/>
          <w:sz w:val="24"/>
          <w:szCs w:val="24"/>
        </w:rPr>
        <w:t xml:space="preserve"> 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01ED1" w:rsidRPr="00E544F4" w:rsidRDefault="00D56975" w:rsidP="00D5697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Hwacha</w:t>
      </w:r>
      <w:r w:rsidR="00CB2539"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accused</w:t>
      </w:r>
      <w:bookmarkStart w:id="0" w:name="_GoBack"/>
      <w:bookmarkEnd w:id="0"/>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E6F" w:rsidRDefault="004F4E6F" w:rsidP="00EA00E7">
      <w:pPr>
        <w:spacing w:after="0" w:line="240" w:lineRule="auto"/>
      </w:pPr>
      <w:r>
        <w:separator/>
      </w:r>
    </w:p>
  </w:endnote>
  <w:endnote w:type="continuationSeparator" w:id="0">
    <w:p w:rsidR="004F4E6F" w:rsidRDefault="004F4E6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E6F" w:rsidRDefault="004F4E6F" w:rsidP="00EA00E7">
      <w:pPr>
        <w:spacing w:after="0" w:line="240" w:lineRule="auto"/>
      </w:pPr>
      <w:r>
        <w:separator/>
      </w:r>
    </w:p>
  </w:footnote>
  <w:footnote w:type="continuationSeparator" w:id="0">
    <w:p w:rsidR="004F4E6F" w:rsidRDefault="004F4E6F" w:rsidP="00EA00E7">
      <w:pPr>
        <w:spacing w:after="0" w:line="240" w:lineRule="auto"/>
      </w:pPr>
      <w:r>
        <w:continuationSeparator/>
      </w:r>
    </w:p>
  </w:footnote>
  <w:footnote w:id="1">
    <w:p w:rsidR="007C0081" w:rsidRDefault="007C0081">
      <w:pPr>
        <w:pStyle w:val="FootnoteText"/>
      </w:pPr>
      <w:r>
        <w:rPr>
          <w:rStyle w:val="FootnoteReference"/>
        </w:rPr>
        <w:footnoteRef/>
      </w:r>
      <w:r>
        <w:t xml:space="preserve"> HH 110-15</w:t>
      </w:r>
    </w:p>
  </w:footnote>
  <w:footnote w:id="2">
    <w:p w:rsidR="007C0081" w:rsidRDefault="007C0081">
      <w:pPr>
        <w:pStyle w:val="FootnoteText"/>
      </w:pPr>
      <w:r>
        <w:rPr>
          <w:rStyle w:val="FootnoteReference"/>
        </w:rPr>
        <w:footnoteRef/>
      </w:r>
      <w:r>
        <w:t xml:space="preserve"> HH 357-15</w:t>
      </w:r>
    </w:p>
  </w:footnote>
  <w:footnote w:id="3">
    <w:p w:rsidR="007C0081" w:rsidRPr="00A84BE2" w:rsidRDefault="007C0081">
      <w:pPr>
        <w:pStyle w:val="FootnoteText"/>
        <w:rPr>
          <w:lang w:val="en-US"/>
        </w:rPr>
      </w:pPr>
      <w:r>
        <w:rPr>
          <w:rStyle w:val="FootnoteReference"/>
        </w:rPr>
        <w:footnoteRef/>
      </w:r>
      <w:r>
        <w:t xml:space="preserve"> </w:t>
      </w:r>
      <w:r>
        <w:rPr>
          <w:lang w:val="en-US"/>
        </w:rPr>
        <w:t>1988 [2] ZLR 226 [SC], at p 229G</w:t>
      </w:r>
    </w:p>
  </w:footnote>
  <w:footnote w:id="4">
    <w:p w:rsidR="007C0081" w:rsidRDefault="007C0081">
      <w:pPr>
        <w:pStyle w:val="FootnoteText"/>
      </w:pPr>
      <w:r>
        <w:rPr>
          <w:rStyle w:val="FootnoteReference"/>
        </w:rPr>
        <w:footnoteRef/>
      </w:r>
      <w:r>
        <w:t xml:space="preserve"> 1989 [2] ZLR 38 [HC]</w:t>
      </w:r>
    </w:p>
  </w:footnote>
  <w:footnote w:id="5">
    <w:p w:rsidR="007C0081" w:rsidRDefault="007C0081">
      <w:pPr>
        <w:pStyle w:val="FootnoteText"/>
      </w:pPr>
      <w:r>
        <w:rPr>
          <w:rStyle w:val="FootnoteReference"/>
        </w:rPr>
        <w:footnoteRef/>
      </w:r>
      <w:r>
        <w:t xml:space="preserve"> 1985 [2] ZLR 287 [HC]</w:t>
      </w:r>
    </w:p>
  </w:footnote>
  <w:footnote w:id="6">
    <w:p w:rsidR="007C0081" w:rsidRDefault="007C0081">
      <w:pPr>
        <w:pStyle w:val="FootnoteText"/>
      </w:pPr>
      <w:r>
        <w:rPr>
          <w:rStyle w:val="FootnoteReference"/>
        </w:rPr>
        <w:footnoteRef/>
      </w:r>
      <w:r>
        <w:t xml:space="preserve"> 2004 [1] ZLR 176</w:t>
      </w:r>
    </w:p>
  </w:footnote>
  <w:footnote w:id="7">
    <w:p w:rsidR="007C0081" w:rsidRDefault="007C0081">
      <w:pPr>
        <w:pStyle w:val="FootnoteText"/>
      </w:pPr>
      <w:r>
        <w:rPr>
          <w:rStyle w:val="FootnoteReference"/>
        </w:rPr>
        <w:footnoteRef/>
      </w:r>
      <w:r>
        <w:t xml:space="preserve"> HH 175-15</w:t>
      </w:r>
    </w:p>
  </w:footnote>
  <w:footnote w:id="8">
    <w:p w:rsidR="007C0081" w:rsidRPr="002D3A6E" w:rsidRDefault="007C0081">
      <w:pPr>
        <w:pStyle w:val="FootnoteText"/>
        <w:rPr>
          <w:lang w:val="en-US"/>
        </w:rPr>
      </w:pPr>
      <w:r>
        <w:rPr>
          <w:rStyle w:val="FootnoteReference"/>
        </w:rPr>
        <w:footnoteRef/>
      </w:r>
      <w:r>
        <w:t xml:space="preserve"> </w:t>
      </w:r>
      <w:r>
        <w:rPr>
          <w:lang w:val="en-US"/>
        </w:rPr>
        <w:t>1948 [1] SA 788 [SR], at p 791</w:t>
      </w:r>
    </w:p>
  </w:footnote>
  <w:footnote w:id="9">
    <w:p w:rsidR="007C0081" w:rsidRDefault="007C0081" w:rsidP="002D3A6E">
      <w:pPr>
        <w:pStyle w:val="FootnoteText"/>
      </w:pPr>
      <w:r>
        <w:rPr>
          <w:rStyle w:val="FootnoteReference"/>
        </w:rPr>
        <w:footnoteRef/>
      </w:r>
      <w:r>
        <w:t xml:space="preserve"> 1956 [2] SA 173 [SR], at p 185</w:t>
      </w:r>
    </w:p>
  </w:footnote>
  <w:footnote w:id="10">
    <w:p w:rsidR="007C0081" w:rsidRPr="00A84BE2" w:rsidRDefault="007C0081">
      <w:pPr>
        <w:pStyle w:val="FootnoteText"/>
        <w:rPr>
          <w:lang w:val="en-US"/>
        </w:rPr>
      </w:pPr>
      <w:r>
        <w:rPr>
          <w:rStyle w:val="FootnoteReference"/>
        </w:rPr>
        <w:footnoteRef/>
      </w:r>
      <w:r>
        <w:t xml:space="preserve"> </w:t>
      </w:r>
      <w:r>
        <w:rPr>
          <w:lang w:val="en-US"/>
        </w:rPr>
        <w:t>HH 303-15</w:t>
      </w:r>
    </w:p>
  </w:footnote>
  <w:footnote w:id="11">
    <w:p w:rsidR="007C0081" w:rsidRPr="004B6952" w:rsidRDefault="007C0081" w:rsidP="008C0C4D">
      <w:pPr>
        <w:pStyle w:val="FootnoteText"/>
        <w:rPr>
          <w:lang w:val="en-US"/>
        </w:rPr>
      </w:pPr>
      <w:r>
        <w:rPr>
          <w:rStyle w:val="FootnoteReference"/>
        </w:rPr>
        <w:footnoteRef/>
      </w:r>
      <w:r>
        <w:t xml:space="preserve"> </w:t>
      </w:r>
      <w:r>
        <w:rPr>
          <w:lang w:val="en-US"/>
        </w:rPr>
        <w:t>At p 3 – 4 of the cyclostyled judgment</w:t>
      </w:r>
    </w:p>
  </w:footnote>
  <w:footnote w:id="12">
    <w:p w:rsidR="000E4F0E" w:rsidRPr="000E4F0E" w:rsidRDefault="000E4F0E">
      <w:pPr>
        <w:pStyle w:val="FootnoteText"/>
        <w:rPr>
          <w:lang w:val="en-US"/>
        </w:rPr>
      </w:pPr>
      <w:r>
        <w:rPr>
          <w:rStyle w:val="FootnoteReference"/>
        </w:rPr>
        <w:footnoteRef/>
      </w:r>
      <w:r>
        <w:t xml:space="preserve"> </w:t>
      </w:r>
      <w:r>
        <w:rPr>
          <w:lang w:val="en-US"/>
        </w:rPr>
        <w:t>1988 [2] ZLR 385 [SC]</w:t>
      </w:r>
    </w:p>
  </w:footnote>
  <w:footnote w:id="13">
    <w:p w:rsidR="007C0081" w:rsidRPr="003B6C06" w:rsidRDefault="007C0081">
      <w:pPr>
        <w:pStyle w:val="FootnoteText"/>
        <w:rPr>
          <w:lang w:val="en-US"/>
        </w:rPr>
      </w:pPr>
      <w:r>
        <w:rPr>
          <w:rStyle w:val="FootnoteReference"/>
        </w:rPr>
        <w:footnoteRef/>
      </w:r>
      <w:r>
        <w:t xml:space="preserve"> </w:t>
      </w:r>
      <w:r w:rsidR="000E4F0E">
        <w:t xml:space="preserve">At p 391E – 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7C0081" w:rsidRPr="00E544F4" w:rsidRDefault="007C0081">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E4C90">
          <w:rPr>
            <w:rFonts w:ascii="Times New Roman" w:hAnsi="Times New Roman" w:cs="Times New Roman"/>
            <w:noProof/>
            <w:sz w:val="24"/>
            <w:szCs w:val="24"/>
          </w:rPr>
          <w:t>8</w:t>
        </w:r>
        <w:r w:rsidRPr="00E544F4">
          <w:rPr>
            <w:rFonts w:ascii="Times New Roman" w:hAnsi="Times New Roman" w:cs="Times New Roman"/>
            <w:sz w:val="24"/>
            <w:szCs w:val="24"/>
          </w:rPr>
          <w:fldChar w:fldCharType="end"/>
        </w:r>
      </w:p>
      <w:p w:rsidR="007C0081" w:rsidRPr="00E544F4" w:rsidRDefault="007C0081">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D752E4">
          <w:rPr>
            <w:rFonts w:ascii="Times New Roman" w:hAnsi="Times New Roman" w:cs="Times New Roman"/>
            <w:sz w:val="24"/>
            <w:szCs w:val="24"/>
          </w:rPr>
          <w:t>09</w:t>
        </w:r>
        <w:r>
          <w:rPr>
            <w:rFonts w:ascii="Times New Roman" w:hAnsi="Times New Roman" w:cs="Times New Roman"/>
            <w:sz w:val="24"/>
            <w:szCs w:val="24"/>
          </w:rPr>
          <w:t>-16</w:t>
        </w:r>
      </w:p>
      <w:p w:rsidR="007C0081" w:rsidRPr="00E544F4" w:rsidRDefault="007C0081">
        <w:pPr>
          <w:pStyle w:val="Header"/>
          <w:jc w:val="right"/>
          <w:rPr>
            <w:rFonts w:ascii="Times New Roman" w:hAnsi="Times New Roman" w:cs="Times New Roman"/>
            <w:sz w:val="24"/>
            <w:szCs w:val="24"/>
          </w:rPr>
        </w:pPr>
        <w:r>
          <w:rPr>
            <w:rFonts w:ascii="Times New Roman" w:hAnsi="Times New Roman" w:cs="Times New Roman"/>
            <w:sz w:val="24"/>
            <w:szCs w:val="24"/>
          </w:rPr>
          <w:t>CRB MW 244/16</w:t>
        </w:r>
      </w:p>
    </w:sdtContent>
  </w:sdt>
  <w:p w:rsidR="007C0081" w:rsidRDefault="007C00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2068"/>
    <w:rsid w:val="00042DEB"/>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670C"/>
    <w:rsid w:val="000D6D3C"/>
    <w:rsid w:val="000D6F89"/>
    <w:rsid w:val="000D7175"/>
    <w:rsid w:val="000E06EB"/>
    <w:rsid w:val="000E38A9"/>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956A0"/>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6809"/>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B84"/>
    <w:rsid w:val="002635EC"/>
    <w:rsid w:val="0026368E"/>
    <w:rsid w:val="00263BCD"/>
    <w:rsid w:val="002652F6"/>
    <w:rsid w:val="002666E4"/>
    <w:rsid w:val="00267F1C"/>
    <w:rsid w:val="00270DEF"/>
    <w:rsid w:val="0027111B"/>
    <w:rsid w:val="0027113C"/>
    <w:rsid w:val="00271B4B"/>
    <w:rsid w:val="00271DA6"/>
    <w:rsid w:val="00275A06"/>
    <w:rsid w:val="00276498"/>
    <w:rsid w:val="00276749"/>
    <w:rsid w:val="00280B7A"/>
    <w:rsid w:val="00280D61"/>
    <w:rsid w:val="00281B37"/>
    <w:rsid w:val="00282E6F"/>
    <w:rsid w:val="00285CA2"/>
    <w:rsid w:val="00285ED4"/>
    <w:rsid w:val="00285F08"/>
    <w:rsid w:val="00286BFD"/>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B78EC"/>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504A"/>
    <w:rsid w:val="00335464"/>
    <w:rsid w:val="003359F6"/>
    <w:rsid w:val="00335CDA"/>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F3B"/>
    <w:rsid w:val="00394057"/>
    <w:rsid w:val="00394615"/>
    <w:rsid w:val="003946BA"/>
    <w:rsid w:val="0039499E"/>
    <w:rsid w:val="00396ACA"/>
    <w:rsid w:val="00396B3D"/>
    <w:rsid w:val="00397E83"/>
    <w:rsid w:val="003A1077"/>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6C06"/>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2508"/>
    <w:rsid w:val="00453165"/>
    <w:rsid w:val="00453C7B"/>
    <w:rsid w:val="00454A77"/>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C63"/>
    <w:rsid w:val="004E1F9A"/>
    <w:rsid w:val="004E2D2C"/>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4E6F"/>
    <w:rsid w:val="004F54A0"/>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86B"/>
    <w:rsid w:val="005218D2"/>
    <w:rsid w:val="005223A8"/>
    <w:rsid w:val="0052274D"/>
    <w:rsid w:val="00524106"/>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5B9"/>
    <w:rsid w:val="005B47CE"/>
    <w:rsid w:val="005B5013"/>
    <w:rsid w:val="005B5D86"/>
    <w:rsid w:val="005B6500"/>
    <w:rsid w:val="005B75EB"/>
    <w:rsid w:val="005C09C4"/>
    <w:rsid w:val="005C0EF3"/>
    <w:rsid w:val="005C1644"/>
    <w:rsid w:val="005C17D9"/>
    <w:rsid w:val="005C25C0"/>
    <w:rsid w:val="005C337B"/>
    <w:rsid w:val="005C3F28"/>
    <w:rsid w:val="005C5EB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D7A01"/>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3521"/>
    <w:rsid w:val="00643681"/>
    <w:rsid w:val="00643CF8"/>
    <w:rsid w:val="006456C7"/>
    <w:rsid w:val="006458FA"/>
    <w:rsid w:val="0064666E"/>
    <w:rsid w:val="00647A49"/>
    <w:rsid w:val="00647EFF"/>
    <w:rsid w:val="00650362"/>
    <w:rsid w:val="00650656"/>
    <w:rsid w:val="00650BC6"/>
    <w:rsid w:val="00650F95"/>
    <w:rsid w:val="00652A58"/>
    <w:rsid w:val="00652A61"/>
    <w:rsid w:val="0065381A"/>
    <w:rsid w:val="00655248"/>
    <w:rsid w:val="00655369"/>
    <w:rsid w:val="0065564B"/>
    <w:rsid w:val="00655CCE"/>
    <w:rsid w:val="00656296"/>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2D51"/>
    <w:rsid w:val="0068304B"/>
    <w:rsid w:val="00684307"/>
    <w:rsid w:val="00684D8E"/>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DC5"/>
    <w:rsid w:val="006B4E76"/>
    <w:rsid w:val="006B51BF"/>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9CA"/>
    <w:rsid w:val="00766E28"/>
    <w:rsid w:val="00767625"/>
    <w:rsid w:val="0076766F"/>
    <w:rsid w:val="00767B99"/>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32EA"/>
    <w:rsid w:val="00843D5C"/>
    <w:rsid w:val="0084451C"/>
    <w:rsid w:val="008449B8"/>
    <w:rsid w:val="0084544F"/>
    <w:rsid w:val="00846CB6"/>
    <w:rsid w:val="008475E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31CC3"/>
    <w:rsid w:val="00A326CB"/>
    <w:rsid w:val="00A32D62"/>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73FC"/>
    <w:rsid w:val="00AB7F86"/>
    <w:rsid w:val="00AC0BB9"/>
    <w:rsid w:val="00AC1386"/>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DA"/>
    <w:rsid w:val="00AE5EDF"/>
    <w:rsid w:val="00AE610B"/>
    <w:rsid w:val="00AE6DC6"/>
    <w:rsid w:val="00AE6ED4"/>
    <w:rsid w:val="00AE72E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1689"/>
    <w:rsid w:val="00B71A24"/>
    <w:rsid w:val="00B71C74"/>
    <w:rsid w:val="00B72A3F"/>
    <w:rsid w:val="00B73351"/>
    <w:rsid w:val="00B734E6"/>
    <w:rsid w:val="00B80F58"/>
    <w:rsid w:val="00B812B5"/>
    <w:rsid w:val="00B81F4F"/>
    <w:rsid w:val="00B827AB"/>
    <w:rsid w:val="00B828BD"/>
    <w:rsid w:val="00B845C6"/>
    <w:rsid w:val="00B84B39"/>
    <w:rsid w:val="00B85B87"/>
    <w:rsid w:val="00B8659B"/>
    <w:rsid w:val="00B868EF"/>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43A"/>
    <w:rsid w:val="00BC4F36"/>
    <w:rsid w:val="00BC5951"/>
    <w:rsid w:val="00BC5A79"/>
    <w:rsid w:val="00BC6A85"/>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D59"/>
    <w:rsid w:val="00C21E6A"/>
    <w:rsid w:val="00C25595"/>
    <w:rsid w:val="00C30471"/>
    <w:rsid w:val="00C31C2A"/>
    <w:rsid w:val="00C32648"/>
    <w:rsid w:val="00C33EE8"/>
    <w:rsid w:val="00C3557B"/>
    <w:rsid w:val="00C37BB0"/>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00A6"/>
    <w:rsid w:val="00CA1055"/>
    <w:rsid w:val="00CA195F"/>
    <w:rsid w:val="00CA24AE"/>
    <w:rsid w:val="00CA2C3D"/>
    <w:rsid w:val="00CA4E8F"/>
    <w:rsid w:val="00CA51AD"/>
    <w:rsid w:val="00CA55E5"/>
    <w:rsid w:val="00CA5923"/>
    <w:rsid w:val="00CA5D50"/>
    <w:rsid w:val="00CA70C4"/>
    <w:rsid w:val="00CA756E"/>
    <w:rsid w:val="00CB2021"/>
    <w:rsid w:val="00CB2539"/>
    <w:rsid w:val="00CB265B"/>
    <w:rsid w:val="00CB32F5"/>
    <w:rsid w:val="00CB414D"/>
    <w:rsid w:val="00CB4EAC"/>
    <w:rsid w:val="00CB6326"/>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4E15"/>
    <w:rsid w:val="00D560B6"/>
    <w:rsid w:val="00D561B8"/>
    <w:rsid w:val="00D56975"/>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2E4"/>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2CBF"/>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690"/>
    <w:rsid w:val="00DD685F"/>
    <w:rsid w:val="00DD6AD1"/>
    <w:rsid w:val="00DE0483"/>
    <w:rsid w:val="00DE08D4"/>
    <w:rsid w:val="00DE1EAB"/>
    <w:rsid w:val="00DE2304"/>
    <w:rsid w:val="00DE2B2B"/>
    <w:rsid w:val="00DE4C90"/>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4383"/>
    <w:rsid w:val="00FE441A"/>
    <w:rsid w:val="00FE5877"/>
    <w:rsid w:val="00FE5B71"/>
    <w:rsid w:val="00FE5D37"/>
    <w:rsid w:val="00FE695F"/>
    <w:rsid w:val="00FE6F05"/>
    <w:rsid w:val="00FE79E9"/>
    <w:rsid w:val="00FE7D99"/>
    <w:rsid w:val="00FF0C41"/>
    <w:rsid w:val="00FF0E99"/>
    <w:rsid w:val="00FF16EE"/>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B73E"/>
  <w15:docId w15:val="{3A2E9ED5-8D6D-42C1-946D-6EE8BF79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B255-A34D-4384-A64F-32BB43DB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2016-11-14T10:12:00Z</cp:lastPrinted>
  <dcterms:created xsi:type="dcterms:W3CDTF">2016-11-14T10:13:00Z</dcterms:created>
  <dcterms:modified xsi:type="dcterms:W3CDTF">2016-11-14T10:13:00Z</dcterms:modified>
</cp:coreProperties>
</file>