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63A" w:rsidRPr="00C6752E" w:rsidRDefault="0062363A" w:rsidP="0062363A">
      <w:pPr>
        <w:spacing w:line="360" w:lineRule="auto"/>
        <w:jc w:val="both"/>
        <w:rPr>
          <w:b/>
        </w:rPr>
      </w:pPr>
      <w:r w:rsidRPr="00C6752E">
        <w:rPr>
          <w:b/>
        </w:rPr>
        <w:t>IN TH</w:t>
      </w:r>
      <w:r>
        <w:rPr>
          <w:b/>
        </w:rPr>
        <w:t>E LABOUR COURT OF ZIMBABWE</w:t>
      </w:r>
      <w:r>
        <w:rPr>
          <w:b/>
        </w:rPr>
        <w:tab/>
        <w:t xml:space="preserve"> JUDGMENT NO. LC/H/</w:t>
      </w:r>
      <w:r w:rsidR="008E397F">
        <w:rPr>
          <w:b/>
        </w:rPr>
        <w:t>320</w:t>
      </w:r>
      <w:r>
        <w:rPr>
          <w:b/>
        </w:rPr>
        <w:t>/2016</w:t>
      </w:r>
    </w:p>
    <w:p w:rsidR="0062363A" w:rsidRDefault="0062363A" w:rsidP="0062363A">
      <w:pPr>
        <w:spacing w:line="360" w:lineRule="auto"/>
        <w:jc w:val="both"/>
        <w:rPr>
          <w:b/>
        </w:rPr>
      </w:pPr>
      <w:r>
        <w:rPr>
          <w:b/>
        </w:rPr>
        <w:t>HARARE, 21 MARCH 2016</w:t>
      </w:r>
      <w:r>
        <w:rPr>
          <w:b/>
        </w:rPr>
        <w:tab/>
      </w:r>
      <w:r>
        <w:rPr>
          <w:b/>
        </w:rPr>
        <w:tab/>
      </w:r>
      <w:r>
        <w:rPr>
          <w:b/>
        </w:rPr>
        <w:tab/>
        <w:t xml:space="preserve">    </w:t>
      </w:r>
      <w:r w:rsidRPr="00C6752E">
        <w:rPr>
          <w:b/>
        </w:rPr>
        <w:t>CASE NO. LC/</w:t>
      </w:r>
      <w:r>
        <w:rPr>
          <w:b/>
        </w:rPr>
        <w:t>H/APP/1422/15</w:t>
      </w:r>
    </w:p>
    <w:p w:rsidR="0062363A" w:rsidRDefault="0062363A" w:rsidP="0062363A">
      <w:pPr>
        <w:spacing w:line="360" w:lineRule="auto"/>
        <w:jc w:val="both"/>
        <w:rPr>
          <w:b/>
        </w:rPr>
      </w:pPr>
      <w:r>
        <w:rPr>
          <w:b/>
        </w:rPr>
        <w:t xml:space="preserve">AND </w:t>
      </w:r>
      <w:r w:rsidR="00334E4B">
        <w:rPr>
          <w:b/>
        </w:rPr>
        <w:t>27</w:t>
      </w:r>
      <w:bookmarkStart w:id="0" w:name="_GoBack"/>
      <w:bookmarkEnd w:id="0"/>
      <w:r w:rsidR="008E397F">
        <w:rPr>
          <w:b/>
        </w:rPr>
        <w:t xml:space="preserve"> MAY</w:t>
      </w:r>
      <w:r>
        <w:rPr>
          <w:b/>
        </w:rPr>
        <w:t xml:space="preserve"> 2016</w:t>
      </w:r>
    </w:p>
    <w:p w:rsidR="0062363A" w:rsidRDefault="0062363A" w:rsidP="0062363A">
      <w:pPr>
        <w:spacing w:line="360" w:lineRule="auto"/>
        <w:jc w:val="both"/>
      </w:pPr>
      <w:r w:rsidRPr="00C6752E">
        <w:t>In the matter between:-</w:t>
      </w:r>
    </w:p>
    <w:p w:rsidR="0062363A" w:rsidRPr="00C6752E" w:rsidRDefault="0062363A" w:rsidP="0062363A">
      <w:pPr>
        <w:jc w:val="both"/>
      </w:pPr>
    </w:p>
    <w:p w:rsidR="0062363A" w:rsidRDefault="0019003A" w:rsidP="0062363A">
      <w:pPr>
        <w:jc w:val="both"/>
        <w:outlineLvl w:val="0"/>
        <w:rPr>
          <w:b/>
        </w:rPr>
      </w:pPr>
      <w:r>
        <w:rPr>
          <w:b/>
        </w:rPr>
        <w:t>STAR AFRICA CORPORATION LTD</w:t>
      </w:r>
      <w:r w:rsidR="00513B93">
        <w:rPr>
          <w:b/>
        </w:rPr>
        <w:tab/>
      </w:r>
      <w:r w:rsidR="00513B93">
        <w:rPr>
          <w:b/>
        </w:rPr>
        <w:tab/>
      </w:r>
      <w:r w:rsidR="00513B93">
        <w:rPr>
          <w:b/>
        </w:rPr>
        <w:tab/>
        <w:t>Applicant</w:t>
      </w:r>
    </w:p>
    <w:p w:rsidR="0062363A" w:rsidRDefault="0062363A" w:rsidP="0062363A">
      <w:pPr>
        <w:jc w:val="both"/>
        <w:outlineLvl w:val="0"/>
        <w:rPr>
          <w:b/>
        </w:rPr>
      </w:pPr>
    </w:p>
    <w:p w:rsidR="0062363A" w:rsidRDefault="0062363A" w:rsidP="0062363A">
      <w:pPr>
        <w:jc w:val="both"/>
        <w:outlineLvl w:val="0"/>
      </w:pPr>
      <w:r w:rsidRPr="00C6752E">
        <w:t>And</w:t>
      </w:r>
    </w:p>
    <w:p w:rsidR="0062363A" w:rsidRPr="00C6752E" w:rsidRDefault="0062363A" w:rsidP="0062363A">
      <w:pPr>
        <w:jc w:val="both"/>
        <w:outlineLvl w:val="0"/>
      </w:pPr>
    </w:p>
    <w:p w:rsidR="0062363A" w:rsidRDefault="0019003A" w:rsidP="0062363A">
      <w:pPr>
        <w:jc w:val="both"/>
        <w:rPr>
          <w:b/>
        </w:rPr>
      </w:pPr>
      <w:r>
        <w:rPr>
          <w:b/>
        </w:rPr>
        <w:t>JOHN CHENJERAI</w:t>
      </w:r>
      <w:r w:rsidR="0062363A">
        <w:rPr>
          <w:b/>
        </w:rPr>
        <w:t xml:space="preserve"> &amp; 2</w:t>
      </w:r>
      <w:r>
        <w:rPr>
          <w:b/>
        </w:rPr>
        <w:t>2</w:t>
      </w:r>
      <w:r w:rsidR="0062363A">
        <w:rPr>
          <w:b/>
        </w:rPr>
        <w:t xml:space="preserve"> ORS</w:t>
      </w:r>
      <w:r w:rsidR="0062363A">
        <w:rPr>
          <w:b/>
        </w:rPr>
        <w:tab/>
      </w:r>
      <w:r w:rsidR="0062363A">
        <w:rPr>
          <w:b/>
        </w:rPr>
        <w:tab/>
      </w:r>
      <w:r w:rsidR="0062363A">
        <w:rPr>
          <w:b/>
        </w:rPr>
        <w:tab/>
      </w:r>
      <w:r w:rsidR="0062363A">
        <w:rPr>
          <w:b/>
        </w:rPr>
        <w:tab/>
        <w:t>Respondents</w:t>
      </w:r>
    </w:p>
    <w:p w:rsidR="0062363A" w:rsidRPr="00C6752E" w:rsidRDefault="0062363A" w:rsidP="0062363A">
      <w:pPr>
        <w:jc w:val="both"/>
        <w:rPr>
          <w:b/>
        </w:rPr>
      </w:pPr>
    </w:p>
    <w:p w:rsidR="0062363A" w:rsidRDefault="0062363A" w:rsidP="0062363A">
      <w:pPr>
        <w:jc w:val="both"/>
        <w:outlineLvl w:val="0"/>
      </w:pPr>
      <w:r w:rsidRPr="00C6752E">
        <w:t>Before Honourable</w:t>
      </w:r>
      <w:r>
        <w:t xml:space="preserve"> B.S.</w:t>
      </w:r>
      <w:r w:rsidRPr="00C6752E">
        <w:t xml:space="preserve"> </w:t>
      </w:r>
      <w:r>
        <w:t>Chidziva, Judge</w:t>
      </w:r>
    </w:p>
    <w:p w:rsidR="0062363A" w:rsidRDefault="0062363A" w:rsidP="0062363A">
      <w:pPr>
        <w:jc w:val="both"/>
      </w:pPr>
    </w:p>
    <w:p w:rsidR="0062363A" w:rsidRPr="00DC0454" w:rsidRDefault="0062363A" w:rsidP="0062363A">
      <w:pPr>
        <w:jc w:val="both"/>
      </w:pPr>
      <w:r>
        <w:tab/>
      </w:r>
      <w:r>
        <w:tab/>
      </w:r>
      <w:r>
        <w:tab/>
        <w:t xml:space="preserve"> </w:t>
      </w:r>
      <w:r w:rsidRPr="00C6752E">
        <w:rPr>
          <w:b/>
        </w:rPr>
        <w:tab/>
      </w:r>
      <w:r w:rsidRPr="00C6752E">
        <w:rPr>
          <w:b/>
        </w:rPr>
        <w:tab/>
      </w:r>
    </w:p>
    <w:p w:rsidR="0062363A" w:rsidRDefault="00513B93" w:rsidP="0062363A">
      <w:pPr>
        <w:spacing w:line="360" w:lineRule="auto"/>
        <w:jc w:val="both"/>
        <w:rPr>
          <w:b/>
        </w:rPr>
      </w:pPr>
      <w:r>
        <w:rPr>
          <w:b/>
        </w:rPr>
        <w:t>For Applicant</w:t>
      </w:r>
      <w:r w:rsidR="0062363A">
        <w:rPr>
          <w:b/>
        </w:rPr>
        <w:tab/>
      </w:r>
      <w:r w:rsidR="0062363A">
        <w:rPr>
          <w:b/>
        </w:rPr>
        <w:tab/>
        <w:t xml:space="preserve">Mr </w:t>
      </w:r>
      <w:r w:rsidR="00B12A02">
        <w:rPr>
          <w:b/>
        </w:rPr>
        <w:t>W Vudzijena (Legal Practitioner)</w:t>
      </w:r>
    </w:p>
    <w:p w:rsidR="0062363A" w:rsidRDefault="0062363A" w:rsidP="0062363A">
      <w:pPr>
        <w:spacing w:line="360" w:lineRule="auto"/>
        <w:ind w:left="720" w:hanging="720"/>
        <w:jc w:val="both"/>
        <w:rPr>
          <w:b/>
        </w:rPr>
      </w:pPr>
      <w:r>
        <w:rPr>
          <w:b/>
        </w:rPr>
        <w:t>For Respondents</w:t>
      </w:r>
      <w:r>
        <w:rPr>
          <w:b/>
        </w:rPr>
        <w:tab/>
      </w:r>
      <w:r>
        <w:rPr>
          <w:b/>
        </w:rPr>
        <w:tab/>
        <w:t xml:space="preserve">Mr </w:t>
      </w:r>
      <w:r w:rsidR="00B12A02">
        <w:rPr>
          <w:b/>
        </w:rPr>
        <w:t>G Pendei</w:t>
      </w:r>
      <w:r w:rsidR="00135D42">
        <w:rPr>
          <w:b/>
        </w:rPr>
        <w:t xml:space="preserve"> (Legal </w:t>
      </w:r>
      <w:r w:rsidR="00184116">
        <w:rPr>
          <w:b/>
        </w:rPr>
        <w:t>Practitioner</w:t>
      </w:r>
      <w:r w:rsidR="00135D42">
        <w:rPr>
          <w:b/>
        </w:rPr>
        <w:t>)</w:t>
      </w:r>
    </w:p>
    <w:p w:rsidR="0062363A" w:rsidRDefault="0062363A" w:rsidP="0062363A">
      <w:pPr>
        <w:jc w:val="both"/>
        <w:rPr>
          <w:b/>
        </w:rPr>
      </w:pPr>
    </w:p>
    <w:p w:rsidR="0062363A" w:rsidRDefault="0062363A" w:rsidP="0062363A">
      <w:pPr>
        <w:jc w:val="both"/>
        <w:outlineLvl w:val="0"/>
        <w:rPr>
          <w:b/>
        </w:rPr>
      </w:pPr>
      <w:r>
        <w:rPr>
          <w:b/>
        </w:rPr>
        <w:t>CHIDZIVA, J:</w:t>
      </w:r>
    </w:p>
    <w:p w:rsidR="00135D42" w:rsidRDefault="00135D42" w:rsidP="00135D42">
      <w:pPr>
        <w:spacing w:line="360" w:lineRule="auto"/>
        <w:jc w:val="both"/>
        <w:outlineLvl w:val="0"/>
        <w:rPr>
          <w:b/>
        </w:rPr>
      </w:pPr>
    </w:p>
    <w:p w:rsidR="00135D42" w:rsidRDefault="00135D42" w:rsidP="00135D42">
      <w:pPr>
        <w:spacing w:line="360" w:lineRule="auto"/>
        <w:jc w:val="both"/>
        <w:outlineLvl w:val="0"/>
      </w:pPr>
      <w:r>
        <w:tab/>
      </w:r>
      <w:r w:rsidR="009843E5">
        <w:t>This is an application for leave to appeal</w:t>
      </w:r>
      <w:r w:rsidR="003B5831">
        <w:t xml:space="preserve"> to the Supreme Court against the judgment of this Court that was handed down on the 16 October 2015.  This Court in its judgment set aside the arbitral award by </w:t>
      </w:r>
      <w:r w:rsidR="006A1163">
        <w:t xml:space="preserve">Susan Changawa.  It nullified </w:t>
      </w:r>
      <w:r w:rsidR="00184116">
        <w:t>the transfer of the appellant to Ma</w:t>
      </w:r>
      <w:r w:rsidR="008645A9">
        <w:t xml:space="preserve">hshe Investment and ordered Applicant to reinstate the Respondent’s </w:t>
      </w:r>
      <w:r w:rsidR="00694B8A">
        <w:t>pension.</w:t>
      </w:r>
    </w:p>
    <w:p w:rsidR="00694B8A" w:rsidRDefault="00694B8A" w:rsidP="00123AAD">
      <w:pPr>
        <w:jc w:val="both"/>
        <w:outlineLvl w:val="0"/>
      </w:pPr>
    </w:p>
    <w:p w:rsidR="00694B8A" w:rsidRDefault="008E397F" w:rsidP="00B340E6">
      <w:pPr>
        <w:spacing w:line="360" w:lineRule="auto"/>
        <w:ind w:firstLine="720"/>
        <w:jc w:val="both"/>
        <w:outlineLvl w:val="0"/>
      </w:pPr>
      <w:r>
        <w:t xml:space="preserve">The Applicant’s grounds </w:t>
      </w:r>
      <w:r w:rsidR="00B340E6">
        <w:t>f</w:t>
      </w:r>
      <w:r>
        <w:t>or this</w:t>
      </w:r>
      <w:r w:rsidR="00B340E6">
        <w:t xml:space="preserve"> application are that </w:t>
      </w:r>
    </w:p>
    <w:p w:rsidR="00B340E6" w:rsidRDefault="00B340E6" w:rsidP="00123AAD">
      <w:pPr>
        <w:ind w:firstLine="720"/>
        <w:jc w:val="both"/>
        <w:outlineLvl w:val="0"/>
      </w:pPr>
    </w:p>
    <w:p w:rsidR="00B340E6" w:rsidRDefault="00B340E6" w:rsidP="00B340E6">
      <w:pPr>
        <w:pStyle w:val="ListParagraph"/>
        <w:numPr>
          <w:ilvl w:val="0"/>
          <w:numId w:val="1"/>
        </w:numPr>
        <w:spacing w:line="360" w:lineRule="auto"/>
        <w:jc w:val="both"/>
        <w:outlineLvl w:val="0"/>
      </w:pPr>
      <w:r>
        <w:t>There are reasonable prospects of success on appeal.</w:t>
      </w:r>
    </w:p>
    <w:p w:rsidR="00B340E6" w:rsidRDefault="00B340E6" w:rsidP="00B340E6">
      <w:pPr>
        <w:pStyle w:val="ListParagraph"/>
        <w:numPr>
          <w:ilvl w:val="0"/>
          <w:numId w:val="1"/>
        </w:numPr>
        <w:spacing w:line="360" w:lineRule="auto"/>
        <w:jc w:val="both"/>
        <w:outlineLvl w:val="0"/>
      </w:pPr>
      <w:r>
        <w:t>The balance of co</w:t>
      </w:r>
      <w:r w:rsidR="00486E87">
        <w:t>nvenience or hardships favours the grant</w:t>
      </w:r>
      <w:r w:rsidR="008E397F">
        <w:t>ing</w:t>
      </w:r>
      <w:r w:rsidR="00486E87">
        <w:t xml:space="preserve"> of the leave</w:t>
      </w:r>
      <w:r w:rsidR="008E397F">
        <w:t xml:space="preserve"> to appeal to the Supreme Court</w:t>
      </w:r>
      <w:r w:rsidR="00486E87">
        <w:t>.</w:t>
      </w:r>
    </w:p>
    <w:p w:rsidR="00486E87" w:rsidRDefault="00486E87" w:rsidP="00B340E6">
      <w:pPr>
        <w:pStyle w:val="ListParagraph"/>
        <w:numPr>
          <w:ilvl w:val="0"/>
          <w:numId w:val="1"/>
        </w:numPr>
        <w:spacing w:line="360" w:lineRule="auto"/>
        <w:jc w:val="both"/>
        <w:outlineLvl w:val="0"/>
      </w:pPr>
      <w:r>
        <w:t xml:space="preserve">The matter is of substantial importance to one </w:t>
      </w:r>
      <w:r w:rsidR="008B0FB0">
        <w:t>or both parties.</w:t>
      </w:r>
    </w:p>
    <w:p w:rsidR="008B0FB0" w:rsidRDefault="008B0FB0" w:rsidP="00B340E6">
      <w:pPr>
        <w:pStyle w:val="ListParagraph"/>
        <w:numPr>
          <w:ilvl w:val="0"/>
          <w:numId w:val="1"/>
        </w:numPr>
        <w:spacing w:line="360" w:lineRule="auto"/>
        <w:jc w:val="both"/>
        <w:outlineLvl w:val="0"/>
      </w:pPr>
      <w:r>
        <w:t xml:space="preserve">The amount in dispute is not </w:t>
      </w:r>
      <w:r w:rsidR="00F001D5">
        <w:t>trifling.</w:t>
      </w:r>
    </w:p>
    <w:p w:rsidR="00F001D5" w:rsidRDefault="00F001D5" w:rsidP="00123AAD">
      <w:pPr>
        <w:jc w:val="both"/>
        <w:outlineLvl w:val="0"/>
      </w:pPr>
    </w:p>
    <w:p w:rsidR="00F001D5" w:rsidRDefault="00F001D5" w:rsidP="00165745">
      <w:pPr>
        <w:spacing w:line="360" w:lineRule="auto"/>
        <w:ind w:firstLine="720"/>
        <w:jc w:val="both"/>
        <w:outlineLvl w:val="0"/>
      </w:pPr>
      <w:r>
        <w:t>The Respondent in response told the Court that Applicant had no prospects of success on appeal because it was clear that Respondent</w:t>
      </w:r>
      <w:r w:rsidR="00081709">
        <w:t>s could not sue Mahshe In</w:t>
      </w:r>
      <w:r w:rsidR="00165745">
        <w:t xml:space="preserve">vestment </w:t>
      </w:r>
      <w:r w:rsidR="00E336E3">
        <w:t xml:space="preserve">since it is not a legal </w:t>
      </w:r>
      <w:proofErr w:type="gramStart"/>
      <w:r w:rsidR="00E336E3">
        <w:t>personae</w:t>
      </w:r>
      <w:proofErr w:type="gramEnd"/>
      <w:r w:rsidR="00165745">
        <w:t>.</w:t>
      </w:r>
    </w:p>
    <w:p w:rsidR="00165745" w:rsidRDefault="00165745" w:rsidP="00165745">
      <w:pPr>
        <w:spacing w:line="360" w:lineRule="auto"/>
        <w:ind w:firstLine="720"/>
        <w:jc w:val="both"/>
        <w:outlineLvl w:val="0"/>
      </w:pPr>
      <w:r>
        <w:lastRenderedPageBreak/>
        <w:t>In cases of th</w:t>
      </w:r>
      <w:r w:rsidR="00522115">
        <w:t xml:space="preserve">is nature it has always been emphasised that there should be prospect of success on appeal.  This was also stated in the case of </w:t>
      </w:r>
      <w:r w:rsidR="005A65EA" w:rsidRPr="005A65EA">
        <w:rPr>
          <w:i/>
        </w:rPr>
        <w:t>Canesius Chipangura</w:t>
      </w:r>
      <w:r w:rsidR="005A65EA">
        <w:t xml:space="preserve"> vs </w:t>
      </w:r>
      <w:r w:rsidR="005A65EA" w:rsidRPr="005A65EA">
        <w:rPr>
          <w:i/>
        </w:rPr>
        <w:t>Environmental Agency</w:t>
      </w:r>
      <w:r w:rsidR="00E336E3">
        <w:t xml:space="preserve"> SC 35/12 where</w:t>
      </w:r>
      <w:r w:rsidR="005A65EA">
        <w:t xml:space="preserve"> the court held that </w:t>
      </w:r>
    </w:p>
    <w:p w:rsidR="007F7C3D" w:rsidRDefault="007F7C3D" w:rsidP="00123AAD">
      <w:pPr>
        <w:ind w:firstLine="720"/>
        <w:jc w:val="both"/>
        <w:outlineLvl w:val="0"/>
      </w:pPr>
    </w:p>
    <w:p w:rsidR="007F7C3D" w:rsidRPr="00123AAD" w:rsidRDefault="007F7C3D" w:rsidP="00123AAD">
      <w:pPr>
        <w:spacing w:line="276" w:lineRule="auto"/>
        <w:ind w:left="720"/>
        <w:jc w:val="both"/>
        <w:outlineLvl w:val="0"/>
        <w:rPr>
          <w:sz w:val="22"/>
          <w:szCs w:val="22"/>
        </w:rPr>
      </w:pPr>
      <w:r w:rsidRPr="00123AAD">
        <w:rPr>
          <w:sz w:val="22"/>
          <w:szCs w:val="22"/>
        </w:rPr>
        <w:t>“… in an application of this nature, one ought to consider whether there are any prospects of success on appeal.</w:t>
      </w:r>
      <w:r w:rsidR="003D7CB9" w:rsidRPr="00123AAD">
        <w:rPr>
          <w:sz w:val="22"/>
          <w:szCs w:val="22"/>
        </w:rPr>
        <w:t>”</w:t>
      </w:r>
    </w:p>
    <w:p w:rsidR="003D7CB9" w:rsidRDefault="003D7CB9" w:rsidP="00123AAD">
      <w:pPr>
        <w:ind w:firstLine="720"/>
        <w:jc w:val="both"/>
        <w:outlineLvl w:val="0"/>
      </w:pPr>
    </w:p>
    <w:p w:rsidR="003D7CB9" w:rsidRDefault="003D7CB9" w:rsidP="00165745">
      <w:pPr>
        <w:spacing w:line="360" w:lineRule="auto"/>
        <w:ind w:firstLine="720"/>
        <w:jc w:val="both"/>
        <w:outlineLvl w:val="0"/>
      </w:pPr>
      <w:r>
        <w:t xml:space="preserve">During the hearing the applicant failed to establish the identity of the </w:t>
      </w:r>
      <w:r w:rsidR="00E336E3">
        <w:t>buyer</w:t>
      </w:r>
      <w:r>
        <w:t xml:space="preserve">, </w:t>
      </w:r>
      <w:r w:rsidR="00E25D81">
        <w:t>of its own business.  As a result there was no agreement of sale as there was no purchaser of business.  All that the Applicant said during the hearing is that Mahshe was not registered by that name in Zimbabwe.  There was no mention of the whereabouts of Mahshe neither did the Applicant bothe</w:t>
      </w:r>
      <w:r w:rsidR="003F66A1">
        <w:t>r itself to testify in support of its claims.</w:t>
      </w:r>
    </w:p>
    <w:p w:rsidR="003F66A1" w:rsidRDefault="003F66A1" w:rsidP="00123AAD">
      <w:pPr>
        <w:ind w:firstLine="720"/>
        <w:jc w:val="both"/>
        <w:outlineLvl w:val="0"/>
      </w:pPr>
    </w:p>
    <w:p w:rsidR="003F66A1" w:rsidRDefault="003F66A1" w:rsidP="003F66A1">
      <w:pPr>
        <w:spacing w:line="360" w:lineRule="auto"/>
        <w:ind w:firstLine="720"/>
        <w:jc w:val="both"/>
        <w:outlineLvl w:val="0"/>
      </w:pPr>
      <w:r>
        <w:t>In view of this therefore the Court finds that the application lacks merit.</w:t>
      </w:r>
    </w:p>
    <w:p w:rsidR="003F66A1" w:rsidRDefault="003F66A1" w:rsidP="003F66A1">
      <w:pPr>
        <w:spacing w:line="360" w:lineRule="auto"/>
        <w:jc w:val="both"/>
        <w:outlineLvl w:val="0"/>
      </w:pPr>
    </w:p>
    <w:p w:rsidR="003F66A1" w:rsidRDefault="00007C96" w:rsidP="003F66A1">
      <w:pPr>
        <w:spacing w:line="360" w:lineRule="auto"/>
        <w:jc w:val="both"/>
        <w:outlineLvl w:val="0"/>
      </w:pPr>
      <w:r>
        <w:t>Accordingly it is ordered that</w:t>
      </w:r>
    </w:p>
    <w:p w:rsidR="00007C96" w:rsidRDefault="00007C96" w:rsidP="00123AAD">
      <w:pPr>
        <w:jc w:val="both"/>
        <w:outlineLvl w:val="0"/>
      </w:pPr>
    </w:p>
    <w:p w:rsidR="00511646" w:rsidRDefault="00511646" w:rsidP="00511646">
      <w:pPr>
        <w:pStyle w:val="ListParagraph"/>
        <w:numPr>
          <w:ilvl w:val="0"/>
          <w:numId w:val="2"/>
        </w:numPr>
        <w:spacing w:line="360" w:lineRule="auto"/>
        <w:jc w:val="both"/>
        <w:outlineLvl w:val="0"/>
      </w:pPr>
      <w:r>
        <w:t>The application be and is hereby dismissed with costs.</w:t>
      </w:r>
    </w:p>
    <w:p w:rsidR="00222564" w:rsidRDefault="00222564" w:rsidP="00222564">
      <w:pPr>
        <w:spacing w:line="360" w:lineRule="auto"/>
        <w:jc w:val="both"/>
        <w:outlineLvl w:val="0"/>
      </w:pPr>
    </w:p>
    <w:p w:rsidR="00222564" w:rsidRDefault="00222564" w:rsidP="00222564">
      <w:pPr>
        <w:spacing w:line="360" w:lineRule="auto"/>
        <w:jc w:val="both"/>
        <w:outlineLvl w:val="0"/>
      </w:pPr>
    </w:p>
    <w:p w:rsidR="00B26F32" w:rsidRDefault="00B26F32" w:rsidP="00222564">
      <w:pPr>
        <w:spacing w:line="360" w:lineRule="auto"/>
        <w:jc w:val="both"/>
        <w:outlineLvl w:val="0"/>
      </w:pPr>
      <w:r w:rsidRPr="00123AAD">
        <w:rPr>
          <w:i/>
        </w:rPr>
        <w:t>Coghlan Welsh &amp; Guest</w:t>
      </w:r>
      <w:r>
        <w:t>, applicant’s legal practitioners</w:t>
      </w:r>
    </w:p>
    <w:p w:rsidR="00B26F32" w:rsidRDefault="00123AAD" w:rsidP="00222564">
      <w:pPr>
        <w:spacing w:line="360" w:lineRule="auto"/>
        <w:jc w:val="both"/>
        <w:outlineLvl w:val="0"/>
      </w:pPr>
      <w:r w:rsidRPr="00123AAD">
        <w:rPr>
          <w:i/>
        </w:rPr>
        <w:t>Manyangadze Law Practice</w:t>
      </w:r>
      <w:r>
        <w:t>, respondents’’ legal practitioners</w:t>
      </w:r>
    </w:p>
    <w:p w:rsidR="00B340E6" w:rsidRPr="00135D42" w:rsidRDefault="00B340E6" w:rsidP="00135D42">
      <w:pPr>
        <w:spacing w:line="360" w:lineRule="auto"/>
        <w:jc w:val="both"/>
        <w:outlineLvl w:val="0"/>
      </w:pPr>
    </w:p>
    <w:p w:rsidR="0062363A" w:rsidRDefault="0062363A" w:rsidP="0062363A">
      <w:pPr>
        <w:spacing w:line="360" w:lineRule="auto"/>
        <w:jc w:val="both"/>
      </w:pPr>
    </w:p>
    <w:p w:rsidR="00135D42" w:rsidRDefault="00135D42" w:rsidP="00135D42">
      <w:pPr>
        <w:jc w:val="both"/>
      </w:pPr>
    </w:p>
    <w:p w:rsidR="00135D42" w:rsidRDefault="00135D42" w:rsidP="0062363A">
      <w:pPr>
        <w:spacing w:line="360" w:lineRule="auto"/>
        <w:jc w:val="both"/>
      </w:pPr>
    </w:p>
    <w:p w:rsidR="00A435B4" w:rsidRDefault="009B0DEC"/>
    <w:sectPr w:rsidR="00A435B4" w:rsidSect="00D84839">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0DEC" w:rsidRDefault="009B0DEC" w:rsidP="00D84839">
      <w:r>
        <w:separator/>
      </w:r>
    </w:p>
  </w:endnote>
  <w:endnote w:type="continuationSeparator" w:id="0">
    <w:p w:rsidR="009B0DEC" w:rsidRDefault="009B0DEC" w:rsidP="00D8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663385"/>
      <w:docPartObj>
        <w:docPartGallery w:val="Page Numbers (Bottom of Page)"/>
        <w:docPartUnique/>
      </w:docPartObj>
    </w:sdtPr>
    <w:sdtEndPr>
      <w:rPr>
        <w:noProof/>
      </w:rPr>
    </w:sdtEndPr>
    <w:sdtContent>
      <w:p w:rsidR="00D84839" w:rsidRDefault="00D84839">
        <w:pPr>
          <w:pStyle w:val="Footer"/>
          <w:jc w:val="center"/>
        </w:pPr>
        <w:r>
          <w:fldChar w:fldCharType="begin"/>
        </w:r>
        <w:r>
          <w:instrText xml:space="preserve"> PAGE   \* MERGEFORMAT </w:instrText>
        </w:r>
        <w:r>
          <w:fldChar w:fldCharType="separate"/>
        </w:r>
        <w:r w:rsidR="00334E4B">
          <w:rPr>
            <w:noProof/>
          </w:rPr>
          <w:t>2</w:t>
        </w:r>
        <w:r>
          <w:rPr>
            <w:noProof/>
          </w:rPr>
          <w:fldChar w:fldCharType="end"/>
        </w:r>
      </w:p>
    </w:sdtContent>
  </w:sdt>
  <w:p w:rsidR="00D84839" w:rsidRDefault="00D84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0DEC" w:rsidRDefault="009B0DEC" w:rsidP="00D84839">
      <w:r>
        <w:separator/>
      </w:r>
    </w:p>
  </w:footnote>
  <w:footnote w:type="continuationSeparator" w:id="0">
    <w:p w:rsidR="009B0DEC" w:rsidRDefault="009B0DEC" w:rsidP="00D848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4839" w:rsidRPr="00D84839" w:rsidRDefault="00D84839">
    <w:pPr>
      <w:pStyle w:val="Header"/>
      <w:rPr>
        <w:lang w:val="en-ZW"/>
      </w:rPr>
    </w:pPr>
    <w:r>
      <w:rPr>
        <w:lang w:val="en-ZW"/>
      </w:rPr>
      <w:tab/>
    </w:r>
    <w:r>
      <w:rPr>
        <w:lang w:val="en-ZW"/>
      </w:rPr>
      <w:tab/>
      <w:t>JUDGMENT NO. LC/H/</w:t>
    </w:r>
    <w:r w:rsidR="006B4033">
      <w:rPr>
        <w:lang w:val="en-ZW"/>
      </w:rPr>
      <w:t>320</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685986"/>
    <w:multiLevelType w:val="hybridMultilevel"/>
    <w:tmpl w:val="53565BB0"/>
    <w:lvl w:ilvl="0" w:tplc="86D40D16">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F4F7A8C"/>
    <w:multiLevelType w:val="hybridMultilevel"/>
    <w:tmpl w:val="07D82C06"/>
    <w:lvl w:ilvl="0" w:tplc="60CA94D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63A"/>
    <w:rsid w:val="00007C96"/>
    <w:rsid w:val="00081709"/>
    <w:rsid w:val="00097BE9"/>
    <w:rsid w:val="00123AAD"/>
    <w:rsid w:val="00135D42"/>
    <w:rsid w:val="00165745"/>
    <w:rsid w:val="00181B84"/>
    <w:rsid w:val="00184116"/>
    <w:rsid w:val="0019003A"/>
    <w:rsid w:val="00222564"/>
    <w:rsid w:val="00334E4B"/>
    <w:rsid w:val="003B5831"/>
    <w:rsid w:val="003D7CB9"/>
    <w:rsid w:val="003F66A1"/>
    <w:rsid w:val="00486E87"/>
    <w:rsid w:val="00511646"/>
    <w:rsid w:val="00513B93"/>
    <w:rsid w:val="00522115"/>
    <w:rsid w:val="00534DC1"/>
    <w:rsid w:val="005A65EA"/>
    <w:rsid w:val="0062363A"/>
    <w:rsid w:val="00694B8A"/>
    <w:rsid w:val="006A1163"/>
    <w:rsid w:val="006B4033"/>
    <w:rsid w:val="007F7C3D"/>
    <w:rsid w:val="008645A9"/>
    <w:rsid w:val="008B0FB0"/>
    <w:rsid w:val="008E397F"/>
    <w:rsid w:val="00902F28"/>
    <w:rsid w:val="009843E5"/>
    <w:rsid w:val="009B0DEC"/>
    <w:rsid w:val="00B12A02"/>
    <w:rsid w:val="00B21F3E"/>
    <w:rsid w:val="00B26F32"/>
    <w:rsid w:val="00B340E6"/>
    <w:rsid w:val="00B72CC5"/>
    <w:rsid w:val="00C51B47"/>
    <w:rsid w:val="00D84839"/>
    <w:rsid w:val="00E25D81"/>
    <w:rsid w:val="00E336E3"/>
    <w:rsid w:val="00F001D5"/>
    <w:rsid w:val="00FF475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3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0E6"/>
    <w:pPr>
      <w:ind w:left="720"/>
      <w:contextualSpacing/>
    </w:pPr>
  </w:style>
  <w:style w:type="paragraph" w:styleId="Header">
    <w:name w:val="header"/>
    <w:basedOn w:val="Normal"/>
    <w:link w:val="HeaderChar"/>
    <w:uiPriority w:val="99"/>
    <w:unhideWhenUsed/>
    <w:rsid w:val="00D84839"/>
    <w:pPr>
      <w:tabs>
        <w:tab w:val="center" w:pos="4513"/>
        <w:tab w:val="right" w:pos="9026"/>
      </w:tabs>
    </w:pPr>
  </w:style>
  <w:style w:type="character" w:customStyle="1" w:styleId="HeaderChar">
    <w:name w:val="Header Char"/>
    <w:basedOn w:val="DefaultParagraphFont"/>
    <w:link w:val="Header"/>
    <w:uiPriority w:val="99"/>
    <w:rsid w:val="00D84839"/>
    <w:rPr>
      <w:rFonts w:ascii="Tahoma" w:eastAsia="Times New Roman" w:hAnsi="Tahoma" w:cs="Times New Roman"/>
      <w:sz w:val="24"/>
      <w:szCs w:val="24"/>
      <w:lang w:val="en-US"/>
    </w:rPr>
  </w:style>
  <w:style w:type="paragraph" w:styleId="Footer">
    <w:name w:val="footer"/>
    <w:basedOn w:val="Normal"/>
    <w:link w:val="FooterChar"/>
    <w:uiPriority w:val="99"/>
    <w:unhideWhenUsed/>
    <w:rsid w:val="00D84839"/>
    <w:pPr>
      <w:tabs>
        <w:tab w:val="center" w:pos="4513"/>
        <w:tab w:val="right" w:pos="9026"/>
      </w:tabs>
    </w:pPr>
  </w:style>
  <w:style w:type="character" w:customStyle="1" w:styleId="FooterChar">
    <w:name w:val="Footer Char"/>
    <w:basedOn w:val="DefaultParagraphFont"/>
    <w:link w:val="Footer"/>
    <w:uiPriority w:val="99"/>
    <w:rsid w:val="00D84839"/>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363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40E6"/>
    <w:pPr>
      <w:ind w:left="720"/>
      <w:contextualSpacing/>
    </w:pPr>
  </w:style>
  <w:style w:type="paragraph" w:styleId="Header">
    <w:name w:val="header"/>
    <w:basedOn w:val="Normal"/>
    <w:link w:val="HeaderChar"/>
    <w:uiPriority w:val="99"/>
    <w:unhideWhenUsed/>
    <w:rsid w:val="00D84839"/>
    <w:pPr>
      <w:tabs>
        <w:tab w:val="center" w:pos="4513"/>
        <w:tab w:val="right" w:pos="9026"/>
      </w:tabs>
    </w:pPr>
  </w:style>
  <w:style w:type="character" w:customStyle="1" w:styleId="HeaderChar">
    <w:name w:val="Header Char"/>
    <w:basedOn w:val="DefaultParagraphFont"/>
    <w:link w:val="Header"/>
    <w:uiPriority w:val="99"/>
    <w:rsid w:val="00D84839"/>
    <w:rPr>
      <w:rFonts w:ascii="Tahoma" w:eastAsia="Times New Roman" w:hAnsi="Tahoma" w:cs="Times New Roman"/>
      <w:sz w:val="24"/>
      <w:szCs w:val="24"/>
      <w:lang w:val="en-US"/>
    </w:rPr>
  </w:style>
  <w:style w:type="paragraph" w:styleId="Footer">
    <w:name w:val="footer"/>
    <w:basedOn w:val="Normal"/>
    <w:link w:val="FooterChar"/>
    <w:uiPriority w:val="99"/>
    <w:unhideWhenUsed/>
    <w:rsid w:val="00D84839"/>
    <w:pPr>
      <w:tabs>
        <w:tab w:val="center" w:pos="4513"/>
        <w:tab w:val="right" w:pos="9026"/>
      </w:tabs>
    </w:pPr>
  </w:style>
  <w:style w:type="character" w:customStyle="1" w:styleId="FooterChar">
    <w:name w:val="Footer Char"/>
    <w:basedOn w:val="DefaultParagraphFont"/>
    <w:link w:val="Footer"/>
    <w:uiPriority w:val="99"/>
    <w:rsid w:val="00D84839"/>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2</Pages>
  <Words>345</Words>
  <Characters>1971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2016-04-27T09:49:00Z</dcterms:created>
  <dcterms:modified xsi:type="dcterms:W3CDTF">2016-05-12T07:50:00Z</dcterms:modified>
</cp:coreProperties>
</file>