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9B7" w:rsidRDefault="003509B7">
      <w:pPr>
        <w:jc w:val="both"/>
      </w:pPr>
      <w:bookmarkStart w:id="0" w:name="_GoBack"/>
      <w:bookmarkEnd w:id="0"/>
    </w:p>
    <w:p w:rsidR="003509B7" w:rsidRDefault="003E40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STANLEY MATUNHIRE </w:t>
      </w:r>
    </w:p>
    <w:p w:rsidR="003509B7" w:rsidRDefault="003E40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509B7" w:rsidRDefault="003E40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MAZOWE MINING COMPANY (PRIVATE) LIMITED  </w:t>
      </w:r>
    </w:p>
    <w:p w:rsidR="003509B7" w:rsidRDefault="003509B7">
      <w:pPr>
        <w:jc w:val="both"/>
        <w:rPr>
          <w:rFonts w:ascii="Times New Roman" w:hAnsi="Times New Roman" w:cs="Times New Roman"/>
          <w:sz w:val="24"/>
          <w:szCs w:val="24"/>
        </w:rPr>
      </w:pPr>
    </w:p>
    <w:p w:rsidR="003509B7" w:rsidRDefault="003E40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3509B7" w:rsidRDefault="003E40F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MUSHURE J </w:t>
      </w:r>
    </w:p>
    <w:p w:rsidR="003509B7" w:rsidRDefault="003E40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12 February &amp; 10 June 2025</w:t>
      </w:r>
    </w:p>
    <w:p w:rsidR="003509B7" w:rsidRDefault="003509B7">
      <w:pPr>
        <w:jc w:val="both"/>
        <w:rPr>
          <w:rFonts w:ascii="Times New Roman" w:hAnsi="Times New Roman" w:cs="Times New Roman"/>
          <w:sz w:val="24"/>
          <w:szCs w:val="24"/>
        </w:rPr>
      </w:pPr>
    </w:p>
    <w:p w:rsidR="003509B7" w:rsidRDefault="003E40F8">
      <w:pPr>
        <w:jc w:val="both"/>
        <w:rPr>
          <w:rFonts w:ascii="Times New Roman" w:hAnsi="Times New Roman" w:cs="Times New Roman"/>
          <w:b/>
          <w:sz w:val="24"/>
          <w:szCs w:val="24"/>
        </w:rPr>
      </w:pPr>
      <w:r>
        <w:rPr>
          <w:rFonts w:ascii="Times New Roman" w:hAnsi="Times New Roman" w:cs="Times New Roman"/>
          <w:b/>
          <w:sz w:val="24"/>
          <w:szCs w:val="24"/>
        </w:rPr>
        <w:t xml:space="preserve">Application for leave to sue </w:t>
      </w:r>
    </w:p>
    <w:p w:rsidR="003509B7" w:rsidRDefault="003509B7">
      <w:pPr>
        <w:spacing w:after="0" w:line="240" w:lineRule="auto"/>
        <w:jc w:val="both"/>
        <w:rPr>
          <w:rFonts w:ascii="Times New Roman" w:hAnsi="Times New Roman" w:cs="Times New Roman"/>
          <w:sz w:val="24"/>
          <w:szCs w:val="24"/>
        </w:rPr>
      </w:pPr>
    </w:p>
    <w:p w:rsidR="003509B7" w:rsidRDefault="003E40F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Kabuya</w:t>
      </w:r>
      <w:r>
        <w:rPr>
          <w:rFonts w:ascii="Times New Roman" w:hAnsi="Times New Roman" w:cs="Times New Roman"/>
          <w:sz w:val="24"/>
          <w:szCs w:val="24"/>
        </w:rPr>
        <w:t xml:space="preserve">, for the applicant </w:t>
      </w:r>
    </w:p>
    <w:p w:rsidR="003509B7" w:rsidRDefault="003E40F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 Mujegu,</w:t>
      </w:r>
      <w:r>
        <w:rPr>
          <w:rFonts w:ascii="Times New Roman" w:hAnsi="Times New Roman" w:cs="Times New Roman"/>
          <w:sz w:val="24"/>
          <w:szCs w:val="24"/>
        </w:rPr>
        <w:t xml:space="preserve"> for the respondent</w:t>
      </w:r>
    </w:p>
    <w:p w:rsidR="003509B7" w:rsidRDefault="003509B7">
      <w:pPr>
        <w:jc w:val="both"/>
        <w:rPr>
          <w:rFonts w:ascii="Times New Roman" w:hAnsi="Times New Roman" w:cs="Times New Roman"/>
          <w:sz w:val="24"/>
          <w:szCs w:val="24"/>
        </w:rPr>
      </w:pPr>
    </w:p>
    <w:p w:rsidR="003509B7" w:rsidRDefault="003E40F8">
      <w:pPr>
        <w:ind w:firstLine="720"/>
        <w:jc w:val="both"/>
        <w:rPr>
          <w:rFonts w:ascii="Times New Roman" w:hAnsi="Times New Roman" w:cs="Times New Roman"/>
          <w:sz w:val="24"/>
          <w:szCs w:val="24"/>
        </w:rPr>
      </w:pPr>
      <w:r>
        <w:rPr>
          <w:rFonts w:ascii="Times New Roman" w:hAnsi="Times New Roman" w:cs="Times New Roman"/>
          <w:sz w:val="24"/>
          <w:szCs w:val="24"/>
        </w:rPr>
        <w:t xml:space="preserve">MUSHURE J: </w:t>
      </w:r>
    </w:p>
    <w:p w:rsidR="003509B7" w:rsidRDefault="003E40F8">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INTRODUCTION </w:t>
      </w:r>
    </w:p>
    <w:p w:rsidR="003509B7" w:rsidRDefault="003E40F8">
      <w:pPr>
        <w:pStyle w:val="ListParagraph"/>
        <w:numPr>
          <w:ilvl w:val="0"/>
          <w:numId w:val="1"/>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The central issue in this application is whether or not this is an appropriate case for me to exercise my discretion and grant the applicant leave to sue the respondent, his erstwhile employer. The respondent is currently subject to corporate</w:t>
      </w:r>
      <w:r>
        <w:rPr>
          <w:rFonts w:ascii="Times New Roman" w:hAnsi="Times New Roman" w:cs="Times New Roman"/>
          <w:sz w:val="24"/>
          <w:szCs w:val="24"/>
        </w:rPr>
        <w:t xml:space="preserve"> rescue proceedings filed in the Commercial Division of this Court in terms of s125 (1) (b) of the Insolvency Act [</w:t>
      </w:r>
      <w:r>
        <w:rPr>
          <w:rFonts w:ascii="Times New Roman" w:hAnsi="Times New Roman" w:cs="Times New Roman"/>
          <w:i/>
          <w:sz w:val="24"/>
          <w:szCs w:val="24"/>
        </w:rPr>
        <w:t>Chapter 6:07</w:t>
      </w:r>
      <w:r>
        <w:rPr>
          <w:rFonts w:ascii="Times New Roman" w:hAnsi="Times New Roman" w:cs="Times New Roman"/>
          <w:sz w:val="24"/>
          <w:szCs w:val="24"/>
        </w:rPr>
        <w:t xml:space="preserve">] (‘the Act’) under case number HCHC84/24. </w:t>
      </w:r>
    </w:p>
    <w:p w:rsidR="003509B7" w:rsidRDefault="003E40F8">
      <w:pPr>
        <w:pStyle w:val="ListParagraph"/>
        <w:numPr>
          <w:ilvl w:val="0"/>
          <w:numId w:val="1"/>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By dint of the corporate rescue proceedings, there exists a general moratorium </w:t>
      </w:r>
      <w:r>
        <w:rPr>
          <w:rFonts w:ascii="Times New Roman" w:hAnsi="Times New Roman" w:cs="Times New Roman"/>
          <w:bCs/>
          <w:sz w:val="24"/>
          <w:szCs w:val="24"/>
        </w:rPr>
        <w:t>on leg</w:t>
      </w:r>
      <w:r>
        <w:rPr>
          <w:rFonts w:ascii="Times New Roman" w:hAnsi="Times New Roman" w:cs="Times New Roman"/>
          <w:bCs/>
          <w:sz w:val="24"/>
          <w:szCs w:val="24"/>
        </w:rPr>
        <w:t xml:space="preserve">al proceedings against the respondent. The </w:t>
      </w:r>
      <w:r>
        <w:rPr>
          <w:rFonts w:ascii="Times New Roman" w:hAnsi="Times New Roman" w:cs="Times New Roman"/>
          <w:sz w:val="24"/>
          <w:szCs w:val="24"/>
        </w:rPr>
        <w:t xml:space="preserve">applicant cannot sue the respondent without leave of the court. In compliance with the provisions of s126 (1) (b) of the Act, the applicant is motivating this court to grant him such leave. </w:t>
      </w:r>
    </w:p>
    <w:p w:rsidR="003509B7" w:rsidRDefault="003E40F8">
      <w:pPr>
        <w:spacing w:line="360" w:lineRule="auto"/>
        <w:ind w:left="66"/>
        <w:jc w:val="both"/>
        <w:rPr>
          <w:rFonts w:ascii="Times New Roman" w:hAnsi="Times New Roman" w:cs="Times New Roman"/>
          <w:b/>
          <w:sz w:val="24"/>
          <w:szCs w:val="24"/>
          <w:u w:val="single"/>
        </w:rPr>
      </w:pPr>
      <w:r>
        <w:rPr>
          <w:rFonts w:ascii="Times New Roman" w:hAnsi="Times New Roman" w:cs="Times New Roman"/>
          <w:b/>
          <w:sz w:val="24"/>
          <w:szCs w:val="24"/>
          <w:u w:val="single"/>
        </w:rPr>
        <w:t>BACKGROUND</w:t>
      </w:r>
    </w:p>
    <w:p w:rsidR="003509B7" w:rsidRDefault="003E40F8">
      <w:pPr>
        <w:pStyle w:val="ListParagraph"/>
        <w:numPr>
          <w:ilvl w:val="0"/>
          <w:numId w:val="1"/>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The factual</w:t>
      </w:r>
      <w:r>
        <w:rPr>
          <w:rFonts w:ascii="Times New Roman" w:hAnsi="Times New Roman" w:cs="Times New Roman"/>
          <w:sz w:val="24"/>
          <w:szCs w:val="24"/>
        </w:rPr>
        <w:t xml:space="preserve"> conspectus giving rise to this application is not in material dispute. It is that the applicant was engaged as the respondent’s Underground Manager Paterson Grade G4 between May and June 2018. On 1 March 2019, he was appointed as the respondent’s Statutor</w:t>
      </w:r>
      <w:r>
        <w:rPr>
          <w:rFonts w:ascii="Times New Roman" w:hAnsi="Times New Roman" w:cs="Times New Roman"/>
          <w:sz w:val="24"/>
          <w:szCs w:val="24"/>
        </w:rPr>
        <w:t>y Manager and acting Operations Mining Manager. The employment relationship was seemingly marred by irreconcilable differences to the point that on 24 November 2023, the applicant applied to a Principal Labour Officer with the Ministry of Public Service, L</w:t>
      </w:r>
      <w:r>
        <w:rPr>
          <w:rFonts w:ascii="Times New Roman" w:hAnsi="Times New Roman" w:cs="Times New Roman"/>
          <w:sz w:val="24"/>
          <w:szCs w:val="24"/>
        </w:rPr>
        <w:t xml:space="preserve">abour and Social Services for conciliation. In his application, the applicant laid </w:t>
      </w:r>
      <w:r>
        <w:rPr>
          <w:rFonts w:ascii="Times New Roman" w:hAnsi="Times New Roman" w:cs="Times New Roman"/>
          <w:sz w:val="24"/>
          <w:szCs w:val="24"/>
        </w:rPr>
        <w:lastRenderedPageBreak/>
        <w:t xml:space="preserve">allegations of non-payment of salaries and benefits, as well as unfair labour practices, harassment and violence against the respondent. </w:t>
      </w:r>
    </w:p>
    <w:p w:rsidR="003509B7" w:rsidRDefault="003E40F8">
      <w:pPr>
        <w:pStyle w:val="ListParagraph"/>
        <w:numPr>
          <w:ilvl w:val="0"/>
          <w:numId w:val="1"/>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From the papers filed of record, ne</w:t>
      </w:r>
      <w:r>
        <w:rPr>
          <w:rFonts w:ascii="Times New Roman" w:hAnsi="Times New Roman" w:cs="Times New Roman"/>
          <w:sz w:val="24"/>
          <w:szCs w:val="24"/>
        </w:rPr>
        <w:t>gotiations for a settlement ensued and the parties agreed to mutually terminate the employment contract. To give effect to the mutual termination, a memorandum of agreement was prepared wherein the applicant was awarded two-hundred and twenty-thousand Unit</w:t>
      </w:r>
      <w:r>
        <w:rPr>
          <w:rFonts w:ascii="Times New Roman" w:hAnsi="Times New Roman" w:cs="Times New Roman"/>
          <w:sz w:val="24"/>
          <w:szCs w:val="24"/>
        </w:rPr>
        <w:t>ed States dollars (US$220 000,00) in full and final settlement of the applicant’s claims against the respondent. The award would be paid in three instalments by 31 March 2024 for the first instalment, by 30 April 2024 for the second instalment and by 30 Ma</w:t>
      </w:r>
      <w:r>
        <w:rPr>
          <w:rFonts w:ascii="Times New Roman" w:hAnsi="Times New Roman" w:cs="Times New Roman"/>
          <w:sz w:val="24"/>
          <w:szCs w:val="24"/>
        </w:rPr>
        <w:t xml:space="preserve">y 2024 for the last instalment. </w:t>
      </w:r>
    </w:p>
    <w:p w:rsidR="003509B7" w:rsidRDefault="003E40F8">
      <w:pPr>
        <w:pStyle w:val="ListParagraph"/>
        <w:numPr>
          <w:ilvl w:val="0"/>
          <w:numId w:val="1"/>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The applicant proceeded to sign this agreement. A copy of the agreement was then delivered to the respondent on 21</w:t>
      </w:r>
      <w:r>
        <w:rPr>
          <w:rFonts w:ascii="Times New Roman" w:hAnsi="Times New Roman" w:cs="Times New Roman"/>
          <w:sz w:val="24"/>
          <w:szCs w:val="24"/>
          <w:vertAlign w:val="superscript"/>
        </w:rPr>
        <w:t xml:space="preserve"> </w:t>
      </w:r>
      <w:r>
        <w:rPr>
          <w:rFonts w:ascii="Times New Roman" w:hAnsi="Times New Roman" w:cs="Times New Roman"/>
          <w:sz w:val="24"/>
          <w:szCs w:val="24"/>
        </w:rPr>
        <w:t>March 2024 for the respondent’s signature. It is common cause that the respondent did not sign the agreement</w:t>
      </w:r>
      <w:r>
        <w:rPr>
          <w:rFonts w:ascii="Times New Roman" w:hAnsi="Times New Roman" w:cs="Times New Roman"/>
          <w:sz w:val="24"/>
          <w:szCs w:val="24"/>
        </w:rPr>
        <w:t xml:space="preserve">. </w:t>
      </w:r>
    </w:p>
    <w:p w:rsidR="003509B7" w:rsidRDefault="003E40F8">
      <w:pPr>
        <w:pStyle w:val="ListParagraph"/>
        <w:numPr>
          <w:ilvl w:val="0"/>
          <w:numId w:val="1"/>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It would seem that at the time the parties were negotiating the memorandum of agreement, the conciliation proceedings were set to be heard on 27 March 2024. On the eve of the hearing, the respondent wrote a letter advising the labour officer of the </w:t>
      </w:r>
      <w:r>
        <w:rPr>
          <w:rFonts w:ascii="Times New Roman" w:hAnsi="Times New Roman" w:cs="Times New Roman"/>
          <w:sz w:val="24"/>
          <w:szCs w:val="24"/>
        </w:rPr>
        <w:t>corporate rescue proceedings and the consequent legal requirements in light of the provisions of s125 (1) (b) and s126 of the Act.</w:t>
      </w:r>
    </w:p>
    <w:p w:rsidR="003509B7" w:rsidRDefault="003E40F8">
      <w:pPr>
        <w:pStyle w:val="ListParagraph"/>
        <w:numPr>
          <w:ilvl w:val="0"/>
          <w:numId w:val="1"/>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What became of that process has not been revealed before this court but going by the record, the applicant started demanding </w:t>
      </w:r>
      <w:r>
        <w:rPr>
          <w:rFonts w:ascii="Times New Roman" w:hAnsi="Times New Roman" w:cs="Times New Roman"/>
          <w:sz w:val="24"/>
          <w:szCs w:val="24"/>
        </w:rPr>
        <w:t>that the respondent honours its side of the bargain. On 22 April 2024, the respondent requested a revision of the instalment due dates so that the first payment would be paid by 30 May 2024, and the subsequent payments every month thereafter. In making thi</w:t>
      </w:r>
      <w:r>
        <w:rPr>
          <w:rFonts w:ascii="Times New Roman" w:hAnsi="Times New Roman" w:cs="Times New Roman"/>
          <w:sz w:val="24"/>
          <w:szCs w:val="24"/>
        </w:rPr>
        <w:t>s request, the respondent reasoned that its mining operations had been seriously disrupted by illegal miners who invaded its mining location in February and March 2024. The respondent also indicated that this invasion had affected its capacity to fulfil th</w:t>
      </w:r>
      <w:r>
        <w:rPr>
          <w:rFonts w:ascii="Times New Roman" w:hAnsi="Times New Roman" w:cs="Times New Roman"/>
          <w:sz w:val="24"/>
          <w:szCs w:val="24"/>
        </w:rPr>
        <w:t>e payment and that it was in the process of evicting the illegal miners.</w:t>
      </w:r>
    </w:p>
    <w:p w:rsidR="003509B7" w:rsidRDefault="003E40F8">
      <w:pPr>
        <w:pStyle w:val="ListParagraph"/>
        <w:numPr>
          <w:ilvl w:val="0"/>
          <w:numId w:val="1"/>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The applicant acceded to this variation through an e-mail dated 24 April 2024. In the same e-mail, the applicant requested the respondent to effect the amendments and to send the amen</w:t>
      </w:r>
      <w:r>
        <w:rPr>
          <w:rFonts w:ascii="Times New Roman" w:hAnsi="Times New Roman" w:cs="Times New Roman"/>
          <w:sz w:val="24"/>
          <w:szCs w:val="24"/>
        </w:rPr>
        <w:t>ded draft. This was done on 26</w:t>
      </w:r>
      <w:r>
        <w:rPr>
          <w:rFonts w:ascii="Times New Roman" w:hAnsi="Times New Roman" w:cs="Times New Roman"/>
          <w:sz w:val="24"/>
          <w:szCs w:val="24"/>
          <w:vertAlign w:val="superscript"/>
        </w:rPr>
        <w:t xml:space="preserve"> </w:t>
      </w:r>
      <w:r>
        <w:rPr>
          <w:rFonts w:ascii="Times New Roman" w:hAnsi="Times New Roman" w:cs="Times New Roman"/>
          <w:sz w:val="24"/>
          <w:szCs w:val="24"/>
        </w:rPr>
        <w:t>April 2024. In forwarding the amended agreement, the respondent undertook to forward a signed copy of that agreement. It did not. The contents of the revised agreement have not been placed before this court, neither has the a</w:t>
      </w:r>
      <w:r>
        <w:rPr>
          <w:rFonts w:ascii="Times New Roman" w:hAnsi="Times New Roman" w:cs="Times New Roman"/>
          <w:sz w:val="24"/>
          <w:szCs w:val="24"/>
        </w:rPr>
        <w:t>pplicant indicated what became of it after receiving it. However, what is clear is that the applicant has petitioned this court to grant him leave on the basis of the original agreement.</w:t>
      </w:r>
    </w:p>
    <w:p w:rsidR="003509B7" w:rsidRDefault="003E40F8">
      <w:pPr>
        <w:pStyle w:val="ListParagraph"/>
        <w:numPr>
          <w:ilvl w:val="0"/>
          <w:numId w:val="1"/>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Should leave be granted, the applicant intends to file an application for a </w:t>
      </w:r>
      <w:r>
        <w:rPr>
          <w:rFonts w:ascii="Times New Roman" w:hAnsi="Times New Roman" w:cs="Times New Roman"/>
          <w:i/>
          <w:iCs/>
          <w:sz w:val="24"/>
          <w:szCs w:val="24"/>
        </w:rPr>
        <w:t>declaratur</w:t>
      </w:r>
      <w:r>
        <w:rPr>
          <w:rFonts w:ascii="Times New Roman" w:hAnsi="Times New Roman" w:cs="Times New Roman"/>
          <w:sz w:val="24"/>
          <w:szCs w:val="24"/>
        </w:rPr>
        <w:t xml:space="preserve"> that the agreement signed by the applicant on 20 March 2024 is binding and enforceable at law and that the respondent be ordered to pay the applicant the arrear benefits</w:t>
      </w:r>
      <w:r>
        <w:rPr>
          <w:rFonts w:ascii="Times New Roman" w:hAnsi="Times New Roman" w:cs="Times New Roman"/>
          <w:sz w:val="24"/>
          <w:szCs w:val="24"/>
        </w:rPr>
        <w:t xml:space="preserve">. Further, the applicant seeks for this court to order that the respondent has breached the provisions of the agreement dated 20 March 2024 so the amount is deemed due and payable forthwith. The applicant also seeks that the court orders the respondent to </w:t>
      </w:r>
      <w:r>
        <w:rPr>
          <w:rFonts w:ascii="Times New Roman" w:hAnsi="Times New Roman" w:cs="Times New Roman"/>
          <w:sz w:val="24"/>
          <w:szCs w:val="24"/>
        </w:rPr>
        <w:t xml:space="preserve">pay costs on a legal practitioner and client scale. </w:t>
      </w:r>
    </w:p>
    <w:p w:rsidR="003509B7" w:rsidRDefault="003E40F8">
      <w:pPr>
        <w:pStyle w:val="ListParagraph"/>
        <w:numPr>
          <w:ilvl w:val="0"/>
          <w:numId w:val="1"/>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The respondent has opposed the application. It argues, in </w:t>
      </w:r>
      <w:r>
        <w:rPr>
          <w:rFonts w:ascii="Times New Roman" w:hAnsi="Times New Roman" w:cs="Times New Roman"/>
          <w:i/>
          <w:sz w:val="24"/>
          <w:szCs w:val="24"/>
        </w:rPr>
        <w:t>limine</w:t>
      </w:r>
      <w:r>
        <w:rPr>
          <w:rFonts w:ascii="Times New Roman" w:hAnsi="Times New Roman" w:cs="Times New Roman"/>
          <w:sz w:val="24"/>
          <w:szCs w:val="24"/>
        </w:rPr>
        <w:t>, that the application is fatally defective because the applicant has filed a chamber application instead of a court application. The respo</w:t>
      </w:r>
      <w:r>
        <w:rPr>
          <w:rFonts w:ascii="Times New Roman" w:hAnsi="Times New Roman" w:cs="Times New Roman"/>
          <w:sz w:val="24"/>
          <w:szCs w:val="24"/>
        </w:rPr>
        <w:t>ndent also argues that the application is premature because corporate rescue proceedings are meant to benefit all creditors and afford a distressed company an opportunity to resuscitate its business. Thirdly, the respondent argues that the applicant’s clai</w:t>
      </w:r>
      <w:r>
        <w:rPr>
          <w:rFonts w:ascii="Times New Roman" w:hAnsi="Times New Roman" w:cs="Times New Roman"/>
          <w:sz w:val="24"/>
          <w:szCs w:val="24"/>
        </w:rPr>
        <w:t xml:space="preserve">m arises from an employment relationship and payment of terminal benefits which is conveniently disguised as a </w:t>
      </w:r>
      <w:r>
        <w:rPr>
          <w:rFonts w:ascii="Times New Roman" w:hAnsi="Times New Roman" w:cs="Times New Roman"/>
          <w:i/>
          <w:iCs/>
          <w:sz w:val="24"/>
          <w:szCs w:val="24"/>
        </w:rPr>
        <w:t>declaratur</w:t>
      </w:r>
      <w:r>
        <w:rPr>
          <w:rFonts w:ascii="Times New Roman" w:hAnsi="Times New Roman" w:cs="Times New Roman"/>
          <w:sz w:val="24"/>
          <w:szCs w:val="24"/>
        </w:rPr>
        <w:t xml:space="preserve">. It argues that this court does not have jurisdiction to deal with labour matters. </w:t>
      </w:r>
    </w:p>
    <w:p w:rsidR="003509B7" w:rsidRDefault="003E40F8">
      <w:pPr>
        <w:pStyle w:val="ListParagraph"/>
        <w:numPr>
          <w:ilvl w:val="0"/>
          <w:numId w:val="1"/>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On the merits, the respondent admits that the part</w:t>
      </w:r>
      <w:r>
        <w:rPr>
          <w:rFonts w:ascii="Times New Roman" w:hAnsi="Times New Roman" w:cs="Times New Roman"/>
          <w:sz w:val="24"/>
          <w:szCs w:val="24"/>
        </w:rPr>
        <w:t>ies agreed on the applicant’s termination of employment and payment of US$220 000 as benefits. The respondent states that its mine has been invaded by illegal miners and it is in the process of following due process to have them evicted. This, the responde</w:t>
      </w:r>
      <w:r>
        <w:rPr>
          <w:rFonts w:ascii="Times New Roman" w:hAnsi="Times New Roman" w:cs="Times New Roman"/>
          <w:sz w:val="24"/>
          <w:szCs w:val="24"/>
        </w:rPr>
        <w:t>nt states, further, has hampered production at the mine and this is the sole reason why the applicant has not paid the award. The respondent submits that once it resumes production at the mine, it will have the capacity to pay the sums due to the applicant</w:t>
      </w:r>
      <w:r>
        <w:rPr>
          <w:rFonts w:ascii="Times New Roman" w:hAnsi="Times New Roman" w:cs="Times New Roman"/>
          <w:sz w:val="24"/>
          <w:szCs w:val="24"/>
        </w:rPr>
        <w:t xml:space="preserve">. </w:t>
      </w:r>
    </w:p>
    <w:p w:rsidR="003509B7" w:rsidRDefault="003E40F8">
      <w:pPr>
        <w:pStyle w:val="ListParagraph"/>
        <w:numPr>
          <w:ilvl w:val="0"/>
          <w:numId w:val="1"/>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In the same breath, the respondent argues that the applicant has not satisfied the requirements for the relief he seeks.</w:t>
      </w:r>
    </w:p>
    <w:p w:rsidR="003509B7" w:rsidRDefault="003E40F8">
      <w:pPr>
        <w:pStyle w:val="ListParagraph"/>
        <w:numPr>
          <w:ilvl w:val="0"/>
          <w:numId w:val="1"/>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For these reasons, it prays that the application be dismissed. </w:t>
      </w:r>
    </w:p>
    <w:p w:rsidR="003509B7" w:rsidRDefault="003509B7">
      <w:pPr>
        <w:pStyle w:val="ListParagraph"/>
        <w:spacing w:line="360" w:lineRule="auto"/>
        <w:ind w:left="426"/>
        <w:jc w:val="both"/>
        <w:rPr>
          <w:rFonts w:ascii="Times New Roman" w:hAnsi="Times New Roman" w:cs="Times New Roman"/>
          <w:sz w:val="24"/>
          <w:szCs w:val="24"/>
        </w:rPr>
      </w:pPr>
    </w:p>
    <w:p w:rsidR="003509B7" w:rsidRDefault="003E40F8">
      <w:pPr>
        <w:pStyle w:val="ListParagraph"/>
        <w:spacing w:line="360" w:lineRule="auto"/>
        <w:ind w:left="66"/>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ISSUES FOR DETERMINATION </w:t>
      </w:r>
    </w:p>
    <w:p w:rsidR="003509B7" w:rsidRDefault="003E40F8">
      <w:pPr>
        <w:pStyle w:val="ListParagraph"/>
        <w:numPr>
          <w:ilvl w:val="0"/>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From the submissions before this court, I</w:t>
      </w:r>
      <w:r>
        <w:rPr>
          <w:rFonts w:ascii="Times New Roman" w:hAnsi="Times New Roman" w:cs="Times New Roman"/>
          <w:sz w:val="24"/>
          <w:szCs w:val="24"/>
        </w:rPr>
        <w:t xml:space="preserve"> deduce the issues to be determined by this court to be:-</w:t>
      </w:r>
    </w:p>
    <w:p w:rsidR="003509B7" w:rsidRDefault="003E40F8">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application is fatally defective;</w:t>
      </w:r>
    </w:p>
    <w:p w:rsidR="003509B7" w:rsidRDefault="003E40F8">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application is premature;</w:t>
      </w:r>
    </w:p>
    <w:p w:rsidR="003509B7" w:rsidRDefault="003E40F8">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this court does not have jurisdiction to deal with this matter; and</w:t>
      </w:r>
    </w:p>
    <w:p w:rsidR="003509B7" w:rsidRDefault="003E40F8">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w:t>
      </w:r>
      <w:r>
        <w:rPr>
          <w:rFonts w:ascii="Times New Roman" w:hAnsi="Times New Roman" w:cs="Times New Roman"/>
          <w:sz w:val="24"/>
          <w:szCs w:val="24"/>
        </w:rPr>
        <w:t xml:space="preserve">is is an appropriate case to grant leave. </w:t>
      </w:r>
    </w:p>
    <w:p w:rsidR="003509B7" w:rsidRDefault="003E40F8">
      <w:pPr>
        <w:pStyle w:val="ListParagraph"/>
        <w:spacing w:line="36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I turn now to deal with each of these issues in turn. </w:t>
      </w:r>
    </w:p>
    <w:p w:rsidR="003509B7" w:rsidRDefault="003E40F8">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WHETHER OR NOT THE APPLICATION IS FATALLY DEFECTIVE</w:t>
      </w:r>
    </w:p>
    <w:p w:rsidR="003509B7" w:rsidRDefault="003E40F8">
      <w:pPr>
        <w:pStyle w:val="ListParagraph"/>
        <w:numPr>
          <w:ilvl w:val="0"/>
          <w:numId w:val="1"/>
        </w:numPr>
        <w:spacing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The respondent’s preliminary point in this regard is not novel. It is an issue that has been determined by this court. In </w:t>
      </w:r>
      <w:r>
        <w:rPr>
          <w:rFonts w:ascii="Times New Roman" w:hAnsi="Times New Roman" w:cs="Times New Roman"/>
          <w:i/>
          <w:sz w:val="24"/>
          <w:szCs w:val="24"/>
        </w:rPr>
        <w:t xml:space="preserve">Duatlet Investments (Pvt) Ltd &amp; Anor </w:t>
      </w:r>
      <w:r>
        <w:rPr>
          <w:rFonts w:ascii="Times New Roman" w:hAnsi="Times New Roman" w:cs="Times New Roman"/>
          <w:sz w:val="24"/>
          <w:szCs w:val="24"/>
        </w:rPr>
        <w:t>v</w:t>
      </w:r>
      <w:r>
        <w:rPr>
          <w:rFonts w:ascii="Times New Roman" w:hAnsi="Times New Roman" w:cs="Times New Roman"/>
          <w:i/>
          <w:sz w:val="24"/>
          <w:szCs w:val="24"/>
        </w:rPr>
        <w:t xml:space="preserve"> Hofisi &amp; Ors</w:t>
      </w:r>
      <w:r>
        <w:rPr>
          <w:rFonts w:ascii="Times New Roman" w:hAnsi="Times New Roman" w:cs="Times New Roman"/>
          <w:sz w:val="24"/>
          <w:szCs w:val="24"/>
        </w:rPr>
        <w:t xml:space="preserve"> HH74-22 at p.5 </w:t>
      </w:r>
      <w:r>
        <w:rPr>
          <w:rFonts w:ascii="Times New Roman" w:hAnsi="Times New Roman" w:cs="Times New Roman"/>
          <w:smallCaps/>
          <w:sz w:val="24"/>
          <w:szCs w:val="24"/>
          <w:lang w:val="en-GB"/>
        </w:rPr>
        <w:t>Deme</w:t>
      </w:r>
      <w:r>
        <w:rPr>
          <w:rFonts w:ascii="Times New Roman" w:hAnsi="Times New Roman" w:cs="Times New Roman"/>
          <w:sz w:val="24"/>
          <w:szCs w:val="24"/>
          <w:lang w:val="en-GB"/>
        </w:rPr>
        <w:t xml:space="preserve"> J</w:t>
      </w:r>
      <w:r>
        <w:rPr>
          <w:rFonts w:ascii="Times New Roman" w:hAnsi="Times New Roman" w:cs="Times New Roman"/>
          <w:sz w:val="24"/>
          <w:szCs w:val="24"/>
        </w:rPr>
        <w:t xml:space="preserve"> commented that:-</w:t>
      </w:r>
    </w:p>
    <w:p w:rsidR="003509B7" w:rsidRDefault="003E40F8">
      <w:pPr>
        <w:pStyle w:val="ListParagraph"/>
        <w:spacing w:line="240" w:lineRule="auto"/>
        <w:ind w:left="1440"/>
        <w:jc w:val="both"/>
        <w:rPr>
          <w:rFonts w:ascii="Times New Roman" w:hAnsi="Times New Roman" w:cs="Times New Roman"/>
          <w:szCs w:val="24"/>
        </w:rPr>
      </w:pPr>
      <w:r>
        <w:rPr>
          <w:rFonts w:ascii="Times New Roman" w:hAnsi="Times New Roman" w:cs="Times New Roman"/>
          <w:szCs w:val="24"/>
        </w:rPr>
        <w:t>“With respect to the issue of whether or no</w:t>
      </w:r>
      <w:r>
        <w:rPr>
          <w:rFonts w:ascii="Times New Roman" w:hAnsi="Times New Roman" w:cs="Times New Roman"/>
          <w:szCs w:val="24"/>
        </w:rPr>
        <w:t>t the present matter ought to have been brought by way of court application instead of urgent chamber application. The word “court” specified in Section 126(1) (b) of the Insolvency Act, [</w:t>
      </w:r>
      <w:r>
        <w:rPr>
          <w:rFonts w:ascii="Times New Roman" w:hAnsi="Times New Roman" w:cs="Times New Roman"/>
          <w:i/>
          <w:szCs w:val="24"/>
        </w:rPr>
        <w:t>Chapter 6:07</w:t>
      </w:r>
      <w:r>
        <w:rPr>
          <w:rFonts w:ascii="Times New Roman" w:hAnsi="Times New Roman" w:cs="Times New Roman"/>
          <w:szCs w:val="24"/>
        </w:rPr>
        <w:t>] does not necessarily suggest that the leave must be so</w:t>
      </w:r>
      <w:r>
        <w:rPr>
          <w:rFonts w:ascii="Times New Roman" w:hAnsi="Times New Roman" w:cs="Times New Roman"/>
          <w:szCs w:val="24"/>
        </w:rPr>
        <w:t>ught through court application. Court has been used in the broadest sense.”</w:t>
      </w:r>
    </w:p>
    <w:p w:rsidR="003509B7" w:rsidRDefault="003E40F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my view, on the authority of </w:t>
      </w:r>
      <w:r>
        <w:rPr>
          <w:rFonts w:ascii="Times New Roman" w:hAnsi="Times New Roman" w:cs="Times New Roman"/>
          <w:i/>
          <w:sz w:val="24"/>
          <w:szCs w:val="24"/>
        </w:rPr>
        <w:t xml:space="preserve">Duatlet Investments </w:t>
      </w:r>
      <w:r>
        <w:rPr>
          <w:rFonts w:ascii="Times New Roman" w:hAnsi="Times New Roman" w:cs="Times New Roman"/>
          <w:iCs/>
          <w:sz w:val="24"/>
          <w:szCs w:val="24"/>
        </w:rPr>
        <w:t>(</w:t>
      </w:r>
      <w:r>
        <w:rPr>
          <w:rFonts w:ascii="Times New Roman" w:hAnsi="Times New Roman" w:cs="Times New Roman"/>
          <w:i/>
          <w:sz w:val="24"/>
          <w:szCs w:val="24"/>
        </w:rPr>
        <w:t>supra</w:t>
      </w:r>
      <w:r>
        <w:rPr>
          <w:rFonts w:ascii="Times New Roman" w:hAnsi="Times New Roman" w:cs="Times New Roman"/>
          <w:iCs/>
          <w:sz w:val="24"/>
          <w:szCs w:val="24"/>
        </w:rPr>
        <w:t>)</w:t>
      </w:r>
      <w:r>
        <w:rPr>
          <w:rFonts w:ascii="Times New Roman" w:hAnsi="Times New Roman" w:cs="Times New Roman"/>
          <w:sz w:val="24"/>
          <w:szCs w:val="24"/>
        </w:rPr>
        <w:t xml:space="preserve">, the respondent’s argument is misplaced. On that basis alone, it ought to fail. </w:t>
      </w:r>
    </w:p>
    <w:p w:rsidR="003509B7" w:rsidRDefault="003E40F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But, even assuming the argument was proper, the rules of this court are clear. In terms of r58 (13) of the High Court Rules, 2021, the fact that an applicant has instituted a chamber application when he or she should have proceeded by way of a court applic</w:t>
      </w:r>
      <w:r>
        <w:rPr>
          <w:rFonts w:ascii="Times New Roman" w:hAnsi="Times New Roman" w:cs="Times New Roman"/>
          <w:sz w:val="24"/>
          <w:szCs w:val="24"/>
        </w:rPr>
        <w:t>ation is not in itself a ground for dismissing an application. The exception to this rule arises where some prejudice has been occasioned by the failure to institute the application in its proper form and such prejudice cannot be remedied by directions for</w:t>
      </w:r>
      <w:r>
        <w:rPr>
          <w:rFonts w:ascii="Times New Roman" w:hAnsi="Times New Roman" w:cs="Times New Roman"/>
          <w:sz w:val="24"/>
          <w:szCs w:val="24"/>
        </w:rPr>
        <w:t xml:space="preserve"> the service of the application on the aggrieved party with or without an appropriate order as to costs.  </w:t>
      </w:r>
    </w:p>
    <w:p w:rsidR="003509B7" w:rsidRDefault="003E40F8">
      <w:pPr>
        <w:pStyle w:val="ListParagraph"/>
        <w:numPr>
          <w:ilvl w:val="0"/>
          <w:numId w:val="1"/>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In considering the question of prejudice, I have perused the application filed by the applicant. The application informs the respondent, if it so wis</w:t>
      </w:r>
      <w:r>
        <w:rPr>
          <w:rFonts w:ascii="Times New Roman" w:hAnsi="Times New Roman" w:cs="Times New Roman"/>
          <w:sz w:val="24"/>
          <w:szCs w:val="24"/>
        </w:rPr>
        <w:t>hes, to file opposing papers in a specified manner and within a specified time limit. It also warns the respondent that if it fails to do the needful, the application would be dealt with as an unopposed application. There has been no argument that the resp</w:t>
      </w:r>
      <w:r>
        <w:rPr>
          <w:rFonts w:ascii="Times New Roman" w:hAnsi="Times New Roman" w:cs="Times New Roman"/>
          <w:sz w:val="24"/>
          <w:szCs w:val="24"/>
        </w:rPr>
        <w:t>ondent has been prejudiced in any way by the fact that the applicant has filed this application in the form of a chamber application. I believe this is because there is none, but the respondent has decided, as a matter of fashion, to raise a preliminary po</w:t>
      </w:r>
      <w:r>
        <w:rPr>
          <w:rFonts w:ascii="Times New Roman" w:hAnsi="Times New Roman" w:cs="Times New Roman"/>
          <w:sz w:val="24"/>
          <w:szCs w:val="24"/>
        </w:rPr>
        <w:t xml:space="preserve">int which is not only without merit but also not dispositive of the matter. </w:t>
      </w:r>
    </w:p>
    <w:p w:rsidR="003509B7" w:rsidRDefault="003E40F8">
      <w:pPr>
        <w:pStyle w:val="ListParagraph"/>
        <w:numPr>
          <w:ilvl w:val="0"/>
          <w:numId w:val="1"/>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In my analysis, I do not find any prejudice in the format adopted by the applicant to the extent that the respondent has been informed of its plethora of procedural rights and has</w:t>
      </w:r>
      <w:r>
        <w:rPr>
          <w:rFonts w:ascii="Times New Roman" w:hAnsi="Times New Roman" w:cs="Times New Roman"/>
          <w:sz w:val="24"/>
          <w:szCs w:val="24"/>
        </w:rPr>
        <w:t xml:space="preserve"> in fact been able to defend this matter. There is nothing to demonstrate any defect going to the root of the application so as to render it a nullity. For these reasons, I find the preliminary point unmerited and therefore dismiss it. </w:t>
      </w:r>
    </w:p>
    <w:p w:rsidR="003509B7" w:rsidRDefault="003509B7">
      <w:pPr>
        <w:pStyle w:val="ListParagraph"/>
        <w:spacing w:line="360" w:lineRule="auto"/>
        <w:ind w:left="567"/>
        <w:jc w:val="both"/>
        <w:rPr>
          <w:rFonts w:ascii="Times New Roman" w:hAnsi="Times New Roman" w:cs="Times New Roman"/>
          <w:b/>
          <w:sz w:val="24"/>
          <w:szCs w:val="24"/>
          <w:u w:val="single"/>
        </w:rPr>
      </w:pPr>
    </w:p>
    <w:p w:rsidR="003509B7" w:rsidRDefault="003E40F8">
      <w:pPr>
        <w:pStyle w:val="ListParagraph"/>
        <w:spacing w:line="360" w:lineRule="auto"/>
        <w:ind w:left="567"/>
        <w:jc w:val="both"/>
        <w:rPr>
          <w:rFonts w:ascii="Times New Roman" w:hAnsi="Times New Roman" w:cs="Times New Roman"/>
          <w:b/>
          <w:sz w:val="24"/>
          <w:szCs w:val="24"/>
          <w:u w:val="single"/>
        </w:rPr>
      </w:pPr>
      <w:r>
        <w:rPr>
          <w:rFonts w:ascii="Times New Roman" w:hAnsi="Times New Roman" w:cs="Times New Roman"/>
          <w:b/>
          <w:sz w:val="24"/>
          <w:szCs w:val="24"/>
          <w:u w:val="single"/>
        </w:rPr>
        <w:t>WHETHER OR NOT THE</w:t>
      </w:r>
      <w:r>
        <w:rPr>
          <w:rFonts w:ascii="Times New Roman" w:hAnsi="Times New Roman" w:cs="Times New Roman"/>
          <w:b/>
          <w:sz w:val="24"/>
          <w:szCs w:val="24"/>
          <w:u w:val="single"/>
        </w:rPr>
        <w:t xml:space="preserve"> APPLICATION IS PREMATURE</w:t>
      </w:r>
    </w:p>
    <w:p w:rsidR="003509B7" w:rsidRDefault="003E40F8">
      <w:pPr>
        <w:pStyle w:val="ListParagraph"/>
        <w:numPr>
          <w:ilvl w:val="0"/>
          <w:numId w:val="1"/>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An argument is made that the applicant has prematurely approached the court. A further argument is made that the appropriate course of action would have been for the applicant to prove his claim in terms of s140 (1) (a) (ii) of th</w:t>
      </w:r>
      <w:r>
        <w:rPr>
          <w:rFonts w:ascii="Times New Roman" w:hAnsi="Times New Roman" w:cs="Times New Roman"/>
          <w:sz w:val="24"/>
          <w:szCs w:val="24"/>
        </w:rPr>
        <w:t xml:space="preserve">e Act at the time a creditors meeting is held. Section 140 (1) (a) (ii) provides for the convention of the first meeting of creditors by the Master of the High Court within fifteen business days of the appointment of a corporate rescue practitioner. </w:t>
      </w:r>
    </w:p>
    <w:p w:rsidR="003509B7" w:rsidRDefault="003E40F8">
      <w:pPr>
        <w:pStyle w:val="ListParagraph"/>
        <w:numPr>
          <w:ilvl w:val="0"/>
          <w:numId w:val="1"/>
        </w:num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While</w:t>
      </w:r>
      <w:r>
        <w:rPr>
          <w:rFonts w:ascii="Times New Roman" w:hAnsi="Times New Roman" w:cs="Times New Roman"/>
          <w:sz w:val="24"/>
          <w:szCs w:val="24"/>
        </w:rPr>
        <w:t xml:space="preserve"> it may be convenient for a party to wait for a creditor’s meeting, nothing precludes the party from seeking leave to sue a company under corporate rescue. That is the whole essence of s126 of the Act. The section has been specifically enacted to allow a p</w:t>
      </w:r>
      <w:r>
        <w:rPr>
          <w:rFonts w:ascii="Times New Roman" w:hAnsi="Times New Roman" w:cs="Times New Roman"/>
          <w:sz w:val="24"/>
          <w:szCs w:val="24"/>
        </w:rPr>
        <w:t xml:space="preserve">arty, in spite of an ongoing corporate rescue process, to seek leave to sue the company undergoing corporate rescue proceedings. There can therefore be no argument that an applicant who is desirous of suing the company through the legislative window under </w:t>
      </w:r>
      <w:r>
        <w:rPr>
          <w:rFonts w:ascii="Times New Roman" w:hAnsi="Times New Roman" w:cs="Times New Roman"/>
          <w:sz w:val="24"/>
          <w:szCs w:val="24"/>
        </w:rPr>
        <w:t>s126 has prematurely approached the court. It remains for a court seized with the application to determine whether or not leave is warranted but the applicant is not barred from seeking relief in terms of the provisions of the current law in this jurisdict</w:t>
      </w:r>
      <w:r>
        <w:rPr>
          <w:rFonts w:ascii="Times New Roman" w:hAnsi="Times New Roman" w:cs="Times New Roman"/>
          <w:sz w:val="24"/>
          <w:szCs w:val="24"/>
        </w:rPr>
        <w:t xml:space="preserve">ion. I am therefore not convinced that this preliminary point has merit and proceed to dismiss it. </w:t>
      </w:r>
    </w:p>
    <w:p w:rsidR="003509B7" w:rsidRDefault="003509B7">
      <w:pPr>
        <w:pStyle w:val="ListParagraph"/>
        <w:spacing w:line="360" w:lineRule="auto"/>
        <w:ind w:left="567"/>
        <w:jc w:val="both"/>
        <w:rPr>
          <w:rFonts w:ascii="Times New Roman" w:hAnsi="Times New Roman" w:cs="Times New Roman"/>
          <w:sz w:val="24"/>
          <w:szCs w:val="24"/>
        </w:rPr>
      </w:pPr>
    </w:p>
    <w:p w:rsidR="003509B7" w:rsidRDefault="003E40F8">
      <w:pPr>
        <w:pStyle w:val="ListParagraph"/>
        <w:spacing w:line="360" w:lineRule="auto"/>
        <w:ind w:left="567"/>
        <w:jc w:val="both"/>
        <w:rPr>
          <w:rFonts w:ascii="Times New Roman" w:hAnsi="Times New Roman" w:cs="Times New Roman"/>
          <w:b/>
          <w:sz w:val="24"/>
          <w:szCs w:val="24"/>
          <w:u w:val="single"/>
        </w:rPr>
      </w:pPr>
      <w:r>
        <w:rPr>
          <w:rFonts w:ascii="Times New Roman" w:hAnsi="Times New Roman" w:cs="Times New Roman"/>
          <w:b/>
          <w:sz w:val="24"/>
          <w:szCs w:val="24"/>
          <w:u w:val="single"/>
        </w:rPr>
        <w:t>WHETHER OR NOT THIS COURT DOES NOT HAVE JURISDICTION TO DEAL WITH THIS MATTER</w:t>
      </w:r>
    </w:p>
    <w:p w:rsidR="003509B7" w:rsidRDefault="003E40F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appears to me that the respondent’s challenge on the jurisdiction of the c</w:t>
      </w:r>
      <w:r>
        <w:rPr>
          <w:rFonts w:ascii="Times New Roman" w:hAnsi="Times New Roman" w:cs="Times New Roman"/>
          <w:sz w:val="24"/>
          <w:szCs w:val="24"/>
        </w:rPr>
        <w:t>ourt is predicated on the proposed application should leave to sue be granted. In my view, by overreaching into the intended application to support its argument on jurisdiction in the present matter, the respondent is conflating issues. The matter before m</w:t>
      </w:r>
      <w:r>
        <w:rPr>
          <w:rFonts w:ascii="Times New Roman" w:hAnsi="Times New Roman" w:cs="Times New Roman"/>
          <w:sz w:val="24"/>
          <w:szCs w:val="24"/>
        </w:rPr>
        <w:t>e is an application for leave to sue. It is made in terms of the Insolvency Act. The relevant section prescribes that a person requiring leave to sue must obtain such leave from a court. The interpretation section of the Act defines a court as the High Cou</w:t>
      </w:r>
      <w:r>
        <w:rPr>
          <w:rFonts w:ascii="Times New Roman" w:hAnsi="Times New Roman" w:cs="Times New Roman"/>
          <w:sz w:val="24"/>
          <w:szCs w:val="24"/>
        </w:rPr>
        <w:t>rt of Zimbabwe and for the purposes of certain specified sections, a magistrates’ court.  There can therefore be no debate that this court is not clothed with the requisite jurisdiction to hear the current application when such jurisdiction is conferred by</w:t>
      </w:r>
      <w:r>
        <w:rPr>
          <w:rFonts w:ascii="Times New Roman" w:hAnsi="Times New Roman" w:cs="Times New Roman"/>
          <w:sz w:val="24"/>
          <w:szCs w:val="24"/>
        </w:rPr>
        <w:t xml:space="preserve"> statutory command. On this basis, this preliminary point suffers the same fate as the other two points. It stands to be dismissed for want of merit. </w:t>
      </w:r>
    </w:p>
    <w:p w:rsidR="003509B7" w:rsidRDefault="003509B7">
      <w:pPr>
        <w:pStyle w:val="ListParagraph"/>
        <w:spacing w:line="360" w:lineRule="auto"/>
        <w:jc w:val="both"/>
        <w:rPr>
          <w:rFonts w:ascii="Times New Roman" w:hAnsi="Times New Roman" w:cs="Times New Roman"/>
          <w:b/>
          <w:sz w:val="24"/>
          <w:szCs w:val="24"/>
          <w:u w:val="single"/>
        </w:rPr>
      </w:pPr>
    </w:p>
    <w:p w:rsidR="003509B7" w:rsidRDefault="003E40F8">
      <w:pPr>
        <w:pStyle w:val="ListParagraph"/>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WHETHER OR NOT THIS IS AN APPROPRIATE CASE TO GRANT LEAVE</w:t>
      </w:r>
    </w:p>
    <w:p w:rsidR="003509B7" w:rsidRDefault="003E40F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terms of the jurisprudence emerging from th</w:t>
      </w:r>
      <w:r>
        <w:rPr>
          <w:rFonts w:ascii="Times New Roman" w:hAnsi="Times New Roman" w:cs="Times New Roman"/>
          <w:sz w:val="24"/>
          <w:szCs w:val="24"/>
        </w:rPr>
        <w:t xml:space="preserve">is jurisdiction, the factors a court may take into account in determining an application for leave to sue a company under corporate rescue are not exhaustive: See </w:t>
      </w:r>
      <w:r>
        <w:rPr>
          <w:rFonts w:ascii="Times New Roman" w:hAnsi="Times New Roman" w:cs="Times New Roman"/>
          <w:i/>
          <w:sz w:val="24"/>
          <w:szCs w:val="24"/>
        </w:rPr>
        <w:t xml:space="preserve">Rio Zim (Private) Limited </w:t>
      </w:r>
      <w:r>
        <w:rPr>
          <w:rFonts w:ascii="Times New Roman" w:hAnsi="Times New Roman" w:cs="Times New Roman"/>
          <w:sz w:val="24"/>
          <w:szCs w:val="24"/>
        </w:rPr>
        <w:t>v</w:t>
      </w:r>
      <w:r>
        <w:rPr>
          <w:rFonts w:ascii="Times New Roman" w:hAnsi="Times New Roman" w:cs="Times New Roman"/>
          <w:i/>
          <w:sz w:val="24"/>
          <w:szCs w:val="24"/>
        </w:rPr>
        <w:t xml:space="preserve"> Trust Bank Corporation Limited (In Liquidation)</w:t>
      </w:r>
      <w:r>
        <w:rPr>
          <w:rFonts w:ascii="Times New Roman" w:hAnsi="Times New Roman" w:cs="Times New Roman"/>
          <w:sz w:val="24"/>
          <w:szCs w:val="24"/>
        </w:rPr>
        <w:t xml:space="preserve"> SC87-21 and </w:t>
      </w:r>
      <w:r>
        <w:rPr>
          <w:rFonts w:ascii="Times New Roman" w:hAnsi="Times New Roman" w:cs="Times New Roman"/>
          <w:i/>
          <w:sz w:val="24"/>
          <w:szCs w:val="24"/>
        </w:rPr>
        <w:t>GN Ml</w:t>
      </w:r>
      <w:r>
        <w:rPr>
          <w:rFonts w:ascii="Times New Roman" w:hAnsi="Times New Roman" w:cs="Times New Roman"/>
          <w:i/>
          <w:sz w:val="24"/>
          <w:szCs w:val="24"/>
        </w:rPr>
        <w:t xml:space="preserve">otshwa &amp; Co Legal Practitioners </w:t>
      </w:r>
      <w:r>
        <w:rPr>
          <w:rFonts w:ascii="Times New Roman" w:hAnsi="Times New Roman" w:cs="Times New Roman"/>
          <w:sz w:val="24"/>
          <w:szCs w:val="24"/>
        </w:rPr>
        <w:t>v</w:t>
      </w:r>
      <w:r>
        <w:rPr>
          <w:rFonts w:ascii="Times New Roman" w:hAnsi="Times New Roman" w:cs="Times New Roman"/>
          <w:i/>
          <w:sz w:val="24"/>
          <w:szCs w:val="24"/>
        </w:rPr>
        <w:t xml:space="preserve"> David Whitehead Textiles Ltd &amp; Ors </w:t>
      </w:r>
      <w:r>
        <w:rPr>
          <w:rFonts w:ascii="Times New Roman" w:hAnsi="Times New Roman" w:cs="Times New Roman"/>
          <w:sz w:val="24"/>
          <w:szCs w:val="24"/>
        </w:rPr>
        <w:t>2017 (1) ZLR 231 (H) at p236B-C.  However, the overriding consideration should be the need for the court to secure and balance the competing interests of all creditors, shareholders and e</w:t>
      </w:r>
      <w:r>
        <w:rPr>
          <w:rFonts w:ascii="Times New Roman" w:hAnsi="Times New Roman" w:cs="Times New Roman"/>
          <w:sz w:val="24"/>
          <w:szCs w:val="24"/>
        </w:rPr>
        <w:t xml:space="preserve">mployees of the company under corporate rescue and to promote a rescue culture which seeks to preserve viable businesses: </w:t>
      </w:r>
      <w:r>
        <w:rPr>
          <w:rFonts w:ascii="Times New Roman" w:hAnsi="Times New Roman" w:cs="Times New Roman"/>
          <w:i/>
          <w:sz w:val="24"/>
          <w:szCs w:val="24"/>
        </w:rPr>
        <w:t xml:space="preserve">Metallon Gold Zimbabwe (Private) Limited &amp; Ors </w:t>
      </w:r>
      <w:r>
        <w:rPr>
          <w:rFonts w:ascii="Times New Roman" w:hAnsi="Times New Roman" w:cs="Times New Roman"/>
          <w:sz w:val="24"/>
          <w:szCs w:val="24"/>
        </w:rPr>
        <w:t>v</w:t>
      </w:r>
      <w:r>
        <w:rPr>
          <w:rFonts w:ascii="Times New Roman" w:hAnsi="Times New Roman" w:cs="Times New Roman"/>
          <w:i/>
          <w:sz w:val="24"/>
          <w:szCs w:val="24"/>
        </w:rPr>
        <w:t xml:space="preserve"> Shatirwa Investments (Private) Limited &amp; Ors</w:t>
      </w:r>
      <w:r>
        <w:rPr>
          <w:rFonts w:ascii="Times New Roman" w:hAnsi="Times New Roman" w:cs="Times New Roman"/>
          <w:sz w:val="24"/>
          <w:szCs w:val="24"/>
        </w:rPr>
        <w:t xml:space="preserve"> SC107-21.  </w:t>
      </w:r>
    </w:p>
    <w:p w:rsidR="003509B7" w:rsidRDefault="003E40F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considering whether this </w:t>
      </w:r>
      <w:r>
        <w:rPr>
          <w:rFonts w:ascii="Times New Roman" w:hAnsi="Times New Roman" w:cs="Times New Roman"/>
          <w:sz w:val="24"/>
          <w:szCs w:val="24"/>
        </w:rPr>
        <w:t>is an appropriate case in which I should exercise my discretion and grant leave, I noted that at the time the applicant and the respondent were negotiating the applicant’s termination package, the corporate rescue proceedings had already commenced. Only on</w:t>
      </w:r>
      <w:r>
        <w:rPr>
          <w:rFonts w:ascii="Times New Roman" w:hAnsi="Times New Roman" w:cs="Times New Roman"/>
          <w:sz w:val="24"/>
          <w:szCs w:val="24"/>
        </w:rPr>
        <w:t xml:space="preserve"> the eve of the hearing of the conciliation proceedings did the respondent choose to wave the corporate rescue card. I formed the opinion that the respondent may have negotiated in bad faith, knowing fully well that it would cry corporate rescue at the thi</w:t>
      </w:r>
      <w:r>
        <w:rPr>
          <w:rFonts w:ascii="Times New Roman" w:hAnsi="Times New Roman" w:cs="Times New Roman"/>
          <w:sz w:val="24"/>
          <w:szCs w:val="24"/>
        </w:rPr>
        <w:t xml:space="preserve">rteenth hour. </w:t>
      </w:r>
    </w:p>
    <w:p w:rsidR="003509B7" w:rsidRDefault="003E40F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therefore took the view that it was necessary to refer to the record under HCHC 84-24, as I am empowered to do on the authority of the Supreme Court’s decision in </w:t>
      </w:r>
      <w:r>
        <w:rPr>
          <w:rFonts w:ascii="Times New Roman" w:hAnsi="Times New Roman" w:cs="Times New Roman"/>
          <w:i/>
          <w:sz w:val="24"/>
          <w:szCs w:val="24"/>
        </w:rPr>
        <w:t xml:space="preserve">Mhungu </w:t>
      </w:r>
      <w:r>
        <w:rPr>
          <w:rFonts w:ascii="Times New Roman" w:hAnsi="Times New Roman" w:cs="Times New Roman"/>
          <w:sz w:val="24"/>
          <w:szCs w:val="24"/>
        </w:rPr>
        <w:t>v</w:t>
      </w:r>
      <w:r>
        <w:rPr>
          <w:rFonts w:ascii="Times New Roman" w:hAnsi="Times New Roman" w:cs="Times New Roman"/>
          <w:i/>
          <w:sz w:val="24"/>
          <w:szCs w:val="24"/>
        </w:rPr>
        <w:t xml:space="preserve"> Mtindi</w:t>
      </w:r>
      <w:r>
        <w:rPr>
          <w:rFonts w:ascii="Times New Roman" w:hAnsi="Times New Roman" w:cs="Times New Roman"/>
          <w:sz w:val="24"/>
          <w:szCs w:val="24"/>
        </w:rPr>
        <w:t xml:space="preserve"> 1986 (2) ZLR 171 (SC).  I accordingly directed the responden</w:t>
      </w:r>
      <w:r>
        <w:rPr>
          <w:rFonts w:ascii="Times New Roman" w:hAnsi="Times New Roman" w:cs="Times New Roman"/>
          <w:sz w:val="24"/>
          <w:szCs w:val="24"/>
        </w:rPr>
        <w:t>t to furnish the record. Although the respondent took its time to do so, a peek into the record has helped to shed light on the corporate rescue proceedings. I note that on HCHC84-24, the application was filed on 15 February 2024. This means that the conci</w:t>
      </w:r>
      <w:r>
        <w:rPr>
          <w:rFonts w:ascii="Times New Roman" w:hAnsi="Times New Roman" w:cs="Times New Roman"/>
          <w:sz w:val="24"/>
          <w:szCs w:val="24"/>
        </w:rPr>
        <w:t>liation proceedings which were instituted in November 2023 predated the corporate rescue proceedings. The proceedings were initiated by three applicants identifying themselves as the respondent’s employees.  Their designations show that just like the appli</w:t>
      </w:r>
      <w:r>
        <w:rPr>
          <w:rFonts w:ascii="Times New Roman" w:hAnsi="Times New Roman" w:cs="Times New Roman"/>
          <w:sz w:val="24"/>
          <w:szCs w:val="24"/>
        </w:rPr>
        <w:t xml:space="preserve">cant in </w:t>
      </w:r>
      <w:r>
        <w:rPr>
          <w:rFonts w:ascii="Times New Roman" w:hAnsi="Times New Roman" w:cs="Times New Roman"/>
          <w:i/>
          <w:sz w:val="24"/>
          <w:szCs w:val="24"/>
        </w:rPr>
        <w:t>casu</w:t>
      </w:r>
      <w:r>
        <w:rPr>
          <w:rFonts w:ascii="Times New Roman" w:hAnsi="Times New Roman" w:cs="Times New Roman"/>
          <w:sz w:val="24"/>
          <w:szCs w:val="24"/>
        </w:rPr>
        <w:t xml:space="preserve">, they are at the respondent’s top management level namely Human Resources Manager, Metallurgical Manager and Chief Security Officer. </w:t>
      </w:r>
    </w:p>
    <w:p w:rsidR="003509B7" w:rsidRDefault="003E40F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record also shows that the respondent is vehemently opposed to being placed under corporate rescue. It ar</w:t>
      </w:r>
      <w:r>
        <w:rPr>
          <w:rFonts w:ascii="Times New Roman" w:hAnsi="Times New Roman" w:cs="Times New Roman"/>
          <w:sz w:val="24"/>
          <w:szCs w:val="24"/>
        </w:rPr>
        <w:t xml:space="preserve">gues, among other issues, that the applicants under HCHC84-24 who purport to be its employees are no longer its employees but former </w:t>
      </w:r>
      <w:r>
        <w:rPr>
          <w:rFonts w:ascii="Times New Roman" w:hAnsi="Times New Roman" w:cs="Times New Roman"/>
          <w:sz w:val="24"/>
          <w:szCs w:val="24"/>
        </w:rPr>
        <w:lastRenderedPageBreak/>
        <w:t>employees who have accepted terms for the mutual termination of their employment contracts.  It also argues that a previous</w:t>
      </w:r>
      <w:r>
        <w:rPr>
          <w:rFonts w:ascii="Times New Roman" w:hAnsi="Times New Roman" w:cs="Times New Roman"/>
          <w:sz w:val="24"/>
          <w:szCs w:val="24"/>
        </w:rPr>
        <w:t xml:space="preserve"> corporate rescue process left it with a trail of debts and oppressive contracts which it is battling to detangle itself from. The answering affidavits filed by the applicants in that matter confirm the negotiations for mutual separation, with the only dif</w:t>
      </w:r>
      <w:r>
        <w:rPr>
          <w:rFonts w:ascii="Times New Roman" w:hAnsi="Times New Roman" w:cs="Times New Roman"/>
          <w:sz w:val="24"/>
          <w:szCs w:val="24"/>
        </w:rPr>
        <w:t xml:space="preserve">ference being that they allege that such negotiations have yet not been concluded. </w:t>
      </w:r>
    </w:p>
    <w:p w:rsidR="003509B7" w:rsidRDefault="003E40F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considering an application of this nature, I am enjoined to investigate the intended litigation and decide on its impact.  In this regard, I observe that while the averm</w:t>
      </w:r>
      <w:r>
        <w:rPr>
          <w:rFonts w:ascii="Times New Roman" w:hAnsi="Times New Roman" w:cs="Times New Roman"/>
          <w:sz w:val="24"/>
          <w:szCs w:val="24"/>
        </w:rPr>
        <w:t>ents in the corporate rescue proceedings have not been tested, it appears to me that there is a myriad of issues negatively confronting the respondent’s day to day operations including litigation at different fora by the respondent’s top employees or forme</w:t>
      </w:r>
      <w:r>
        <w:rPr>
          <w:rFonts w:ascii="Times New Roman" w:hAnsi="Times New Roman" w:cs="Times New Roman"/>
          <w:sz w:val="24"/>
          <w:szCs w:val="24"/>
        </w:rPr>
        <w:t xml:space="preserve">r top employees.  In such a scenario and in the spirit of corporate rescue, I would be inclined to protect the respondent from a multiplicity of legal proceedings which, as observed in </w:t>
      </w:r>
      <w:r>
        <w:rPr>
          <w:rFonts w:ascii="Times New Roman" w:hAnsi="Times New Roman" w:cs="Times New Roman"/>
          <w:i/>
          <w:sz w:val="24"/>
          <w:szCs w:val="24"/>
        </w:rPr>
        <w:t xml:space="preserve">GN Mlotshwa </w:t>
      </w:r>
      <w:r>
        <w:rPr>
          <w:rFonts w:ascii="Times New Roman" w:hAnsi="Times New Roman" w:cs="Times New Roman"/>
          <w:iCs/>
          <w:sz w:val="24"/>
          <w:szCs w:val="24"/>
        </w:rPr>
        <w:t>(</w:t>
      </w:r>
      <w:r>
        <w:rPr>
          <w:rFonts w:ascii="Times New Roman" w:hAnsi="Times New Roman" w:cs="Times New Roman"/>
          <w:i/>
          <w:sz w:val="24"/>
          <w:szCs w:val="24"/>
        </w:rPr>
        <w:t>supra</w:t>
      </w:r>
      <w:r>
        <w:rPr>
          <w:rFonts w:ascii="Times New Roman" w:hAnsi="Times New Roman" w:cs="Times New Roman"/>
          <w:iCs/>
          <w:sz w:val="24"/>
          <w:szCs w:val="24"/>
        </w:rPr>
        <w:t>)</w:t>
      </w:r>
      <w:r>
        <w:rPr>
          <w:rFonts w:ascii="Times New Roman" w:hAnsi="Times New Roman" w:cs="Times New Roman"/>
          <w:sz w:val="24"/>
          <w:szCs w:val="24"/>
        </w:rPr>
        <w:t>, could be both expensive and time consuming thereby</w:t>
      </w:r>
      <w:r>
        <w:rPr>
          <w:rFonts w:ascii="Times New Roman" w:hAnsi="Times New Roman" w:cs="Times New Roman"/>
          <w:sz w:val="24"/>
          <w:szCs w:val="24"/>
        </w:rPr>
        <w:t xml:space="preserve"> potentially defeating the corporate rescue process. </w:t>
      </w:r>
    </w:p>
    <w:p w:rsidR="003509B7" w:rsidRDefault="003E40F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have already alluded to the fact that in the event that this application is successful, the substantive application would be for a </w:t>
      </w:r>
      <w:r>
        <w:rPr>
          <w:rFonts w:ascii="Times New Roman" w:hAnsi="Times New Roman" w:cs="Times New Roman"/>
          <w:i/>
          <w:iCs/>
          <w:sz w:val="24"/>
          <w:szCs w:val="24"/>
        </w:rPr>
        <w:t>declaratur</w:t>
      </w:r>
      <w:r>
        <w:rPr>
          <w:rFonts w:ascii="Times New Roman" w:hAnsi="Times New Roman" w:cs="Times New Roman"/>
          <w:sz w:val="24"/>
          <w:szCs w:val="24"/>
        </w:rPr>
        <w:t xml:space="preserve"> and consequential relief. The applicant seeks to be paid a sum of two-hundred and twenty-thousand United States dollars (US$220 000). To me, the fact that the respondent has requested to pay the amount in instalments shows that this is not a small amount </w:t>
      </w:r>
      <w:r>
        <w:rPr>
          <w:rFonts w:ascii="Times New Roman" w:hAnsi="Times New Roman" w:cs="Times New Roman"/>
          <w:sz w:val="24"/>
          <w:szCs w:val="24"/>
        </w:rPr>
        <w:t xml:space="preserve">to the respondent. In my view, one cannot underemphasise the potential of the litigation to defeat the facilitation of the respondent’s continued existence in a state of solvency, against the letter and spirit of corporate rescue proceedings.  </w:t>
      </w:r>
    </w:p>
    <w:p w:rsidR="003509B7" w:rsidRDefault="003E40F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 further i</w:t>
      </w:r>
      <w:r>
        <w:rPr>
          <w:rFonts w:ascii="Times New Roman" w:hAnsi="Times New Roman" w:cs="Times New Roman"/>
          <w:sz w:val="24"/>
          <w:szCs w:val="24"/>
        </w:rPr>
        <w:t>ssue warrants careful consideration, namely, an assessment of the prospects of success of the intended application. The applicant had a contract of employment with the respondent. The parties agreed to mutually terminate the contract of employment. A memor</w:t>
      </w:r>
      <w:r>
        <w:rPr>
          <w:rFonts w:ascii="Times New Roman" w:hAnsi="Times New Roman" w:cs="Times New Roman"/>
          <w:sz w:val="24"/>
          <w:szCs w:val="24"/>
        </w:rPr>
        <w:t>andum of agreement setting out the terms of the termination was prepared and amended but not signed by the respondent. This agreement is not disputed by the respondent. The applicant intends to petition this court to declare that the agreement is binding a</w:t>
      </w:r>
      <w:r>
        <w:rPr>
          <w:rFonts w:ascii="Times New Roman" w:hAnsi="Times New Roman" w:cs="Times New Roman"/>
          <w:sz w:val="24"/>
          <w:szCs w:val="24"/>
        </w:rPr>
        <w:t xml:space="preserve">nd enforceable at law and consequently, the respondent is obligated to pay the sum of two-hundred and twenty thousand United States dollars.  </w:t>
      </w:r>
    </w:p>
    <w:p w:rsidR="003509B7" w:rsidRDefault="003E40F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 xml:space="preserve">Nyanzara </w:t>
      </w:r>
      <w:r>
        <w:rPr>
          <w:rFonts w:ascii="Times New Roman" w:hAnsi="Times New Roman" w:cs="Times New Roman"/>
          <w:sz w:val="24"/>
          <w:szCs w:val="24"/>
        </w:rPr>
        <w:t>v</w:t>
      </w:r>
      <w:r>
        <w:rPr>
          <w:rFonts w:ascii="Times New Roman" w:hAnsi="Times New Roman" w:cs="Times New Roman"/>
          <w:i/>
          <w:sz w:val="24"/>
          <w:szCs w:val="24"/>
        </w:rPr>
        <w:t xml:space="preserve"> Mbada Diamonds (Pvt) Ltd</w:t>
      </w:r>
      <w:r>
        <w:rPr>
          <w:rFonts w:ascii="Times New Roman" w:hAnsi="Times New Roman" w:cs="Times New Roman"/>
          <w:sz w:val="24"/>
          <w:szCs w:val="24"/>
        </w:rPr>
        <w:t xml:space="preserve"> 2016 (1) ZLR 195 (H), this court had occasion to ventilate the fate of an </w:t>
      </w:r>
      <w:r>
        <w:rPr>
          <w:rFonts w:ascii="Times New Roman" w:hAnsi="Times New Roman" w:cs="Times New Roman"/>
          <w:sz w:val="24"/>
          <w:szCs w:val="24"/>
        </w:rPr>
        <w:t xml:space="preserve">application as the one in </w:t>
      </w:r>
      <w:r>
        <w:rPr>
          <w:rFonts w:ascii="Times New Roman" w:hAnsi="Times New Roman" w:cs="Times New Roman"/>
          <w:i/>
          <w:sz w:val="24"/>
          <w:szCs w:val="24"/>
        </w:rPr>
        <w:t xml:space="preserve">casu </w:t>
      </w:r>
      <w:r>
        <w:rPr>
          <w:rFonts w:ascii="Times New Roman" w:hAnsi="Times New Roman" w:cs="Times New Roman"/>
          <w:sz w:val="24"/>
          <w:szCs w:val="24"/>
        </w:rPr>
        <w:t xml:space="preserve">where there is some </w:t>
      </w:r>
      <w:r>
        <w:rPr>
          <w:rFonts w:ascii="Times New Roman" w:hAnsi="Times New Roman" w:cs="Times New Roman"/>
          <w:sz w:val="24"/>
          <w:szCs w:val="24"/>
        </w:rPr>
        <w:lastRenderedPageBreak/>
        <w:t>form of an acknowledgement of debt. The court concluded that where there is a valid acknowledgement of debt, an employee can properly sue for relief in this court on the strength of that acknowledgement of</w:t>
      </w:r>
      <w:r>
        <w:rPr>
          <w:rFonts w:ascii="Times New Roman" w:hAnsi="Times New Roman" w:cs="Times New Roman"/>
          <w:sz w:val="24"/>
          <w:szCs w:val="24"/>
        </w:rPr>
        <w:t xml:space="preserve"> debt. The court was however quick to define an acknowledgement of debt as a document which contains an unequivocal admission of liability by the debtor. </w:t>
      </w:r>
    </w:p>
    <w:p w:rsidR="003509B7" w:rsidRDefault="003E40F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court went on to observe that the amount owed by the debtor must be specified and so should the m</w:t>
      </w:r>
      <w:r>
        <w:rPr>
          <w:rFonts w:ascii="Times New Roman" w:hAnsi="Times New Roman" w:cs="Times New Roman"/>
          <w:sz w:val="24"/>
          <w:szCs w:val="24"/>
        </w:rPr>
        <w:t xml:space="preserve">anner and time of payment. The acknowledgement of debt must pass the test of a liquid document in that it must prove the debtor’s indebtedness without extraneous or outside evidence. In </w:t>
      </w:r>
      <w:r>
        <w:rPr>
          <w:rFonts w:ascii="Times New Roman" w:hAnsi="Times New Roman" w:cs="Times New Roman"/>
          <w:i/>
          <w:sz w:val="24"/>
          <w:szCs w:val="24"/>
        </w:rPr>
        <w:t>casu</w:t>
      </w:r>
      <w:r>
        <w:rPr>
          <w:rFonts w:ascii="Times New Roman" w:hAnsi="Times New Roman" w:cs="Times New Roman"/>
          <w:sz w:val="24"/>
          <w:szCs w:val="24"/>
        </w:rPr>
        <w:t>, from the trail of communication exchanged between the parties, a</w:t>
      </w:r>
      <w:r>
        <w:rPr>
          <w:rFonts w:ascii="Times New Roman" w:hAnsi="Times New Roman" w:cs="Times New Roman"/>
          <w:sz w:val="24"/>
          <w:szCs w:val="24"/>
        </w:rPr>
        <w:t xml:space="preserve">fter the original agreement, it was varied to reflect revised due dates for payment. That revised agreement is not before me. Additionally, it is common cause that the document was not even signed. </w:t>
      </w:r>
    </w:p>
    <w:p w:rsidR="003509B7" w:rsidRDefault="003E40F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mallCaps/>
          <w:sz w:val="24"/>
          <w:szCs w:val="24"/>
          <w:lang w:val="en-GB"/>
        </w:rPr>
        <w:t>Chitapi</w:t>
      </w:r>
      <w:r>
        <w:rPr>
          <w:rFonts w:ascii="Times New Roman" w:hAnsi="Times New Roman" w:cs="Times New Roman"/>
          <w:sz w:val="24"/>
          <w:szCs w:val="24"/>
          <w:lang w:val="en-GB"/>
        </w:rPr>
        <w:t xml:space="preserve"> J</w:t>
      </w:r>
      <w:r>
        <w:rPr>
          <w:rFonts w:ascii="Times New Roman" w:hAnsi="Times New Roman" w:cs="Times New Roman"/>
          <w:sz w:val="24"/>
          <w:szCs w:val="24"/>
        </w:rPr>
        <w:t xml:space="preserve"> makes pertinent observations in the </w:t>
      </w:r>
      <w:r>
        <w:rPr>
          <w:rFonts w:ascii="Times New Roman" w:hAnsi="Times New Roman" w:cs="Times New Roman"/>
          <w:i/>
          <w:sz w:val="24"/>
          <w:szCs w:val="24"/>
        </w:rPr>
        <w:t>Nyanzara</w:t>
      </w:r>
      <w:r>
        <w:rPr>
          <w:rFonts w:ascii="Times New Roman" w:hAnsi="Times New Roman" w:cs="Times New Roman"/>
          <w:sz w:val="24"/>
          <w:szCs w:val="24"/>
        </w:rPr>
        <w:t xml:space="preserve"> ca</w:t>
      </w:r>
      <w:r>
        <w:rPr>
          <w:rFonts w:ascii="Times New Roman" w:hAnsi="Times New Roman" w:cs="Times New Roman"/>
          <w:sz w:val="24"/>
          <w:szCs w:val="24"/>
        </w:rPr>
        <w:t>se (</w:t>
      </w:r>
      <w:r>
        <w:rPr>
          <w:rFonts w:ascii="Times New Roman" w:hAnsi="Times New Roman" w:cs="Times New Roman"/>
          <w:i/>
          <w:sz w:val="24"/>
          <w:szCs w:val="24"/>
        </w:rPr>
        <w:t>supra</w:t>
      </w:r>
      <w:r>
        <w:rPr>
          <w:rFonts w:ascii="Times New Roman" w:hAnsi="Times New Roman" w:cs="Times New Roman"/>
          <w:iCs/>
          <w:sz w:val="24"/>
          <w:szCs w:val="24"/>
        </w:rPr>
        <w:t>)</w:t>
      </w:r>
      <w:r>
        <w:rPr>
          <w:rFonts w:ascii="Times New Roman" w:hAnsi="Times New Roman" w:cs="Times New Roman"/>
          <w:sz w:val="24"/>
          <w:szCs w:val="24"/>
        </w:rPr>
        <w:t xml:space="preserve"> at p202 C-H which I am of the view disposes of this matter. The court, after considering the application before it, concluded that the applicant’s claim therein was essentially a claim for payment of terminal benefits arising from a terminated c</w:t>
      </w:r>
      <w:r>
        <w:rPr>
          <w:rFonts w:ascii="Times New Roman" w:hAnsi="Times New Roman" w:cs="Times New Roman"/>
          <w:sz w:val="24"/>
          <w:szCs w:val="24"/>
        </w:rPr>
        <w:t>ontract of employment. The court went on to consider the provisions of s13 of the Labour Act [</w:t>
      </w:r>
      <w:r>
        <w:rPr>
          <w:rFonts w:ascii="Times New Roman" w:hAnsi="Times New Roman" w:cs="Times New Roman"/>
          <w:i/>
          <w:sz w:val="24"/>
          <w:szCs w:val="24"/>
        </w:rPr>
        <w:t>Chapter 28:01</w:t>
      </w:r>
      <w:r>
        <w:rPr>
          <w:rFonts w:ascii="Times New Roman" w:hAnsi="Times New Roman" w:cs="Times New Roman"/>
          <w:sz w:val="24"/>
          <w:szCs w:val="24"/>
        </w:rPr>
        <w:t>] and concluded that the legislature has codified the cause of action involving failure by an employer to pay within a reasonable time post terminati</w:t>
      </w:r>
      <w:r>
        <w:rPr>
          <w:rFonts w:ascii="Times New Roman" w:hAnsi="Times New Roman" w:cs="Times New Roman"/>
          <w:sz w:val="24"/>
          <w:szCs w:val="24"/>
        </w:rPr>
        <w:t xml:space="preserve">on of employment, wages and benefits as set out in the said s13 of the Labour Act. </w:t>
      </w:r>
    </w:p>
    <w:p w:rsidR="003509B7" w:rsidRDefault="003E40F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For completeness, s13 of the Labour Act provides that:</w:t>
      </w:r>
    </w:p>
    <w:p w:rsidR="003509B7" w:rsidRDefault="003E40F8">
      <w:pPr>
        <w:pStyle w:val="ListParagraph"/>
        <w:spacing w:line="240" w:lineRule="auto"/>
        <w:ind w:left="2160"/>
        <w:jc w:val="both"/>
        <w:rPr>
          <w:rFonts w:ascii="Times New Roman" w:hAnsi="Times New Roman" w:cs="Times New Roman"/>
          <w:szCs w:val="24"/>
        </w:rPr>
      </w:pPr>
      <w:r>
        <w:rPr>
          <w:rFonts w:ascii="Times New Roman" w:hAnsi="Times New Roman" w:cs="Times New Roman"/>
          <w:bCs/>
          <w:szCs w:val="24"/>
        </w:rPr>
        <w:t>“</w:t>
      </w:r>
      <w:r>
        <w:rPr>
          <w:rFonts w:ascii="Times New Roman" w:hAnsi="Times New Roman" w:cs="Times New Roman"/>
          <w:b/>
          <w:bCs/>
          <w:szCs w:val="24"/>
        </w:rPr>
        <w:t xml:space="preserve">13 Wages and benefits upon termination of employment </w:t>
      </w:r>
    </w:p>
    <w:p w:rsidR="003509B7" w:rsidRDefault="003E40F8">
      <w:pPr>
        <w:pStyle w:val="ListParagraph"/>
        <w:spacing w:line="240" w:lineRule="auto"/>
        <w:ind w:left="2160"/>
        <w:jc w:val="both"/>
        <w:rPr>
          <w:rFonts w:ascii="Times New Roman" w:hAnsi="Times New Roman" w:cs="Times New Roman"/>
          <w:szCs w:val="24"/>
        </w:rPr>
      </w:pPr>
      <w:r>
        <w:rPr>
          <w:rFonts w:ascii="Times New Roman" w:hAnsi="Times New Roman" w:cs="Times New Roman"/>
          <w:szCs w:val="24"/>
        </w:rPr>
        <w:t>(1) Subject to this Act or any regulations made in terms of th</w:t>
      </w:r>
      <w:r>
        <w:rPr>
          <w:rFonts w:ascii="Times New Roman" w:hAnsi="Times New Roman" w:cs="Times New Roman"/>
          <w:szCs w:val="24"/>
        </w:rPr>
        <w:t xml:space="preserve">is Act, whether any person— </w:t>
      </w:r>
    </w:p>
    <w:p w:rsidR="003509B7" w:rsidRDefault="003E40F8">
      <w:pPr>
        <w:pStyle w:val="ListParagraph"/>
        <w:spacing w:line="240" w:lineRule="auto"/>
        <w:ind w:left="2160"/>
        <w:jc w:val="both"/>
        <w:rPr>
          <w:rFonts w:ascii="Times New Roman" w:hAnsi="Times New Roman" w:cs="Times New Roman"/>
          <w:szCs w:val="24"/>
        </w:rPr>
      </w:pPr>
      <w:r>
        <w:rPr>
          <w:rFonts w:ascii="Times New Roman" w:hAnsi="Times New Roman" w:cs="Times New Roman"/>
          <w:szCs w:val="24"/>
        </w:rPr>
        <w:t xml:space="preserve">(a) is dismissed from his employment or his employment is otherwise terminated; or </w:t>
      </w:r>
    </w:p>
    <w:p w:rsidR="003509B7" w:rsidRDefault="003E40F8">
      <w:pPr>
        <w:pStyle w:val="ListParagraph"/>
        <w:spacing w:line="240" w:lineRule="auto"/>
        <w:ind w:left="2160"/>
        <w:jc w:val="both"/>
        <w:rPr>
          <w:rFonts w:ascii="Times New Roman" w:hAnsi="Times New Roman" w:cs="Times New Roman"/>
          <w:szCs w:val="24"/>
        </w:rPr>
      </w:pPr>
      <w:r>
        <w:rPr>
          <w:rFonts w:ascii="Times New Roman" w:hAnsi="Times New Roman" w:cs="Times New Roman"/>
          <w:szCs w:val="24"/>
        </w:rPr>
        <w:t xml:space="preserve">(b) resigns from his employment; or </w:t>
      </w:r>
    </w:p>
    <w:p w:rsidR="003509B7" w:rsidRDefault="003E40F8">
      <w:pPr>
        <w:pStyle w:val="ListParagraph"/>
        <w:spacing w:line="240" w:lineRule="auto"/>
        <w:ind w:left="2160"/>
        <w:jc w:val="both"/>
        <w:rPr>
          <w:rFonts w:ascii="Times New Roman" w:hAnsi="Times New Roman" w:cs="Times New Roman"/>
          <w:szCs w:val="24"/>
        </w:rPr>
      </w:pPr>
      <w:r>
        <w:rPr>
          <w:rFonts w:ascii="Times New Roman" w:hAnsi="Times New Roman" w:cs="Times New Roman"/>
          <w:szCs w:val="24"/>
        </w:rPr>
        <w:t xml:space="preserve">(c) is incapacitated from performing his work; or </w:t>
      </w:r>
    </w:p>
    <w:p w:rsidR="003509B7" w:rsidRDefault="003E40F8">
      <w:pPr>
        <w:pStyle w:val="ListParagraph"/>
        <w:spacing w:line="240" w:lineRule="auto"/>
        <w:ind w:left="2160"/>
        <w:jc w:val="both"/>
        <w:rPr>
          <w:rFonts w:ascii="Times New Roman" w:hAnsi="Times New Roman" w:cs="Times New Roman"/>
          <w:szCs w:val="24"/>
        </w:rPr>
      </w:pPr>
      <w:r>
        <w:rPr>
          <w:rFonts w:ascii="Times New Roman" w:hAnsi="Times New Roman" w:cs="Times New Roman"/>
          <w:szCs w:val="24"/>
        </w:rPr>
        <w:t xml:space="preserve">(d) dies; </w:t>
      </w:r>
    </w:p>
    <w:p w:rsidR="003509B7" w:rsidRDefault="003E40F8">
      <w:pPr>
        <w:pStyle w:val="ListParagraph"/>
        <w:spacing w:line="240" w:lineRule="auto"/>
        <w:ind w:left="2160"/>
        <w:jc w:val="both"/>
        <w:rPr>
          <w:rFonts w:ascii="Times New Roman" w:hAnsi="Times New Roman" w:cs="Times New Roman"/>
          <w:szCs w:val="24"/>
        </w:rPr>
      </w:pPr>
      <w:r>
        <w:rPr>
          <w:rFonts w:ascii="Times New Roman" w:hAnsi="Times New Roman" w:cs="Times New Roman"/>
          <w:szCs w:val="24"/>
        </w:rPr>
        <w:t xml:space="preserve">he or his estate, as the case may be, shall </w:t>
      </w:r>
      <w:r>
        <w:rPr>
          <w:rFonts w:ascii="Times New Roman" w:hAnsi="Times New Roman" w:cs="Times New Roman"/>
          <w:szCs w:val="24"/>
        </w:rPr>
        <w:t>be entitled to the wages and benefits due to him up to the time of such dismissal, termination, resignation, incapacitation or death, as the case may be, including benefits with respect to any outstanding vacation and notice period, medical aid, social sec</w:t>
      </w:r>
      <w:r>
        <w:rPr>
          <w:rFonts w:ascii="Times New Roman" w:hAnsi="Times New Roman" w:cs="Times New Roman"/>
          <w:szCs w:val="24"/>
        </w:rPr>
        <w:t>urity and any pension, and the employer concerned shall pay such entitlements to such person or his estate, as the case may be, as soon as reasonably practicable after such event, and failure to do so shall constitute an unfair labour practice.”</w:t>
      </w:r>
    </w:p>
    <w:p w:rsidR="003509B7" w:rsidRDefault="003E40F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sz w:val="24"/>
          <w:szCs w:val="24"/>
        </w:rPr>
        <w:t xml:space="preserve">remarked that such a failure by an employer to pay constitutes an unfair labour practice and that such an employee’s remedy would lie in the Labour Court. The court then reasoned that:- </w:t>
      </w:r>
    </w:p>
    <w:p w:rsidR="003509B7" w:rsidRDefault="003E40F8">
      <w:pPr>
        <w:pStyle w:val="ListParagraph"/>
        <w:spacing w:line="240" w:lineRule="auto"/>
        <w:ind w:left="2160"/>
        <w:jc w:val="both"/>
        <w:rPr>
          <w:rFonts w:ascii="Times New Roman" w:hAnsi="Times New Roman" w:cs="Times New Roman"/>
          <w:szCs w:val="24"/>
        </w:rPr>
      </w:pPr>
      <w:r>
        <w:rPr>
          <w:rFonts w:ascii="Times New Roman" w:hAnsi="Times New Roman" w:cs="Times New Roman"/>
          <w:szCs w:val="24"/>
        </w:rPr>
        <w:lastRenderedPageBreak/>
        <w:t>‘In my analysis, the applicant’s claim involved the failure by his ex</w:t>
      </w:r>
      <w:r>
        <w:rPr>
          <w:rFonts w:ascii="Times New Roman" w:hAnsi="Times New Roman" w:cs="Times New Roman"/>
          <w:szCs w:val="24"/>
        </w:rPr>
        <w:t xml:space="preserve">-employer to pay the applicant wages and benefits to which he is entitled. It matters not in my view that the employer may have acknowledged itself to be indebted to the employee nor signed a document to that effect by whatever name called. </w:t>
      </w:r>
      <w:r>
        <w:rPr>
          <w:rFonts w:ascii="Times New Roman" w:hAnsi="Times New Roman" w:cs="Times New Roman"/>
          <w:i/>
          <w:szCs w:val="24"/>
        </w:rPr>
        <w:t>The fact is tha</w:t>
      </w:r>
      <w:r>
        <w:rPr>
          <w:rFonts w:ascii="Times New Roman" w:hAnsi="Times New Roman" w:cs="Times New Roman"/>
          <w:i/>
          <w:szCs w:val="24"/>
        </w:rPr>
        <w:t>t what would have been admitted to in such a document will be unpaid wages or benefits. For as long as the acknowledgment involves non-payment of wages and benefits as listed in s 13 of the Labour Act, then the wrong done to the employee is as defined in t</w:t>
      </w:r>
      <w:r>
        <w:rPr>
          <w:rFonts w:ascii="Times New Roman" w:hAnsi="Times New Roman" w:cs="Times New Roman"/>
          <w:i/>
          <w:szCs w:val="24"/>
        </w:rPr>
        <w:t>he section, i.e. an unfair labour practice. It being an unfair labour practice, it must be dealt with in terms of the Labour Act.</w:t>
      </w:r>
      <w:r>
        <w:rPr>
          <w:rFonts w:ascii="Times New Roman" w:hAnsi="Times New Roman" w:cs="Times New Roman"/>
          <w:szCs w:val="24"/>
        </w:rPr>
        <w:t xml:space="preserve"> </w:t>
      </w:r>
    </w:p>
    <w:p w:rsidR="003509B7" w:rsidRDefault="003E40F8">
      <w:pPr>
        <w:pStyle w:val="ListParagraph"/>
        <w:spacing w:line="240" w:lineRule="auto"/>
        <w:ind w:left="2160"/>
        <w:jc w:val="both"/>
        <w:rPr>
          <w:rFonts w:ascii="Times New Roman" w:hAnsi="Times New Roman" w:cs="Times New Roman"/>
          <w:szCs w:val="24"/>
        </w:rPr>
      </w:pPr>
      <w:r>
        <w:rPr>
          <w:rFonts w:ascii="Times New Roman" w:hAnsi="Times New Roman" w:cs="Times New Roman"/>
          <w:szCs w:val="24"/>
        </w:rPr>
        <w:t xml:space="preserve">Section 89(1) of the Labour Act provides for the hearing by the Labour Court of applications as set out therein and in particular for the referral of a dispute to a labour officer. Section 89(6) of the Labour Act provides that only the Labour Court should </w:t>
      </w:r>
      <w:r>
        <w:rPr>
          <w:rFonts w:ascii="Times New Roman" w:hAnsi="Times New Roman" w:cs="Times New Roman"/>
          <w:szCs w:val="24"/>
        </w:rPr>
        <w:t>act as the court of first instance in hearing and determining matters set out in s 89 (1) of the said Act. In this case, the applicant has brought an application before the High Court to remedy an unfair labour dispute. I hold that the applicant has brough</w:t>
      </w:r>
      <w:r>
        <w:rPr>
          <w:rFonts w:ascii="Times New Roman" w:hAnsi="Times New Roman" w:cs="Times New Roman"/>
          <w:szCs w:val="24"/>
        </w:rPr>
        <w:t>t his application before the wrong court and should have filed the same before the Labour Court. The High Court in my view has had its jurisdiction in respect of this matter ousted by s 89(6) of the Labour Act i.e. to bring such an application to this cour</w:t>
      </w:r>
      <w:r>
        <w:rPr>
          <w:rFonts w:ascii="Times New Roman" w:hAnsi="Times New Roman" w:cs="Times New Roman"/>
          <w:szCs w:val="24"/>
        </w:rPr>
        <w:t xml:space="preserve">t as a court of first instance. It appears to me that the Labour Court is the correct forum for an Employee to seek a remedy as a court of first instance where the Employer has breached s 13 of the Labour Act. </w:t>
      </w:r>
      <w:r>
        <w:rPr>
          <w:rFonts w:ascii="Times New Roman" w:hAnsi="Times New Roman" w:cs="Times New Roman"/>
          <w:i/>
          <w:szCs w:val="24"/>
        </w:rPr>
        <w:t>The fact that the Employer may have acknowledg</w:t>
      </w:r>
      <w:r>
        <w:rPr>
          <w:rFonts w:ascii="Times New Roman" w:hAnsi="Times New Roman" w:cs="Times New Roman"/>
          <w:i/>
          <w:szCs w:val="24"/>
        </w:rPr>
        <w:t>ed its obligations arising from its statutory obligations to an ex-employee in a separate document which may be in the form of an acknowledgment of debt does not detract from the fact that what is acknowledged to be owing are the terminal benefits.</w:t>
      </w:r>
      <w:r>
        <w:rPr>
          <w:rFonts w:ascii="Times New Roman" w:hAnsi="Times New Roman" w:cs="Times New Roman"/>
          <w:szCs w:val="24"/>
        </w:rPr>
        <w:t xml:space="preserve"> The emp</w:t>
      </w:r>
      <w:r>
        <w:rPr>
          <w:rFonts w:ascii="Times New Roman" w:hAnsi="Times New Roman" w:cs="Times New Roman"/>
          <w:szCs w:val="24"/>
        </w:rPr>
        <w:t>loyee should not go forum shopping to the High Court or Magistrates Court seeking to sue on an acknowledgment of debt which in essence will be a case for enforcement of payment of terminal benefits. The relationship of Employer/Employee can loosely be said</w:t>
      </w:r>
      <w:r>
        <w:rPr>
          <w:rFonts w:ascii="Times New Roman" w:hAnsi="Times New Roman" w:cs="Times New Roman"/>
          <w:szCs w:val="24"/>
        </w:rPr>
        <w:t xml:space="preserve"> to continue after termination of employment as envisaged in s 13(1) of the Labour Act but only for the purposes of giving effect to or enforcement of payment of terminal benefits.” at p 202 C-H [Emphasis added]</w:t>
      </w:r>
    </w:p>
    <w:p w:rsidR="003509B7" w:rsidRDefault="003E40F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 am persuaded to conclude that this case is</w:t>
      </w:r>
      <w:r>
        <w:rPr>
          <w:rFonts w:ascii="Times New Roman" w:hAnsi="Times New Roman" w:cs="Times New Roman"/>
          <w:sz w:val="24"/>
          <w:szCs w:val="24"/>
        </w:rPr>
        <w:t xml:space="preserve"> on all fours with the </w:t>
      </w:r>
      <w:r>
        <w:rPr>
          <w:rFonts w:ascii="Times New Roman" w:hAnsi="Times New Roman" w:cs="Times New Roman"/>
          <w:i/>
          <w:sz w:val="24"/>
          <w:szCs w:val="24"/>
        </w:rPr>
        <w:t>Nyanzara</w:t>
      </w:r>
      <w:r>
        <w:rPr>
          <w:rFonts w:ascii="Times New Roman" w:hAnsi="Times New Roman" w:cs="Times New Roman"/>
          <w:sz w:val="24"/>
          <w:szCs w:val="24"/>
        </w:rPr>
        <w:t xml:space="preserve"> case for the reasons that follow. Although titled a ‘</w:t>
      </w:r>
      <w:r>
        <w:rPr>
          <w:rFonts w:ascii="Times New Roman" w:hAnsi="Times New Roman" w:cs="Times New Roman"/>
          <w:i/>
          <w:iCs/>
          <w:sz w:val="24"/>
          <w:szCs w:val="24"/>
        </w:rPr>
        <w:t>declaratur</w:t>
      </w:r>
      <w:r>
        <w:rPr>
          <w:rFonts w:ascii="Times New Roman" w:hAnsi="Times New Roman" w:cs="Times New Roman"/>
          <w:sz w:val="24"/>
          <w:szCs w:val="24"/>
        </w:rPr>
        <w:t>’, it presents clearly to me that the applicant’s claim is, in reality, for unpaid salaries and benefits which the respondent has failed to pay per the mutual em</w:t>
      </w:r>
      <w:r>
        <w:rPr>
          <w:rFonts w:ascii="Times New Roman" w:hAnsi="Times New Roman" w:cs="Times New Roman"/>
          <w:sz w:val="24"/>
          <w:szCs w:val="24"/>
        </w:rPr>
        <w:t xml:space="preserve">ployment termination agreement between the parties. Accepting as I must that as already settled in </w:t>
      </w:r>
      <w:r>
        <w:rPr>
          <w:rFonts w:ascii="Times New Roman" w:hAnsi="Times New Roman" w:cs="Times New Roman"/>
          <w:i/>
          <w:sz w:val="24"/>
          <w:szCs w:val="24"/>
        </w:rPr>
        <w:t xml:space="preserve">Nyanzara </w:t>
      </w:r>
      <w:r>
        <w:rPr>
          <w:rFonts w:ascii="Times New Roman" w:hAnsi="Times New Roman" w:cs="Times New Roman"/>
          <w:iCs/>
          <w:sz w:val="24"/>
          <w:szCs w:val="24"/>
        </w:rPr>
        <w:t>(</w:t>
      </w:r>
      <w:r>
        <w:rPr>
          <w:rFonts w:ascii="Times New Roman" w:hAnsi="Times New Roman" w:cs="Times New Roman"/>
          <w:i/>
          <w:sz w:val="24"/>
          <w:szCs w:val="24"/>
        </w:rPr>
        <w:t>supra</w:t>
      </w:r>
      <w:r>
        <w:rPr>
          <w:rFonts w:ascii="Times New Roman" w:hAnsi="Times New Roman" w:cs="Times New Roman"/>
          <w:iCs/>
          <w:sz w:val="24"/>
          <w:szCs w:val="24"/>
        </w:rPr>
        <w:t>)</w:t>
      </w:r>
      <w:r>
        <w:rPr>
          <w:rFonts w:ascii="Times New Roman" w:hAnsi="Times New Roman" w:cs="Times New Roman"/>
          <w:sz w:val="24"/>
          <w:szCs w:val="24"/>
        </w:rPr>
        <w:t>, to the extent that the acknowledgment involves non-payment of salaries and benefits within the ambit of s13 of the Labour Act, then the non</w:t>
      </w:r>
      <w:r>
        <w:rPr>
          <w:rFonts w:ascii="Times New Roman" w:hAnsi="Times New Roman" w:cs="Times New Roman"/>
          <w:sz w:val="24"/>
          <w:szCs w:val="24"/>
        </w:rPr>
        <w:t xml:space="preserve">-payment of same is an unfair labour practice which must be dealt with in terms of the Labour Act. </w:t>
      </w:r>
    </w:p>
    <w:p w:rsidR="003509B7" w:rsidRDefault="003E40F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am fortified in my view by the remarks of </w:t>
      </w:r>
      <w:r>
        <w:rPr>
          <w:rFonts w:ascii="Times New Roman" w:hAnsi="Times New Roman" w:cs="Times New Roman"/>
          <w:smallCaps/>
          <w:sz w:val="24"/>
          <w:szCs w:val="24"/>
          <w:lang w:val="en-GB"/>
        </w:rPr>
        <w:t>Garwe</w:t>
      </w:r>
      <w:r>
        <w:rPr>
          <w:rFonts w:ascii="Times New Roman" w:hAnsi="Times New Roman" w:cs="Times New Roman"/>
          <w:sz w:val="24"/>
          <w:szCs w:val="24"/>
          <w:lang w:val="en-GB"/>
        </w:rPr>
        <w:t xml:space="preserve"> J</w:t>
      </w:r>
      <w:r>
        <w:rPr>
          <w:rFonts w:ascii="Times New Roman" w:hAnsi="Times New Roman" w:cs="Times New Roman"/>
          <w:sz w:val="24"/>
          <w:szCs w:val="24"/>
        </w:rPr>
        <w:t xml:space="preserve">A (as he then was) in </w:t>
      </w:r>
      <w:r>
        <w:rPr>
          <w:rFonts w:ascii="Times New Roman" w:hAnsi="Times New Roman" w:cs="Times New Roman"/>
          <w:i/>
          <w:sz w:val="24"/>
          <w:szCs w:val="24"/>
        </w:rPr>
        <w:t xml:space="preserve">Nhari </w:t>
      </w:r>
      <w:r>
        <w:rPr>
          <w:rFonts w:ascii="Times New Roman" w:hAnsi="Times New Roman" w:cs="Times New Roman"/>
          <w:sz w:val="24"/>
          <w:szCs w:val="24"/>
        </w:rPr>
        <w:t>v</w:t>
      </w:r>
      <w:r>
        <w:rPr>
          <w:rFonts w:ascii="Times New Roman" w:hAnsi="Times New Roman" w:cs="Times New Roman"/>
          <w:i/>
          <w:sz w:val="24"/>
          <w:szCs w:val="24"/>
        </w:rPr>
        <w:t xml:space="preserve"> Mugabe &amp; Ors</w:t>
      </w:r>
      <w:r>
        <w:rPr>
          <w:rFonts w:ascii="Times New Roman" w:hAnsi="Times New Roman" w:cs="Times New Roman"/>
          <w:sz w:val="24"/>
          <w:szCs w:val="24"/>
        </w:rPr>
        <w:t xml:space="preserve"> 2020 (2) ZLR 1062 (S) to the effect that </w:t>
      </w:r>
    </w:p>
    <w:p w:rsidR="003509B7" w:rsidRDefault="003E40F8">
      <w:pPr>
        <w:spacing w:after="0" w:line="240" w:lineRule="auto"/>
        <w:ind w:left="1440"/>
        <w:jc w:val="both"/>
        <w:rPr>
          <w:rFonts w:ascii="Times New Roman" w:hAnsi="Times New Roman" w:cs="Times New Roman"/>
          <w:i/>
          <w:szCs w:val="24"/>
        </w:rPr>
      </w:pPr>
      <w:r>
        <w:rPr>
          <w:rFonts w:ascii="Times New Roman" w:hAnsi="Times New Roman" w:cs="Times New Roman"/>
          <w:szCs w:val="24"/>
        </w:rPr>
        <w:t xml:space="preserve">“[41]  </w:t>
      </w:r>
      <w:r>
        <w:rPr>
          <w:rFonts w:ascii="Times New Roman" w:hAnsi="Times New Roman" w:cs="Times New Roman"/>
          <w:szCs w:val="24"/>
        </w:rPr>
        <w:tab/>
        <w:t>Section 13 o</w:t>
      </w:r>
      <w:r>
        <w:rPr>
          <w:rFonts w:ascii="Times New Roman" w:hAnsi="Times New Roman" w:cs="Times New Roman"/>
          <w:szCs w:val="24"/>
        </w:rPr>
        <w:t xml:space="preserve">f the Labour Act makes it clear that whenever any person’s employment is terminated, such person shall be entitled to the wages and benefits due to him up to the time of such termination, including benefits with respect to outstanding </w:t>
      </w:r>
      <w:r>
        <w:rPr>
          <w:rFonts w:ascii="Times New Roman" w:hAnsi="Times New Roman" w:cs="Times New Roman"/>
          <w:szCs w:val="24"/>
        </w:rPr>
        <w:lastRenderedPageBreak/>
        <w:t>vacation and notice p</w:t>
      </w:r>
      <w:r>
        <w:rPr>
          <w:rFonts w:ascii="Times New Roman" w:hAnsi="Times New Roman" w:cs="Times New Roman"/>
          <w:szCs w:val="24"/>
        </w:rPr>
        <w:t>eriod.  An employer shall pay such benefits as soon as is reasonably practical and failure to do so shall constitute an unfair labour practice</w:t>
      </w:r>
      <w:r>
        <w:rPr>
          <w:rFonts w:ascii="Times New Roman" w:hAnsi="Times New Roman" w:cs="Times New Roman"/>
          <w:i/>
          <w:szCs w:val="24"/>
        </w:rPr>
        <w:t>.</w:t>
      </w:r>
    </w:p>
    <w:p w:rsidR="003509B7" w:rsidRDefault="003509B7">
      <w:pPr>
        <w:spacing w:after="0" w:line="240" w:lineRule="auto"/>
        <w:ind w:left="1440"/>
        <w:jc w:val="both"/>
        <w:rPr>
          <w:rFonts w:ascii="Times New Roman" w:hAnsi="Times New Roman" w:cs="Times New Roman"/>
          <w:szCs w:val="24"/>
        </w:rPr>
      </w:pPr>
    </w:p>
    <w:p w:rsidR="003509B7" w:rsidRDefault="003E40F8">
      <w:pPr>
        <w:spacing w:after="0" w:line="240" w:lineRule="auto"/>
        <w:ind w:left="1440"/>
        <w:jc w:val="both"/>
        <w:rPr>
          <w:rFonts w:ascii="Times New Roman" w:hAnsi="Times New Roman" w:cs="Times New Roman"/>
          <w:szCs w:val="24"/>
        </w:rPr>
      </w:pPr>
      <w:r>
        <w:rPr>
          <w:rFonts w:ascii="Times New Roman" w:hAnsi="Times New Roman" w:cs="Times New Roman"/>
          <w:szCs w:val="24"/>
        </w:rPr>
        <w:t xml:space="preserve">[42]  </w:t>
      </w:r>
      <w:r>
        <w:rPr>
          <w:rFonts w:ascii="Times New Roman" w:hAnsi="Times New Roman" w:cs="Times New Roman"/>
          <w:szCs w:val="24"/>
        </w:rPr>
        <w:tab/>
        <w:t xml:space="preserve">The procedure for dealing with an unfair labour practice is to be found in s 93 of the Labour Act.  The </w:t>
      </w:r>
      <w:r>
        <w:rPr>
          <w:rFonts w:ascii="Times New Roman" w:hAnsi="Times New Roman" w:cs="Times New Roman"/>
          <w:szCs w:val="24"/>
        </w:rPr>
        <w:t>unfair labour practice is handled by a labour officer who attempts conciliation.  The officer may, by consent of the parties, refer the matter to arbitration or that failing, proceed in terms of s 93 (5) of the Labour Act.</w:t>
      </w:r>
    </w:p>
    <w:p w:rsidR="003509B7" w:rsidRDefault="003509B7">
      <w:pPr>
        <w:spacing w:after="0" w:line="240" w:lineRule="auto"/>
        <w:jc w:val="both"/>
        <w:rPr>
          <w:rFonts w:ascii="Times New Roman" w:hAnsi="Times New Roman" w:cs="Times New Roman"/>
          <w:szCs w:val="24"/>
        </w:rPr>
      </w:pPr>
    </w:p>
    <w:p w:rsidR="003509B7" w:rsidRDefault="003E40F8">
      <w:pPr>
        <w:spacing w:after="0" w:line="240" w:lineRule="auto"/>
        <w:ind w:left="1440"/>
        <w:jc w:val="both"/>
        <w:rPr>
          <w:rFonts w:ascii="Times New Roman" w:hAnsi="Times New Roman" w:cs="Times New Roman"/>
          <w:sz w:val="24"/>
          <w:szCs w:val="24"/>
        </w:rPr>
      </w:pPr>
      <w:r>
        <w:rPr>
          <w:rFonts w:ascii="Times New Roman" w:hAnsi="Times New Roman" w:cs="Times New Roman"/>
          <w:szCs w:val="24"/>
        </w:rPr>
        <w:t xml:space="preserve">[43]   </w:t>
      </w:r>
      <w:r>
        <w:rPr>
          <w:rFonts w:ascii="Times New Roman" w:hAnsi="Times New Roman" w:cs="Times New Roman"/>
          <w:szCs w:val="24"/>
        </w:rPr>
        <w:tab/>
        <w:t>The first three claims w</w:t>
      </w:r>
      <w:r>
        <w:rPr>
          <w:rFonts w:ascii="Times New Roman" w:hAnsi="Times New Roman" w:cs="Times New Roman"/>
          <w:szCs w:val="24"/>
        </w:rPr>
        <w:t xml:space="preserve">ere therefore matters that should have been handled by a labour officer in terms of s 93.  Clearly the High Court was correct in holding that it had no jurisdiction to deal with these three claims…..”  </w:t>
      </w:r>
      <w:r>
        <w:rPr>
          <w:rFonts w:ascii="Times New Roman" w:hAnsi="Times New Roman" w:cs="Times New Roman"/>
          <w:sz w:val="24"/>
          <w:szCs w:val="24"/>
        </w:rPr>
        <w:t>(at p1073 C-E)</w:t>
      </w:r>
    </w:p>
    <w:p w:rsidR="003509B7" w:rsidRDefault="003509B7">
      <w:pPr>
        <w:pStyle w:val="ListParagraph"/>
        <w:spacing w:line="360" w:lineRule="auto"/>
        <w:jc w:val="both"/>
        <w:rPr>
          <w:rFonts w:ascii="Times New Roman" w:hAnsi="Times New Roman" w:cs="Times New Roman"/>
          <w:sz w:val="24"/>
          <w:szCs w:val="24"/>
        </w:rPr>
      </w:pPr>
    </w:p>
    <w:p w:rsidR="003509B7" w:rsidRDefault="003E40F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basis of these decisions, I reach the conclusion that the scope of the actual nature of the dispute in </w:t>
      </w:r>
      <w:r>
        <w:rPr>
          <w:rFonts w:ascii="Times New Roman" w:hAnsi="Times New Roman" w:cs="Times New Roman"/>
          <w:i/>
          <w:sz w:val="24"/>
          <w:szCs w:val="24"/>
        </w:rPr>
        <w:t xml:space="preserve">casu </w:t>
      </w:r>
      <w:r>
        <w:rPr>
          <w:rFonts w:ascii="Times New Roman" w:hAnsi="Times New Roman" w:cs="Times New Roman"/>
          <w:sz w:val="24"/>
          <w:szCs w:val="24"/>
        </w:rPr>
        <w:t xml:space="preserve">has already been definitively determined by this court and the Supreme Court in </w:t>
      </w:r>
      <w:r>
        <w:rPr>
          <w:rFonts w:ascii="Times New Roman" w:hAnsi="Times New Roman" w:cs="Times New Roman"/>
          <w:i/>
          <w:sz w:val="24"/>
          <w:szCs w:val="24"/>
        </w:rPr>
        <w:t xml:space="preserve">Nyanzara </w:t>
      </w:r>
      <w:r>
        <w:rPr>
          <w:rFonts w:ascii="Times New Roman" w:hAnsi="Times New Roman" w:cs="Times New Roman"/>
          <w:sz w:val="24"/>
          <w:szCs w:val="24"/>
        </w:rPr>
        <w:t>and</w:t>
      </w:r>
      <w:r>
        <w:rPr>
          <w:rFonts w:ascii="Times New Roman" w:hAnsi="Times New Roman" w:cs="Times New Roman"/>
          <w:i/>
          <w:sz w:val="24"/>
          <w:szCs w:val="24"/>
        </w:rPr>
        <w:t xml:space="preserve"> Nhari </w:t>
      </w:r>
      <w:r>
        <w:rPr>
          <w:rFonts w:ascii="Times New Roman" w:hAnsi="Times New Roman" w:cs="Times New Roman"/>
          <w:sz w:val="24"/>
          <w:szCs w:val="24"/>
        </w:rPr>
        <w:t>cases</w:t>
      </w:r>
      <w:r>
        <w:rPr>
          <w:rFonts w:ascii="Times New Roman" w:hAnsi="Times New Roman" w:cs="Times New Roman"/>
          <w:i/>
          <w:sz w:val="24"/>
          <w:szCs w:val="24"/>
        </w:rPr>
        <w:t xml:space="preserve"> </w:t>
      </w:r>
      <w:r>
        <w:rPr>
          <w:rFonts w:ascii="Times New Roman" w:hAnsi="Times New Roman" w:cs="Times New Roman"/>
          <w:iCs/>
          <w:sz w:val="24"/>
          <w:szCs w:val="24"/>
        </w:rPr>
        <w:t>(</w:t>
      </w:r>
      <w:r>
        <w:rPr>
          <w:rFonts w:ascii="Times New Roman" w:hAnsi="Times New Roman" w:cs="Times New Roman"/>
          <w:i/>
          <w:sz w:val="24"/>
          <w:szCs w:val="24"/>
        </w:rPr>
        <w:t>supra</w:t>
      </w:r>
      <w:r>
        <w:rPr>
          <w:rFonts w:ascii="Times New Roman" w:hAnsi="Times New Roman" w:cs="Times New Roman"/>
          <w:iCs/>
          <w:sz w:val="24"/>
          <w:szCs w:val="24"/>
        </w:rPr>
        <w:t>)</w:t>
      </w:r>
      <w:r>
        <w:rPr>
          <w:rFonts w:ascii="Times New Roman" w:hAnsi="Times New Roman" w:cs="Times New Roman"/>
          <w:sz w:val="24"/>
          <w:szCs w:val="24"/>
        </w:rPr>
        <w:t>.  In light of this conclusio</w:t>
      </w:r>
      <w:r>
        <w:rPr>
          <w:rFonts w:ascii="Times New Roman" w:hAnsi="Times New Roman" w:cs="Times New Roman"/>
          <w:sz w:val="24"/>
          <w:szCs w:val="24"/>
        </w:rPr>
        <w:t>n, I am of the view that there is no benefit to be derived from granting leave in circumstances where the prospects of success in the main application are seemingly dim for want of jurisdiction. There is no use in clogging the High Court roll with a matter</w:t>
      </w:r>
      <w:r>
        <w:rPr>
          <w:rFonts w:ascii="Times New Roman" w:hAnsi="Times New Roman" w:cs="Times New Roman"/>
          <w:sz w:val="24"/>
          <w:szCs w:val="24"/>
        </w:rPr>
        <w:t xml:space="preserve"> which should more properly be ventilated in the Labour Court. </w:t>
      </w:r>
    </w:p>
    <w:p w:rsidR="003509B7" w:rsidRDefault="003E40F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a careful consideration of the circumstances of this case, I conclude that this would not be an appropriate matter for me to exercise my discretion and grant the applicant leave to sue. The request stands to be refused. </w:t>
      </w:r>
    </w:p>
    <w:p w:rsidR="003509B7" w:rsidRDefault="003E40F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issue of costs, it is tri</w:t>
      </w:r>
      <w:r>
        <w:rPr>
          <w:rFonts w:ascii="Times New Roman" w:hAnsi="Times New Roman" w:cs="Times New Roman"/>
          <w:sz w:val="24"/>
          <w:szCs w:val="24"/>
        </w:rPr>
        <w:t xml:space="preserve">te that costs follow the outcome. </w:t>
      </w:r>
    </w:p>
    <w:p w:rsidR="003509B7" w:rsidRDefault="003509B7">
      <w:pPr>
        <w:pStyle w:val="ListParagraph"/>
        <w:spacing w:line="360" w:lineRule="auto"/>
        <w:jc w:val="both"/>
        <w:rPr>
          <w:rFonts w:ascii="Times New Roman" w:hAnsi="Times New Roman" w:cs="Times New Roman"/>
          <w:b/>
          <w:sz w:val="24"/>
          <w:szCs w:val="24"/>
          <w:u w:val="single"/>
        </w:rPr>
      </w:pPr>
    </w:p>
    <w:p w:rsidR="003509B7" w:rsidRDefault="003E40F8">
      <w:pPr>
        <w:pStyle w:val="ListParagraph"/>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DISPOSITION</w:t>
      </w:r>
    </w:p>
    <w:p w:rsidR="003509B7" w:rsidRDefault="003E40F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3509B7" w:rsidRDefault="003E40F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preliminary points be and are hereby dismissed. </w:t>
      </w:r>
    </w:p>
    <w:p w:rsidR="003509B7" w:rsidRDefault="003E40F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for leave to sue be and is hereby dismissed with costs. </w:t>
      </w:r>
    </w:p>
    <w:p w:rsidR="003509B7" w:rsidRDefault="003509B7">
      <w:pPr>
        <w:spacing w:after="0" w:line="240" w:lineRule="auto"/>
        <w:jc w:val="both"/>
        <w:rPr>
          <w:rFonts w:ascii="Times New Roman" w:hAnsi="Times New Roman" w:cs="Times New Roman"/>
          <w:b/>
          <w:bCs/>
          <w:smallCaps/>
          <w:sz w:val="24"/>
          <w:szCs w:val="24"/>
        </w:rPr>
      </w:pPr>
    </w:p>
    <w:p w:rsidR="003509B7" w:rsidRDefault="003509B7">
      <w:pPr>
        <w:spacing w:after="0" w:line="240" w:lineRule="auto"/>
        <w:jc w:val="both"/>
        <w:rPr>
          <w:rFonts w:ascii="Times New Roman" w:hAnsi="Times New Roman" w:cs="Times New Roman"/>
          <w:b/>
          <w:bCs/>
          <w:smallCaps/>
          <w:sz w:val="24"/>
          <w:szCs w:val="24"/>
        </w:rPr>
      </w:pPr>
    </w:p>
    <w:p w:rsidR="003509B7" w:rsidRDefault="003509B7">
      <w:pPr>
        <w:spacing w:after="0" w:line="240" w:lineRule="auto"/>
        <w:jc w:val="both"/>
        <w:rPr>
          <w:rFonts w:ascii="Times New Roman" w:hAnsi="Times New Roman" w:cs="Times New Roman"/>
          <w:b/>
          <w:bCs/>
          <w:smallCaps/>
          <w:sz w:val="24"/>
          <w:szCs w:val="24"/>
        </w:rPr>
      </w:pPr>
    </w:p>
    <w:p w:rsidR="003509B7" w:rsidRDefault="003E40F8">
      <w:pPr>
        <w:spacing w:after="0" w:line="240" w:lineRule="auto"/>
        <w:jc w:val="both"/>
        <w:rPr>
          <w:rFonts w:ascii="Times New Roman" w:hAnsi="Times New Roman" w:cs="Times New Roman"/>
          <w:sz w:val="24"/>
          <w:szCs w:val="24"/>
        </w:rPr>
      </w:pPr>
      <w:r>
        <w:rPr>
          <w:rFonts w:ascii="Times New Roman" w:hAnsi="Times New Roman" w:cs="Times New Roman"/>
          <w:b/>
          <w:bCs/>
          <w:smallCaps/>
          <w:sz w:val="24"/>
          <w:szCs w:val="24"/>
        </w:rPr>
        <w:t>Mushure J</w:t>
      </w:r>
      <w:r>
        <w:rPr>
          <w:rFonts w:ascii="Times New Roman" w:hAnsi="Times New Roman" w:cs="Times New Roman"/>
          <w:sz w:val="24"/>
          <w:szCs w:val="24"/>
        </w:rPr>
        <w:t>: ........................</w:t>
      </w:r>
      <w:r>
        <w:rPr>
          <w:rFonts w:ascii="Times New Roman" w:hAnsi="Times New Roman" w:cs="Times New Roman"/>
          <w:sz w:val="24"/>
          <w:szCs w:val="24"/>
        </w:rPr>
        <w:t>..................................................</w:t>
      </w:r>
    </w:p>
    <w:p w:rsidR="003509B7" w:rsidRDefault="003509B7"/>
    <w:p w:rsidR="003509B7" w:rsidRDefault="003E40F8">
      <w:pPr>
        <w:rPr>
          <w:rFonts w:ascii="Times New Roman" w:hAnsi="Times New Roman" w:cs="Times New Roman"/>
          <w:sz w:val="24"/>
          <w:szCs w:val="24"/>
        </w:rPr>
      </w:pPr>
      <w:r>
        <w:rPr>
          <w:rFonts w:ascii="Times New Roman" w:hAnsi="Times New Roman" w:cs="Times New Roman"/>
          <w:i/>
          <w:sz w:val="24"/>
          <w:szCs w:val="24"/>
        </w:rPr>
        <w:t>Matsikidze Attorneys-At-Law</w:t>
      </w:r>
      <w:r>
        <w:rPr>
          <w:rFonts w:ascii="Times New Roman" w:hAnsi="Times New Roman" w:cs="Times New Roman"/>
          <w:sz w:val="24"/>
          <w:szCs w:val="24"/>
        </w:rPr>
        <w:t xml:space="preserve">, applicant’s legal practitioners </w:t>
      </w:r>
    </w:p>
    <w:p w:rsidR="003509B7" w:rsidRDefault="003E40F8">
      <w:pPr>
        <w:rPr>
          <w:rFonts w:ascii="Times New Roman" w:hAnsi="Times New Roman" w:cs="Times New Roman"/>
          <w:sz w:val="24"/>
          <w:szCs w:val="24"/>
        </w:rPr>
      </w:pPr>
      <w:r>
        <w:rPr>
          <w:rFonts w:ascii="Times New Roman" w:hAnsi="Times New Roman" w:cs="Times New Roman"/>
          <w:i/>
          <w:sz w:val="24"/>
          <w:szCs w:val="24"/>
        </w:rPr>
        <w:t>Scanlen &amp; Holderness</w:t>
      </w:r>
      <w:r>
        <w:rPr>
          <w:rFonts w:ascii="Times New Roman" w:hAnsi="Times New Roman" w:cs="Times New Roman"/>
          <w:sz w:val="24"/>
          <w:szCs w:val="24"/>
        </w:rPr>
        <w:t xml:space="preserve">, respondent’s legal practitioners </w:t>
      </w:r>
    </w:p>
    <w:p w:rsidR="003509B7" w:rsidRDefault="003509B7">
      <w:pPr>
        <w:spacing w:line="276" w:lineRule="auto"/>
        <w:jc w:val="both"/>
        <w:rPr>
          <w:rFonts w:ascii="Times New Roman" w:hAnsi="Times New Roman" w:cs="Times New Roman"/>
          <w:sz w:val="24"/>
          <w:szCs w:val="24"/>
          <w:lang w:val="en-US"/>
        </w:rPr>
      </w:pPr>
    </w:p>
    <w:sectPr w:rsidR="00350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0F8" w:rsidRDefault="003E40F8">
      <w:pPr>
        <w:spacing w:line="240" w:lineRule="auto"/>
      </w:pPr>
      <w:r>
        <w:separator/>
      </w:r>
    </w:p>
  </w:endnote>
  <w:endnote w:type="continuationSeparator" w:id="0">
    <w:p w:rsidR="003E40F8" w:rsidRDefault="003E40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9B7" w:rsidRDefault="003509B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9B7" w:rsidRDefault="003509B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9B7" w:rsidRDefault="003509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0F8" w:rsidRDefault="003E40F8">
      <w:pPr>
        <w:spacing w:after="0"/>
      </w:pPr>
      <w:r>
        <w:separator/>
      </w:r>
    </w:p>
  </w:footnote>
  <w:footnote w:type="continuationSeparator" w:id="0">
    <w:p w:rsidR="003E40F8" w:rsidRDefault="003E40F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9B7" w:rsidRDefault="003509B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722904"/>
    </w:sdtPr>
    <w:sdtEndPr>
      <w:rPr>
        <w:rFonts w:ascii="Times New Roman" w:hAnsi="Times New Roman" w:cs="Times New Roman"/>
      </w:rPr>
    </w:sdtEndPr>
    <w:sdtContent>
      <w:p w:rsidR="003509B7" w:rsidRDefault="003E40F8">
        <w:pPr>
          <w:pStyle w:val="Head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6A2B5A">
          <w:rPr>
            <w:rFonts w:ascii="Times New Roman" w:hAnsi="Times New Roman" w:cs="Times New Roman"/>
            <w:noProof/>
          </w:rPr>
          <w:t>2</w:t>
        </w:r>
        <w:r>
          <w:rPr>
            <w:rFonts w:ascii="Times New Roman" w:hAnsi="Times New Roman" w:cs="Times New Roman"/>
          </w:rPr>
          <w:fldChar w:fldCharType="end"/>
        </w:r>
      </w:p>
      <w:p w:rsidR="003509B7" w:rsidRDefault="003E40F8">
        <w:pPr>
          <w:pStyle w:val="Header"/>
          <w:jc w:val="right"/>
          <w:rPr>
            <w:rFonts w:ascii="Times New Roman" w:hAnsi="Times New Roman" w:cs="Times New Roman"/>
          </w:rPr>
        </w:pPr>
        <w:r>
          <w:rPr>
            <w:rFonts w:ascii="Times New Roman" w:hAnsi="Times New Roman" w:cs="Times New Roman"/>
          </w:rPr>
          <w:t>H</w:t>
        </w:r>
        <w:r>
          <w:rPr>
            <w:rFonts w:ascii="Times New Roman" w:hAnsi="Times New Roman" w:cs="Times New Roman"/>
            <w:lang w:val="en-US"/>
          </w:rPr>
          <w:t>H 349/25</w:t>
        </w:r>
      </w:p>
      <w:p w:rsidR="003509B7" w:rsidRDefault="003E40F8">
        <w:pPr>
          <w:pStyle w:val="Header"/>
          <w:jc w:val="right"/>
          <w:rPr>
            <w:rFonts w:ascii="Times New Roman" w:hAnsi="Times New Roman" w:cs="Times New Roman"/>
            <w:lang w:val="en-US"/>
          </w:rPr>
        </w:pPr>
        <w:r>
          <w:rPr>
            <w:rFonts w:ascii="Times New Roman" w:hAnsi="Times New Roman" w:cs="Times New Roman"/>
          </w:rPr>
          <w:t>H</w:t>
        </w:r>
        <w:r>
          <w:rPr>
            <w:rFonts w:ascii="Times New Roman" w:hAnsi="Times New Roman" w:cs="Times New Roman"/>
            <w:lang w:val="en-US"/>
          </w:rPr>
          <w:t>C</w:t>
        </w:r>
        <w:r>
          <w:rPr>
            <w:rFonts w:ascii="Times New Roman" w:hAnsi="Times New Roman" w:cs="Times New Roman"/>
          </w:rPr>
          <w:t>H</w:t>
        </w:r>
        <w:r>
          <w:rPr>
            <w:rFonts w:ascii="Times New Roman" w:hAnsi="Times New Roman" w:cs="Times New Roman"/>
            <w:lang w:val="en-US"/>
          </w:rPr>
          <w:t xml:space="preserve"> 3349/</w:t>
        </w:r>
        <w:r>
          <w:rPr>
            <w:rFonts w:ascii="Times New Roman" w:hAnsi="Times New Roman" w:cs="Times New Roman"/>
          </w:rPr>
          <w:t>2</w:t>
        </w:r>
        <w:r>
          <w:rPr>
            <w:rFonts w:ascii="Times New Roman" w:hAnsi="Times New Roman" w:cs="Times New Roman"/>
            <w:lang w:val="en-US"/>
          </w:rPr>
          <w:t>4</w:t>
        </w:r>
      </w:p>
    </w:sdtContent>
  </w:sdt>
  <w:p w:rsidR="003509B7" w:rsidRDefault="003509B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9B7" w:rsidRDefault="003509B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83BF0"/>
    <w:multiLevelType w:val="multilevel"/>
    <w:tmpl w:val="4DC83BF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78B80B43"/>
    <w:multiLevelType w:val="multilevel"/>
    <w:tmpl w:val="78B80B43"/>
    <w:lvl w:ilvl="0">
      <w:start w:val="1"/>
      <w:numFmt w:val="decimal"/>
      <w:lvlText w:val="[%1]"/>
      <w:lvlJc w:val="left"/>
      <w:pPr>
        <w:ind w:left="720" w:hanging="360"/>
      </w:pPr>
      <w:rPr>
        <w:rFonts w:ascii="Times New Roman" w:hAnsi="Times New Roman" w:cs="Times New Roman" w:hint="default"/>
        <w:sz w:val="24"/>
      </w:rPr>
    </w:lvl>
    <w:lvl w:ilvl="1">
      <w:start w:val="1"/>
      <w:numFmt w:val="lowerRoman"/>
      <w:lvlText w:val="%2."/>
      <w:lvlJc w:val="left"/>
      <w:pPr>
        <w:ind w:left="1440" w:hanging="360"/>
      </w:pPr>
      <w:rPr>
        <w:rFonts w:ascii="Times New Roman" w:eastAsiaTheme="minorHAns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E48"/>
    <w:rsid w:val="00040A13"/>
    <w:rsid w:val="000469A7"/>
    <w:rsid w:val="00063141"/>
    <w:rsid w:val="00084EE3"/>
    <w:rsid w:val="00085492"/>
    <w:rsid w:val="000A4F03"/>
    <w:rsid w:val="000B4897"/>
    <w:rsid w:val="000B5A42"/>
    <w:rsid w:val="000C3CBD"/>
    <w:rsid w:val="000C3E6D"/>
    <w:rsid w:val="000D4E1B"/>
    <w:rsid w:val="000D790F"/>
    <w:rsid w:val="000E76F8"/>
    <w:rsid w:val="000F3237"/>
    <w:rsid w:val="000F3FA8"/>
    <w:rsid w:val="0010191A"/>
    <w:rsid w:val="00112795"/>
    <w:rsid w:val="00117E4B"/>
    <w:rsid w:val="00142878"/>
    <w:rsid w:val="0016185B"/>
    <w:rsid w:val="0016418E"/>
    <w:rsid w:val="001723E7"/>
    <w:rsid w:val="00173420"/>
    <w:rsid w:val="00185516"/>
    <w:rsid w:val="0019506A"/>
    <w:rsid w:val="001A10AF"/>
    <w:rsid w:val="001B05EB"/>
    <w:rsid w:val="001B13D4"/>
    <w:rsid w:val="001B35F4"/>
    <w:rsid w:val="001C05CC"/>
    <w:rsid w:val="001C1C43"/>
    <w:rsid w:val="001C1C49"/>
    <w:rsid w:val="001C3900"/>
    <w:rsid w:val="001C5A71"/>
    <w:rsid w:val="001D576B"/>
    <w:rsid w:val="001F0F50"/>
    <w:rsid w:val="001F4898"/>
    <w:rsid w:val="002003C0"/>
    <w:rsid w:val="00200969"/>
    <w:rsid w:val="00205C32"/>
    <w:rsid w:val="002267F1"/>
    <w:rsid w:val="002437AB"/>
    <w:rsid w:val="00243BB0"/>
    <w:rsid w:val="0024439E"/>
    <w:rsid w:val="0026424A"/>
    <w:rsid w:val="00264A21"/>
    <w:rsid w:val="00271F0A"/>
    <w:rsid w:val="0027503D"/>
    <w:rsid w:val="00294201"/>
    <w:rsid w:val="002A5C82"/>
    <w:rsid w:val="002B187C"/>
    <w:rsid w:val="002B6561"/>
    <w:rsid w:val="002C00F2"/>
    <w:rsid w:val="002D295C"/>
    <w:rsid w:val="002E0110"/>
    <w:rsid w:val="002E2C26"/>
    <w:rsid w:val="002E2F90"/>
    <w:rsid w:val="002E3910"/>
    <w:rsid w:val="002E62A5"/>
    <w:rsid w:val="002E62F9"/>
    <w:rsid w:val="002F387C"/>
    <w:rsid w:val="0030595C"/>
    <w:rsid w:val="003138C4"/>
    <w:rsid w:val="00337EE2"/>
    <w:rsid w:val="00343335"/>
    <w:rsid w:val="003509B7"/>
    <w:rsid w:val="00357BF2"/>
    <w:rsid w:val="00392A28"/>
    <w:rsid w:val="003A10DF"/>
    <w:rsid w:val="003A5047"/>
    <w:rsid w:val="003A7151"/>
    <w:rsid w:val="003A7AAA"/>
    <w:rsid w:val="003B11F0"/>
    <w:rsid w:val="003B5721"/>
    <w:rsid w:val="003B6CF6"/>
    <w:rsid w:val="003D0DB6"/>
    <w:rsid w:val="003D72F0"/>
    <w:rsid w:val="003E40F8"/>
    <w:rsid w:val="003F3ED4"/>
    <w:rsid w:val="00410FCD"/>
    <w:rsid w:val="0042186E"/>
    <w:rsid w:val="00421F29"/>
    <w:rsid w:val="00430E5E"/>
    <w:rsid w:val="00432685"/>
    <w:rsid w:val="00433D97"/>
    <w:rsid w:val="00434F24"/>
    <w:rsid w:val="00445180"/>
    <w:rsid w:val="00460382"/>
    <w:rsid w:val="00460F18"/>
    <w:rsid w:val="00481EDB"/>
    <w:rsid w:val="00494895"/>
    <w:rsid w:val="00496496"/>
    <w:rsid w:val="00497708"/>
    <w:rsid w:val="004A050A"/>
    <w:rsid w:val="004A23A9"/>
    <w:rsid w:val="004A5E44"/>
    <w:rsid w:val="004B562A"/>
    <w:rsid w:val="004B69F5"/>
    <w:rsid w:val="004B727E"/>
    <w:rsid w:val="004D4598"/>
    <w:rsid w:val="004D6F11"/>
    <w:rsid w:val="004F26F3"/>
    <w:rsid w:val="005063F2"/>
    <w:rsid w:val="00545013"/>
    <w:rsid w:val="00547403"/>
    <w:rsid w:val="00551C35"/>
    <w:rsid w:val="00582E4D"/>
    <w:rsid w:val="005936E0"/>
    <w:rsid w:val="005A06E4"/>
    <w:rsid w:val="005B0509"/>
    <w:rsid w:val="005E63B4"/>
    <w:rsid w:val="005F464D"/>
    <w:rsid w:val="00611734"/>
    <w:rsid w:val="006168C6"/>
    <w:rsid w:val="0062259B"/>
    <w:rsid w:val="0063091B"/>
    <w:rsid w:val="00632469"/>
    <w:rsid w:val="0064080C"/>
    <w:rsid w:val="00662739"/>
    <w:rsid w:val="006655E6"/>
    <w:rsid w:val="00694EBE"/>
    <w:rsid w:val="00697C25"/>
    <w:rsid w:val="006A2B5A"/>
    <w:rsid w:val="006B71B4"/>
    <w:rsid w:val="006D0170"/>
    <w:rsid w:val="006E2B71"/>
    <w:rsid w:val="006F01ED"/>
    <w:rsid w:val="006F2021"/>
    <w:rsid w:val="006F5DDC"/>
    <w:rsid w:val="007053F9"/>
    <w:rsid w:val="007161CF"/>
    <w:rsid w:val="007315D2"/>
    <w:rsid w:val="007406E8"/>
    <w:rsid w:val="00760907"/>
    <w:rsid w:val="00762091"/>
    <w:rsid w:val="00771DBD"/>
    <w:rsid w:val="007768AF"/>
    <w:rsid w:val="0077794E"/>
    <w:rsid w:val="007914A3"/>
    <w:rsid w:val="00795E48"/>
    <w:rsid w:val="007A1C69"/>
    <w:rsid w:val="007B5DBD"/>
    <w:rsid w:val="007D0026"/>
    <w:rsid w:val="007D42D4"/>
    <w:rsid w:val="008072E1"/>
    <w:rsid w:val="0083575A"/>
    <w:rsid w:val="0089021A"/>
    <w:rsid w:val="008A6FAD"/>
    <w:rsid w:val="008D1007"/>
    <w:rsid w:val="008F72E7"/>
    <w:rsid w:val="00943CE9"/>
    <w:rsid w:val="00954D59"/>
    <w:rsid w:val="0095519E"/>
    <w:rsid w:val="00970CEE"/>
    <w:rsid w:val="009818F0"/>
    <w:rsid w:val="00982965"/>
    <w:rsid w:val="00986A9D"/>
    <w:rsid w:val="009A5F69"/>
    <w:rsid w:val="009B2C7C"/>
    <w:rsid w:val="009C135E"/>
    <w:rsid w:val="009C16F4"/>
    <w:rsid w:val="009D6268"/>
    <w:rsid w:val="009D6D47"/>
    <w:rsid w:val="009E662C"/>
    <w:rsid w:val="009E67E4"/>
    <w:rsid w:val="009F5D21"/>
    <w:rsid w:val="00A10FBD"/>
    <w:rsid w:val="00A17074"/>
    <w:rsid w:val="00A4027A"/>
    <w:rsid w:val="00A42676"/>
    <w:rsid w:val="00A5772A"/>
    <w:rsid w:val="00A60B85"/>
    <w:rsid w:val="00A66A76"/>
    <w:rsid w:val="00A77557"/>
    <w:rsid w:val="00A93C97"/>
    <w:rsid w:val="00AB27FA"/>
    <w:rsid w:val="00AB2AE0"/>
    <w:rsid w:val="00AC640D"/>
    <w:rsid w:val="00AE41C8"/>
    <w:rsid w:val="00AE7B69"/>
    <w:rsid w:val="00B13CD4"/>
    <w:rsid w:val="00B331AF"/>
    <w:rsid w:val="00B576E5"/>
    <w:rsid w:val="00B72725"/>
    <w:rsid w:val="00B72B6D"/>
    <w:rsid w:val="00B72DD8"/>
    <w:rsid w:val="00B776C2"/>
    <w:rsid w:val="00B82CA7"/>
    <w:rsid w:val="00B84F63"/>
    <w:rsid w:val="00BA2BA2"/>
    <w:rsid w:val="00BC4808"/>
    <w:rsid w:val="00BD51B9"/>
    <w:rsid w:val="00BE31E5"/>
    <w:rsid w:val="00BF3680"/>
    <w:rsid w:val="00BF36BC"/>
    <w:rsid w:val="00BF447A"/>
    <w:rsid w:val="00BF772F"/>
    <w:rsid w:val="00C3173F"/>
    <w:rsid w:val="00C42E6B"/>
    <w:rsid w:val="00C51BA5"/>
    <w:rsid w:val="00C567BA"/>
    <w:rsid w:val="00C726A3"/>
    <w:rsid w:val="00C76334"/>
    <w:rsid w:val="00C814BB"/>
    <w:rsid w:val="00CB0312"/>
    <w:rsid w:val="00CB521C"/>
    <w:rsid w:val="00CB6C7C"/>
    <w:rsid w:val="00CB7DE9"/>
    <w:rsid w:val="00CC331D"/>
    <w:rsid w:val="00CF3F43"/>
    <w:rsid w:val="00CF5DBF"/>
    <w:rsid w:val="00D16710"/>
    <w:rsid w:val="00D222CB"/>
    <w:rsid w:val="00D27310"/>
    <w:rsid w:val="00D400A8"/>
    <w:rsid w:val="00D6147D"/>
    <w:rsid w:val="00D70AD2"/>
    <w:rsid w:val="00D77780"/>
    <w:rsid w:val="00DA10C5"/>
    <w:rsid w:val="00DA18CE"/>
    <w:rsid w:val="00DA2E51"/>
    <w:rsid w:val="00DA5742"/>
    <w:rsid w:val="00DB2957"/>
    <w:rsid w:val="00DC04C0"/>
    <w:rsid w:val="00DE76C5"/>
    <w:rsid w:val="00DF0DBA"/>
    <w:rsid w:val="00E015F8"/>
    <w:rsid w:val="00E1032A"/>
    <w:rsid w:val="00E1054D"/>
    <w:rsid w:val="00E10DF9"/>
    <w:rsid w:val="00E225B5"/>
    <w:rsid w:val="00E262F2"/>
    <w:rsid w:val="00E33A3C"/>
    <w:rsid w:val="00E43702"/>
    <w:rsid w:val="00E5218A"/>
    <w:rsid w:val="00E85652"/>
    <w:rsid w:val="00EC194B"/>
    <w:rsid w:val="00EC4AC0"/>
    <w:rsid w:val="00ED077E"/>
    <w:rsid w:val="00ED6E8D"/>
    <w:rsid w:val="00EE7599"/>
    <w:rsid w:val="00F204D7"/>
    <w:rsid w:val="00F209AC"/>
    <w:rsid w:val="00F320AB"/>
    <w:rsid w:val="00F36909"/>
    <w:rsid w:val="00F45491"/>
    <w:rsid w:val="00F64723"/>
    <w:rsid w:val="00F67976"/>
    <w:rsid w:val="00F80B67"/>
    <w:rsid w:val="00F84842"/>
    <w:rsid w:val="00F87359"/>
    <w:rsid w:val="00F918A0"/>
    <w:rsid w:val="00FB3E3E"/>
    <w:rsid w:val="00FC15C2"/>
    <w:rsid w:val="00FC6073"/>
    <w:rsid w:val="00FE140D"/>
    <w:rsid w:val="00FE395C"/>
    <w:rsid w:val="00FE4042"/>
    <w:rsid w:val="4CEE4DC5"/>
    <w:rsid w:val="5B89418C"/>
    <w:rsid w:val="6CD83E20"/>
    <w:rsid w:val="6DCB5E2B"/>
    <w:rsid w:val="743F5B57"/>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13D21C-7A11-41F7-A15E-DB34FC66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CAD7B-DE5C-462D-A345-D7F72997F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3750</Words>
  <Characters>21378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Mushure</dc:creator>
  <cp:lastModifiedBy>JSC</cp:lastModifiedBy>
  <cp:revision>2</cp:revision>
  <cp:lastPrinted>2024-08-05T10:21:00Z</cp:lastPrinted>
  <dcterms:created xsi:type="dcterms:W3CDTF">2025-06-13T12:36:00Z</dcterms:created>
  <dcterms:modified xsi:type="dcterms:W3CDTF">2025-06-13T12:36:00Z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ab71fbe5-b34a-4f7e-b825-2c80aaba8eb0</vt:lpwstr>
  </property>
  <property fmtid="{D5CDD505-2E9C-101B-9397-08002B2CF9AE}" pid="3" name="KSOProductBuildVer">
    <vt:lpwstr>1033-12.2.0.21179</vt:lpwstr>
  </property>
  <property fmtid="{D5CDD505-2E9C-101B-9397-08002B2CF9AE}" pid="4" name="ICV">
    <vt:lpwstr>9809503AD5204845A891B9140676AE7C_13</vt:lpwstr>
  </property>
</Properties>
</file>