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6C" w:rsidRDefault="00811DD3" w:rsidP="00736B6C">
      <w:pPr>
        <w:spacing w:after="0" w:line="240" w:lineRule="auto"/>
        <w:rPr>
          <w:lang w:val="en-GB"/>
        </w:rPr>
      </w:pPr>
      <w:bookmarkStart w:id="0" w:name="_GoBack"/>
      <w:bookmarkEnd w:id="0"/>
      <w:r>
        <w:rPr>
          <w:lang w:val="en-GB"/>
        </w:rPr>
        <w:t>STANLEY MACHOTE</w:t>
      </w:r>
    </w:p>
    <w:p w:rsidR="00736B6C" w:rsidRDefault="00811DD3" w:rsidP="00736B6C">
      <w:pPr>
        <w:spacing w:after="0" w:line="240" w:lineRule="auto"/>
        <w:rPr>
          <w:lang w:val="en-GB"/>
        </w:rPr>
      </w:pPr>
      <w:r>
        <w:rPr>
          <w:lang w:val="en-GB"/>
        </w:rPr>
        <w:t>v</w:t>
      </w:r>
      <w:r w:rsidR="00736B6C">
        <w:rPr>
          <w:lang w:val="en-GB"/>
        </w:rPr>
        <w:t>ersus</w:t>
      </w:r>
    </w:p>
    <w:p w:rsidR="00811DD3" w:rsidRDefault="00811DD3" w:rsidP="00736B6C">
      <w:pPr>
        <w:spacing w:after="0" w:line="240" w:lineRule="auto"/>
        <w:rPr>
          <w:lang w:val="en-GB"/>
        </w:rPr>
      </w:pPr>
      <w:r>
        <w:rPr>
          <w:lang w:val="en-GB"/>
        </w:rPr>
        <w:t xml:space="preserve"> ZIMBABWE MANPOWER DEVELOPMENT FUND</w:t>
      </w:r>
    </w:p>
    <w:p w:rsidR="00736B6C" w:rsidRDefault="00736B6C" w:rsidP="00736B6C">
      <w:pPr>
        <w:spacing w:after="0" w:line="240" w:lineRule="auto"/>
        <w:rPr>
          <w:lang w:val="en-GB"/>
        </w:rPr>
      </w:pPr>
    </w:p>
    <w:p w:rsidR="00736B6C" w:rsidRDefault="00736B6C" w:rsidP="00736B6C">
      <w:pPr>
        <w:spacing w:after="0" w:line="240" w:lineRule="auto"/>
        <w:rPr>
          <w:lang w:val="en-GB"/>
        </w:rPr>
      </w:pPr>
    </w:p>
    <w:p w:rsidR="00736B6C" w:rsidRDefault="00736B6C" w:rsidP="00736B6C">
      <w:pPr>
        <w:spacing w:after="0" w:line="240" w:lineRule="auto"/>
        <w:rPr>
          <w:lang w:val="en-GB"/>
        </w:rPr>
      </w:pPr>
      <w:r>
        <w:rPr>
          <w:lang w:val="en-GB"/>
        </w:rPr>
        <w:t>HIGH COURT OF ZIMBABWE</w:t>
      </w:r>
    </w:p>
    <w:p w:rsidR="00811DD3" w:rsidRDefault="00811DD3" w:rsidP="00736B6C">
      <w:pPr>
        <w:spacing w:after="0" w:line="240" w:lineRule="auto"/>
        <w:rPr>
          <w:lang w:val="en-GB"/>
        </w:rPr>
      </w:pPr>
      <w:r>
        <w:rPr>
          <w:lang w:val="en-GB"/>
        </w:rPr>
        <w:t xml:space="preserve">MAKONI J </w:t>
      </w:r>
    </w:p>
    <w:p w:rsidR="00736B6C" w:rsidRDefault="00736B6C" w:rsidP="00736B6C">
      <w:pPr>
        <w:spacing w:after="0" w:line="240" w:lineRule="auto"/>
        <w:rPr>
          <w:lang w:val="en-GB"/>
        </w:rPr>
      </w:pPr>
      <w:r>
        <w:rPr>
          <w:lang w:val="en-GB"/>
        </w:rPr>
        <w:t>HARARE, 19 November 2015 and 13 January 2016</w:t>
      </w:r>
    </w:p>
    <w:p w:rsidR="00811DD3" w:rsidRDefault="00811DD3" w:rsidP="00736B6C">
      <w:pPr>
        <w:spacing w:after="0" w:line="240" w:lineRule="auto"/>
        <w:rPr>
          <w:lang w:val="en-GB"/>
        </w:rPr>
      </w:pPr>
    </w:p>
    <w:p w:rsidR="009A36F2" w:rsidRDefault="009A36F2" w:rsidP="00736B6C">
      <w:pPr>
        <w:spacing w:after="0" w:line="240" w:lineRule="auto"/>
      </w:pPr>
    </w:p>
    <w:p w:rsidR="00F779A1" w:rsidRDefault="00F779A1" w:rsidP="00736B6C">
      <w:pPr>
        <w:spacing w:after="0" w:line="240" w:lineRule="auto"/>
      </w:pPr>
    </w:p>
    <w:p w:rsidR="00647314" w:rsidRDefault="00647314" w:rsidP="00736B6C">
      <w:pPr>
        <w:spacing w:after="0" w:line="240" w:lineRule="auto"/>
        <w:rPr>
          <w:b/>
        </w:rPr>
      </w:pPr>
      <w:r>
        <w:rPr>
          <w:b/>
        </w:rPr>
        <w:t xml:space="preserve">Opposed Matter </w:t>
      </w:r>
    </w:p>
    <w:p w:rsidR="00647314" w:rsidRDefault="00647314" w:rsidP="00736B6C">
      <w:pPr>
        <w:spacing w:after="0" w:line="240" w:lineRule="auto"/>
        <w:rPr>
          <w:b/>
        </w:rPr>
      </w:pPr>
    </w:p>
    <w:p w:rsidR="00647314" w:rsidRDefault="00647314" w:rsidP="00736B6C">
      <w:pPr>
        <w:spacing w:after="0" w:line="240" w:lineRule="auto"/>
        <w:rPr>
          <w:b/>
        </w:rPr>
      </w:pPr>
    </w:p>
    <w:p w:rsidR="00647314" w:rsidRDefault="00647314" w:rsidP="00736B6C">
      <w:pPr>
        <w:spacing w:after="0" w:line="240" w:lineRule="auto"/>
        <w:rPr>
          <w:b/>
        </w:rPr>
      </w:pPr>
    </w:p>
    <w:p w:rsidR="00647314" w:rsidRDefault="00647314" w:rsidP="00736B6C">
      <w:pPr>
        <w:spacing w:after="0" w:line="240" w:lineRule="auto"/>
      </w:pPr>
      <w:r>
        <w:rPr>
          <w:i/>
        </w:rPr>
        <w:t>T Zhuwarara</w:t>
      </w:r>
      <w:r>
        <w:t xml:space="preserve">, for the applicant </w:t>
      </w:r>
    </w:p>
    <w:p w:rsidR="00647314" w:rsidRDefault="00647314" w:rsidP="00736B6C">
      <w:pPr>
        <w:spacing w:after="0" w:line="240" w:lineRule="auto"/>
      </w:pPr>
      <w:r>
        <w:rPr>
          <w:i/>
        </w:rPr>
        <w:t>L Uriri</w:t>
      </w:r>
      <w:r>
        <w:t>, for the respondent</w:t>
      </w:r>
    </w:p>
    <w:p w:rsidR="00647314" w:rsidRDefault="00647314" w:rsidP="00736B6C">
      <w:pPr>
        <w:spacing w:after="0" w:line="240" w:lineRule="auto"/>
      </w:pPr>
    </w:p>
    <w:p w:rsidR="00647314" w:rsidRPr="00647314" w:rsidRDefault="00647314" w:rsidP="00736B6C">
      <w:pPr>
        <w:spacing w:after="0" w:line="240" w:lineRule="auto"/>
      </w:pPr>
    </w:p>
    <w:p w:rsidR="004D7C76" w:rsidRDefault="00647314" w:rsidP="005F0B4D">
      <w:pPr>
        <w:spacing w:after="0" w:line="360" w:lineRule="auto"/>
        <w:ind w:firstLine="720"/>
      </w:pPr>
      <w:r>
        <w:t xml:space="preserve">MAKONI J: </w:t>
      </w:r>
      <w:r w:rsidR="00811DD3">
        <w:t xml:space="preserve">The application before me is an application for leave to execute pending appeal. </w:t>
      </w:r>
      <w:r w:rsidR="004D7C76">
        <w:t xml:space="preserve">The facts of the case have been covered in detail in the pleadings and what appears below is a brief summary of the relevant facts. </w:t>
      </w:r>
    </w:p>
    <w:p w:rsidR="00F20834" w:rsidRDefault="00811DD3" w:rsidP="005F0B4D">
      <w:pPr>
        <w:spacing w:after="0" w:line="360" w:lineRule="auto"/>
        <w:ind w:firstLine="720"/>
      </w:pPr>
      <w:r>
        <w:t xml:space="preserve">The </w:t>
      </w:r>
      <w:r w:rsidR="005F0B4D">
        <w:t>a</w:t>
      </w:r>
      <w:r>
        <w:t>pplicant</w:t>
      </w:r>
      <w:r w:rsidR="004540C6">
        <w:t xml:space="preserve"> herein</w:t>
      </w:r>
      <w:r>
        <w:t xml:space="preserve"> </w:t>
      </w:r>
      <w:r w:rsidR="004540C6">
        <w:t xml:space="preserve">applied to this Honourable Court to have an arbitral award registered. This application was opposed by the </w:t>
      </w:r>
      <w:r w:rsidR="005F0B4D">
        <w:t>r</w:t>
      </w:r>
      <w:r w:rsidR="004540C6">
        <w:t xml:space="preserve">espondent. </w:t>
      </w:r>
      <w:r w:rsidR="004D7C76">
        <w:t xml:space="preserve">The </w:t>
      </w:r>
      <w:r w:rsidR="005F0B4D">
        <w:t>r</w:t>
      </w:r>
      <w:r w:rsidR="004D7C76">
        <w:t>espondent opposed the applica</w:t>
      </w:r>
      <w:r w:rsidR="00F20834">
        <w:t xml:space="preserve">tion for two main reasons; </w:t>
      </w:r>
      <w:r w:rsidR="004D7C76">
        <w:t xml:space="preserve">the first was that there was an application for stay of execution of the arbitral award pending before the Labour Court at the time the </w:t>
      </w:r>
      <w:r w:rsidR="005F0B4D">
        <w:t>a</w:t>
      </w:r>
      <w:r w:rsidR="00F20834">
        <w:t xml:space="preserve">pplicant sought to have the </w:t>
      </w:r>
      <w:r w:rsidR="00474DA0">
        <w:t xml:space="preserve">arbitral </w:t>
      </w:r>
      <w:r w:rsidR="00F20834">
        <w:t>award registered</w:t>
      </w:r>
      <w:r w:rsidR="004D7C76">
        <w:t>. The</w:t>
      </w:r>
      <w:r w:rsidR="00F20834">
        <w:t xml:space="preserve"> </w:t>
      </w:r>
      <w:r w:rsidR="005F0B4D">
        <w:t>respondent</w:t>
      </w:r>
      <w:r w:rsidR="00F20834">
        <w:t xml:space="preserve"> also argued that they had a general appeal in the matter also pending before the Labour Court and this appeal should be heard before the arbitral ward is registered. The second reason for the </w:t>
      </w:r>
      <w:r w:rsidR="005F0B4D">
        <w:t>r</w:t>
      </w:r>
      <w:r w:rsidR="00F20834">
        <w:t>espondent’s opposition was that, in their view, the arbitral award was against public policy</w:t>
      </w:r>
      <w:r w:rsidR="00474DA0">
        <w:t xml:space="preserve"> and should not be enforced</w:t>
      </w:r>
      <w:r w:rsidR="00F20834">
        <w:t xml:space="preserve">. </w:t>
      </w:r>
    </w:p>
    <w:p w:rsidR="00474DA0" w:rsidRDefault="00F20834" w:rsidP="008A7811">
      <w:pPr>
        <w:spacing w:after="0" w:line="360" w:lineRule="auto"/>
        <w:ind w:firstLine="720"/>
      </w:pPr>
      <w:r>
        <w:t xml:space="preserve">At the time the application for the registration of the arbitral award was heard the Labour Court had dismissed the application for stay of execution pending appeal. This, amongst other reasons, prompted this Honourable Court to grant the application for the registration of the arbitral award.  </w:t>
      </w:r>
      <w:r w:rsidR="00474DA0">
        <w:t>The</w:t>
      </w:r>
      <w:r w:rsidR="004540C6">
        <w:t xml:space="preserve"> </w:t>
      </w:r>
      <w:r w:rsidR="008A7811">
        <w:t>r</w:t>
      </w:r>
      <w:r w:rsidR="004540C6">
        <w:t>espondent has since appealed against the decision to grant the application</w:t>
      </w:r>
      <w:r w:rsidR="00474DA0">
        <w:t xml:space="preserve"> to register the arbitral award</w:t>
      </w:r>
      <w:r w:rsidR="004540C6">
        <w:t xml:space="preserve">. This appeal is pending before the Supreme Court. </w:t>
      </w:r>
    </w:p>
    <w:p w:rsidR="00474DA0" w:rsidRDefault="00474DA0" w:rsidP="008A7811">
      <w:pPr>
        <w:spacing w:after="0" w:line="360" w:lineRule="auto"/>
        <w:ind w:firstLine="720"/>
      </w:pPr>
      <w:r>
        <w:t xml:space="preserve">The grounds of appeal are as follows: </w:t>
      </w:r>
    </w:p>
    <w:p w:rsidR="00FD08E8" w:rsidRPr="005B1E25" w:rsidRDefault="00742EF9" w:rsidP="005B1E25">
      <w:pPr>
        <w:spacing w:after="0" w:line="240" w:lineRule="auto"/>
        <w:ind w:left="1080" w:hanging="360"/>
        <w:rPr>
          <w:sz w:val="22"/>
        </w:rPr>
      </w:pPr>
      <w:r w:rsidRPr="005B1E25">
        <w:rPr>
          <w:sz w:val="22"/>
        </w:rPr>
        <w:lastRenderedPageBreak/>
        <w:t>“1.</w:t>
      </w:r>
      <w:r w:rsidRPr="005B1E25">
        <w:rPr>
          <w:sz w:val="22"/>
        </w:rPr>
        <w:tab/>
      </w:r>
      <w:r w:rsidR="00474DA0" w:rsidRPr="005B1E25">
        <w:rPr>
          <w:sz w:val="22"/>
        </w:rPr>
        <w:t xml:space="preserve">That the learned judge erred at law by registering the Arbitral Award in the face of the appeal against the Arbitral award and an application for leave to appeal against the dismissal of the application for stay of execution of the Arbitral award pending before the Labour Court.  </w:t>
      </w:r>
    </w:p>
    <w:p w:rsidR="00FD08E8" w:rsidRPr="005B1E25" w:rsidRDefault="00FD08E8" w:rsidP="005B1E25">
      <w:pPr>
        <w:pStyle w:val="ListParagraph"/>
        <w:spacing w:after="0" w:line="240" w:lineRule="auto"/>
        <w:rPr>
          <w:sz w:val="22"/>
        </w:rPr>
      </w:pPr>
    </w:p>
    <w:p w:rsidR="00474DA0" w:rsidRPr="005B1E25" w:rsidRDefault="00474DA0" w:rsidP="005B1E25">
      <w:pPr>
        <w:pStyle w:val="ListParagraph"/>
        <w:numPr>
          <w:ilvl w:val="0"/>
          <w:numId w:val="5"/>
        </w:numPr>
        <w:spacing w:after="0" w:line="240" w:lineRule="auto"/>
        <w:rPr>
          <w:sz w:val="22"/>
        </w:rPr>
      </w:pPr>
      <w:r w:rsidRPr="005B1E25">
        <w:rPr>
          <w:sz w:val="22"/>
        </w:rPr>
        <w:t>The learned judge erred at law by not appreciating that se</w:t>
      </w:r>
      <w:r w:rsidR="00FD08E8" w:rsidRPr="005B1E25">
        <w:rPr>
          <w:sz w:val="22"/>
        </w:rPr>
        <w:t>ction 98 (24) of the Labour Act</w:t>
      </w:r>
      <w:r w:rsidRPr="005B1E25">
        <w:rPr>
          <w:sz w:val="22"/>
        </w:rPr>
        <w:t xml:space="preserve"> is worded using a permissive term and hence registration of an Arbitral Award is not mandatory and where an appeal is pending before the Labour Court and there is an unresolved application for stay of execution of the Arbitral Award pending appeal, the High Court ought to have deferred such registration of such Arbitral award.</w:t>
      </w:r>
      <w:r w:rsidR="005B1E25" w:rsidRPr="005B1E25">
        <w:rPr>
          <w:sz w:val="22"/>
        </w:rPr>
        <w:t>”</w:t>
      </w:r>
    </w:p>
    <w:p w:rsidR="005B1E25" w:rsidRDefault="005B1E25" w:rsidP="00811DD3">
      <w:pPr>
        <w:spacing w:line="360" w:lineRule="auto"/>
      </w:pPr>
    </w:p>
    <w:p w:rsidR="00811DD3" w:rsidRDefault="004540C6" w:rsidP="00E946AD">
      <w:pPr>
        <w:spacing w:after="0" w:line="360" w:lineRule="auto"/>
        <w:ind w:firstLine="720"/>
      </w:pPr>
      <w:r>
        <w:t xml:space="preserve">The </w:t>
      </w:r>
      <w:r w:rsidR="00586172">
        <w:t>applicant argues that the r</w:t>
      </w:r>
      <w:r>
        <w:t xml:space="preserve">espondent has appealed the decision </w:t>
      </w:r>
      <w:r w:rsidR="008857CE">
        <w:t xml:space="preserve">made by this Honourable Court in a bid </w:t>
      </w:r>
      <w:r>
        <w:t xml:space="preserve">to delay execution of the arbitral award. </w:t>
      </w:r>
      <w:r w:rsidR="000C3976">
        <w:t xml:space="preserve">In the result the </w:t>
      </w:r>
      <w:r w:rsidR="00586172">
        <w:t>a</w:t>
      </w:r>
      <w:r w:rsidR="000C3976">
        <w:t xml:space="preserve">pplicant seeks leave to execute pending </w:t>
      </w:r>
      <w:r w:rsidR="00474DA0">
        <w:t xml:space="preserve">the </w:t>
      </w:r>
      <w:r w:rsidR="000C3976">
        <w:t xml:space="preserve">appeal. </w:t>
      </w:r>
      <w:r>
        <w:t xml:space="preserve">The </w:t>
      </w:r>
      <w:r w:rsidR="00586172">
        <w:t>r</w:t>
      </w:r>
      <w:r>
        <w:t>espondent</w:t>
      </w:r>
      <w:r w:rsidR="000C3976">
        <w:t xml:space="preserve"> on the other hand argues that their appeal is </w:t>
      </w:r>
      <w:r w:rsidR="000C3976" w:rsidRPr="000C3976">
        <w:rPr>
          <w:i/>
        </w:rPr>
        <w:t>bona fide</w:t>
      </w:r>
      <w:r w:rsidR="000C3976">
        <w:t xml:space="preserve"> and</w:t>
      </w:r>
      <w:r>
        <w:t xml:space="preserve"> that they have strong prospects of success</w:t>
      </w:r>
      <w:r w:rsidR="000C3976">
        <w:t xml:space="preserve"> on appeal</w:t>
      </w:r>
      <w:r w:rsidR="00506CD8">
        <w:t>.</w:t>
      </w:r>
      <w:r w:rsidR="00586172">
        <w:t xml:space="preserve"> </w:t>
      </w:r>
      <w:r w:rsidR="000C3976">
        <w:t xml:space="preserve">The </w:t>
      </w:r>
      <w:r w:rsidR="00586172">
        <w:t>r</w:t>
      </w:r>
      <w:r w:rsidR="000C3976">
        <w:t xml:space="preserve">espondents also maintain that they </w:t>
      </w:r>
      <w:r>
        <w:t xml:space="preserve">would </w:t>
      </w:r>
      <w:r w:rsidR="000C3976">
        <w:t>suffer irreparable prejudice</w:t>
      </w:r>
      <w:r>
        <w:t xml:space="preserve"> if the </w:t>
      </w:r>
      <w:r w:rsidR="00586172">
        <w:t>a</w:t>
      </w:r>
      <w:r>
        <w:t>pplicant was allowed leave to execute pending the finali</w:t>
      </w:r>
      <w:r w:rsidR="00E946AD">
        <w:t>s</w:t>
      </w:r>
      <w:r>
        <w:t>ation</w:t>
      </w:r>
      <w:r w:rsidR="000C3976">
        <w:t xml:space="preserve"> of the appeal</w:t>
      </w:r>
      <w:r>
        <w:t xml:space="preserve">. </w:t>
      </w:r>
    </w:p>
    <w:p w:rsidR="008857CE" w:rsidRDefault="008857CE" w:rsidP="00E946AD">
      <w:pPr>
        <w:spacing w:after="0" w:line="360" w:lineRule="auto"/>
        <w:ind w:firstLine="720"/>
      </w:pPr>
      <w:r>
        <w:t xml:space="preserve">The sole issue for the court to decide </w:t>
      </w:r>
      <w:r w:rsidR="000C3976">
        <w:t xml:space="preserve">in this matter is this whether </w:t>
      </w:r>
      <w:r>
        <w:t>or not leave to appeal should be granted</w:t>
      </w:r>
      <w:r w:rsidR="000C3976">
        <w:t xml:space="preserve"> pending the finalization of the appeal.</w:t>
      </w:r>
      <w:r>
        <w:t xml:space="preserve"> </w:t>
      </w:r>
    </w:p>
    <w:p w:rsidR="00BA47B2" w:rsidRDefault="00BA47B2" w:rsidP="00E946AD">
      <w:pPr>
        <w:tabs>
          <w:tab w:val="left" w:pos="720"/>
        </w:tabs>
        <w:spacing w:line="360" w:lineRule="auto"/>
        <w:ind w:firstLine="720"/>
      </w:pPr>
      <w:r>
        <w:t xml:space="preserve">It is trite law that when considering an application for leave to execute pending appeal the court must consider the following: </w:t>
      </w:r>
    </w:p>
    <w:p w:rsidR="00FD08E8" w:rsidRPr="00F14B65" w:rsidRDefault="005D5898" w:rsidP="00F14B65">
      <w:pPr>
        <w:spacing w:after="0" w:line="240" w:lineRule="auto"/>
        <w:ind w:left="1080" w:right="720" w:hanging="360"/>
        <w:rPr>
          <w:sz w:val="22"/>
        </w:rPr>
      </w:pPr>
      <w:r w:rsidRPr="00F14B65">
        <w:rPr>
          <w:sz w:val="22"/>
        </w:rPr>
        <w:t>“1.</w:t>
      </w:r>
      <w:r w:rsidRPr="00F14B65">
        <w:rPr>
          <w:sz w:val="22"/>
        </w:rPr>
        <w:tab/>
      </w:r>
      <w:r w:rsidR="00BA47B2" w:rsidRPr="00F14B65">
        <w:rPr>
          <w:sz w:val="22"/>
        </w:rPr>
        <w:t xml:space="preserve">The possibility of irreparable harm or prejudice being sustained by the appellant should leave to execute be granted; </w:t>
      </w:r>
    </w:p>
    <w:p w:rsidR="00FD08E8" w:rsidRPr="00F14B65" w:rsidRDefault="00FD08E8" w:rsidP="00F14B65">
      <w:pPr>
        <w:pStyle w:val="ListParagraph"/>
        <w:numPr>
          <w:ilvl w:val="0"/>
          <w:numId w:val="6"/>
        </w:numPr>
        <w:spacing w:after="0" w:line="240" w:lineRule="auto"/>
        <w:ind w:right="720"/>
        <w:rPr>
          <w:sz w:val="22"/>
        </w:rPr>
      </w:pPr>
      <w:r w:rsidRPr="00F14B65">
        <w:rPr>
          <w:sz w:val="22"/>
        </w:rPr>
        <w:t xml:space="preserve">The possibility of irreparable harm or prejudice to be suffered by the respondent should leave to execute be denied; </w:t>
      </w:r>
    </w:p>
    <w:p w:rsidR="00FD08E8" w:rsidRPr="00F14B65" w:rsidRDefault="00FD08E8" w:rsidP="00F14B65">
      <w:pPr>
        <w:pStyle w:val="ListParagraph"/>
        <w:numPr>
          <w:ilvl w:val="0"/>
          <w:numId w:val="6"/>
        </w:numPr>
        <w:spacing w:line="240" w:lineRule="auto"/>
        <w:ind w:right="720"/>
        <w:rPr>
          <w:sz w:val="22"/>
        </w:rPr>
      </w:pPr>
      <w:r w:rsidRPr="00F14B65">
        <w:rPr>
          <w:sz w:val="22"/>
        </w:rPr>
        <w:t xml:space="preserve">Prospects of success of the appeal. </w:t>
      </w:r>
    </w:p>
    <w:p w:rsidR="00BA47B2" w:rsidRPr="00F14B65" w:rsidRDefault="00FD08E8" w:rsidP="00F14B65">
      <w:pPr>
        <w:pStyle w:val="ListParagraph"/>
        <w:numPr>
          <w:ilvl w:val="0"/>
          <w:numId w:val="6"/>
        </w:numPr>
        <w:spacing w:line="240" w:lineRule="auto"/>
        <w:ind w:right="720"/>
        <w:rPr>
          <w:sz w:val="22"/>
        </w:rPr>
      </w:pPr>
      <w:r w:rsidRPr="00F14B65">
        <w:rPr>
          <w:sz w:val="22"/>
        </w:rPr>
        <w:t xml:space="preserve">Where there is possibility of irreparable harm to both parties, the hardship pr convenience as the case may be.” </w:t>
      </w:r>
      <w:r w:rsidR="00BA47B2" w:rsidRPr="00F14B65">
        <w:rPr>
          <w:sz w:val="22"/>
        </w:rPr>
        <w:t xml:space="preserve"> </w:t>
      </w:r>
    </w:p>
    <w:p w:rsidR="00FD08E8" w:rsidRDefault="00FD08E8" w:rsidP="00F14B65">
      <w:pPr>
        <w:spacing w:after="0" w:line="360" w:lineRule="auto"/>
        <w:ind w:right="720" w:firstLine="720"/>
      </w:pPr>
      <w:r>
        <w:t xml:space="preserve">See </w:t>
      </w:r>
      <w:r w:rsidRPr="00FD08E8">
        <w:rPr>
          <w:i/>
        </w:rPr>
        <w:t xml:space="preserve">Arches (Pvt) Ltd </w:t>
      </w:r>
      <w:r w:rsidRPr="00F14B65">
        <w:t xml:space="preserve">v </w:t>
      </w:r>
      <w:r>
        <w:rPr>
          <w:i/>
        </w:rPr>
        <w:t>G</w:t>
      </w:r>
      <w:r w:rsidRPr="00FD08E8">
        <w:rPr>
          <w:i/>
        </w:rPr>
        <w:t>uthrie Holdings (Pvt) Ltd</w:t>
      </w:r>
      <w:r>
        <w:t xml:space="preserve"> 1989 ZLR 152 (H); </w:t>
      </w:r>
      <w:r w:rsidRPr="00FD08E8">
        <w:rPr>
          <w:i/>
        </w:rPr>
        <w:t xml:space="preserve">Dabengwa and </w:t>
      </w:r>
      <w:r w:rsidR="00F14B65" w:rsidRPr="00FD08E8">
        <w:rPr>
          <w:i/>
        </w:rPr>
        <w:t xml:space="preserve">Anor </w:t>
      </w:r>
      <w:r w:rsidR="00F14B65" w:rsidRPr="00F14B65">
        <w:t>v</w:t>
      </w:r>
      <w:r w:rsidR="00F14B65" w:rsidRPr="00FD08E8">
        <w:rPr>
          <w:i/>
        </w:rPr>
        <w:t xml:space="preserve"> </w:t>
      </w:r>
      <w:r w:rsidRPr="00FD08E8">
        <w:rPr>
          <w:i/>
        </w:rPr>
        <w:t>Minister of Home Affairs and Ors</w:t>
      </w:r>
      <w:r>
        <w:t xml:space="preserve"> 1982 (1) ZLR 223; </w:t>
      </w:r>
      <w:r w:rsidRPr="00FD08E8">
        <w:rPr>
          <w:i/>
        </w:rPr>
        <w:t>Zimb</w:t>
      </w:r>
      <w:r>
        <w:rPr>
          <w:i/>
        </w:rPr>
        <w:t>abwe Distance (Correspondence) E</w:t>
      </w:r>
      <w:r w:rsidRPr="00FD08E8">
        <w:rPr>
          <w:i/>
        </w:rPr>
        <w:t xml:space="preserve">ducation College (Pvt) Ltd </w:t>
      </w:r>
      <w:r w:rsidRPr="00F14B65">
        <w:t>v</w:t>
      </w:r>
      <w:r w:rsidRPr="00FD08E8">
        <w:rPr>
          <w:i/>
        </w:rPr>
        <w:t xml:space="preserve"> Commercial Careers College (1980)</w:t>
      </w:r>
      <w:r>
        <w:t xml:space="preserve"> </w:t>
      </w:r>
      <w:r w:rsidRPr="00F14B65">
        <w:rPr>
          <w:i/>
        </w:rPr>
        <w:t>(Pvt) Ltd</w:t>
      </w:r>
      <w:r>
        <w:t xml:space="preserve"> 1991 (2) ZLR 61. </w:t>
      </w:r>
    </w:p>
    <w:p w:rsidR="00730D8F" w:rsidRDefault="00FD08E8" w:rsidP="00F14B65">
      <w:pPr>
        <w:spacing w:after="0" w:line="360" w:lineRule="auto"/>
        <w:ind w:firstLine="720"/>
      </w:pPr>
      <w:r>
        <w:t xml:space="preserve">I will begin by dealing with the </w:t>
      </w:r>
      <w:r w:rsidR="000454CF">
        <w:t>r</w:t>
      </w:r>
      <w:r>
        <w:t xml:space="preserve">espondent’s prospects of success. </w:t>
      </w:r>
      <w:r w:rsidR="00DF07F5">
        <w:t xml:space="preserve">Upon reading the </w:t>
      </w:r>
      <w:r w:rsidR="000454CF">
        <w:t>r</w:t>
      </w:r>
      <w:r w:rsidR="00DF07F5">
        <w:t xml:space="preserve">espondent’s Notice of Appeal I am of the opinion that the appeal lodged by the </w:t>
      </w:r>
      <w:r w:rsidR="000454CF">
        <w:t>r</w:t>
      </w:r>
      <w:r w:rsidR="00DF07F5">
        <w:t xml:space="preserve">espondent </w:t>
      </w:r>
      <w:r w:rsidR="003E4D7D">
        <w:t xml:space="preserve">does not enjoy high prospects of success. </w:t>
      </w:r>
      <w:r w:rsidR="00416160">
        <w:t xml:space="preserve">Tsanga J gave sufficient reasons for granting the application </w:t>
      </w:r>
      <w:r w:rsidR="00416160">
        <w:lastRenderedPageBreak/>
        <w:t>to have the arbitral award registered</w:t>
      </w:r>
      <w:r w:rsidR="00BD410B">
        <w:t xml:space="preserve"> and </w:t>
      </w:r>
      <w:r w:rsidR="00416160">
        <w:t xml:space="preserve">I fail to see how she erred at law in coming to her decision. </w:t>
      </w:r>
    </w:p>
    <w:p w:rsidR="00AF2C22" w:rsidRDefault="00730D8F" w:rsidP="001455FB">
      <w:pPr>
        <w:spacing w:after="0" w:line="360" w:lineRule="auto"/>
        <w:ind w:firstLine="720"/>
      </w:pPr>
      <w:r>
        <w:t>T</w:t>
      </w:r>
      <w:r w:rsidR="00416160">
        <w:t xml:space="preserve">he Respondent’s main grounds for contesting the application for registering the arbitral award fell away once the Labour Court dismissed the application for stay of execution. Thereafter the Respondent was grasping at straws to keep their argument alive. </w:t>
      </w:r>
      <w:r>
        <w:t>For example, t</w:t>
      </w:r>
      <w:r w:rsidR="00224BF6">
        <w:t>he argument that the registration</w:t>
      </w:r>
      <w:r>
        <w:t xml:space="preserve"> of the award </w:t>
      </w:r>
      <w:r w:rsidR="00224BF6">
        <w:t xml:space="preserve">must be suspended pending appeal was simply untenable. Section </w:t>
      </w:r>
      <w:r w:rsidR="00224BF6" w:rsidRPr="00224BF6">
        <w:t>92</w:t>
      </w:r>
      <w:r w:rsidR="000454CF">
        <w:t xml:space="preserve"> </w:t>
      </w:r>
      <w:r w:rsidR="00224BF6" w:rsidRPr="00224BF6">
        <w:t>E</w:t>
      </w:r>
      <w:r w:rsidR="00224BF6">
        <w:t xml:space="preserve"> (2)</w:t>
      </w:r>
      <w:r w:rsidR="00224BF6" w:rsidRPr="00224BF6">
        <w:t xml:space="preserve"> of </w:t>
      </w:r>
      <w:r w:rsidR="00224BF6">
        <w:t>the Labour Act [</w:t>
      </w:r>
      <w:r w:rsidR="00224BF6" w:rsidRPr="000454CF">
        <w:rPr>
          <w:i/>
        </w:rPr>
        <w:t>Chapter 28:01</w:t>
      </w:r>
      <w:r w:rsidR="00224BF6">
        <w:t>] states that an appeal against a decision in terms of section 92E (1)</w:t>
      </w:r>
      <w:r>
        <w:t xml:space="preserve"> of the Act</w:t>
      </w:r>
      <w:r w:rsidR="00224BF6">
        <w:t xml:space="preserve"> does not suspend the operation of the decision appealed against</w:t>
      </w:r>
      <w:r>
        <w:t xml:space="preserve">; see </w:t>
      </w:r>
      <w:r w:rsidRPr="00730D8F">
        <w:rPr>
          <w:i/>
        </w:rPr>
        <w:t xml:space="preserve">Giya </w:t>
      </w:r>
      <w:r w:rsidRPr="000454CF">
        <w:t>v</w:t>
      </w:r>
      <w:r w:rsidRPr="00730D8F">
        <w:rPr>
          <w:i/>
        </w:rPr>
        <w:t xml:space="preserve"> Ribi Tiger Trading </w:t>
      </w:r>
      <w:r w:rsidRPr="000454CF">
        <w:t>HH-57-14.</w:t>
      </w:r>
      <w:r>
        <w:t xml:space="preserve"> In order for an arbitral award to operate it must be registered with either </w:t>
      </w:r>
      <w:r w:rsidR="00B71A80">
        <w:t>the M</w:t>
      </w:r>
      <w:r w:rsidR="00BD410B">
        <w:t>agistrates Court or</w:t>
      </w:r>
      <w:r>
        <w:t xml:space="preserve"> with the High Court; see s 98 (14) of the Labour Relations Act and </w:t>
      </w:r>
      <w:r w:rsidRPr="00730D8F">
        <w:rPr>
          <w:i/>
        </w:rPr>
        <w:t xml:space="preserve">Delta Beverages (Pvt) Ltd </w:t>
      </w:r>
      <w:r w:rsidRPr="000454CF">
        <w:t>v</w:t>
      </w:r>
      <w:r w:rsidRPr="00730D8F">
        <w:rPr>
          <w:i/>
        </w:rPr>
        <w:t xml:space="preserve"> Chimuriwo &amp; Ors</w:t>
      </w:r>
      <w:r w:rsidRPr="00730D8F">
        <w:t xml:space="preserve"> HH</w:t>
      </w:r>
      <w:r w:rsidR="000454CF">
        <w:t xml:space="preserve"> </w:t>
      </w:r>
      <w:r w:rsidRPr="00730D8F">
        <w:t>600-14</w:t>
      </w:r>
      <w:r w:rsidR="004D47D4">
        <w:t xml:space="preserve"> and </w:t>
      </w:r>
      <w:r w:rsidR="004D47D4" w:rsidRPr="000454CF">
        <w:rPr>
          <w:i/>
        </w:rPr>
        <w:t>Muneka &amp; Ors</w:t>
      </w:r>
      <w:r w:rsidR="004D47D4" w:rsidRPr="004D47D4">
        <w:t xml:space="preserve"> v </w:t>
      </w:r>
      <w:r w:rsidR="004D47D4" w:rsidRPr="000454CF">
        <w:rPr>
          <w:i/>
        </w:rPr>
        <w:t>Manica Bus Co</w:t>
      </w:r>
      <w:r w:rsidR="004D47D4" w:rsidRPr="004D47D4">
        <w:t xml:space="preserve"> HH</w:t>
      </w:r>
      <w:r w:rsidR="000454CF">
        <w:t xml:space="preserve"> </w:t>
      </w:r>
      <w:r w:rsidR="004D47D4" w:rsidRPr="004D47D4">
        <w:t>30-13</w:t>
      </w:r>
      <w:r>
        <w:t>. It thus follows that if an appeal does</w:t>
      </w:r>
      <w:r w:rsidR="00BD410B">
        <w:t xml:space="preserve"> no</w:t>
      </w:r>
      <w:r>
        <w:t xml:space="preserve">t suspend the operation of an arbitral award then the arbitral award must be capable of registration with the appropriate court despite the </w:t>
      </w:r>
      <w:r w:rsidR="00B71A80">
        <w:t>fact that an appeal is pending</w:t>
      </w:r>
      <w:r>
        <w:t>.</w:t>
      </w:r>
      <w:r w:rsidR="001455FB">
        <w:t xml:space="preserve"> </w:t>
      </w:r>
    </w:p>
    <w:p w:rsidR="00730D8F" w:rsidRDefault="00730D8F" w:rsidP="001455FB">
      <w:pPr>
        <w:spacing w:after="0" w:line="360" w:lineRule="auto"/>
        <w:ind w:firstLine="720"/>
      </w:pPr>
      <w:r>
        <w:t xml:space="preserve">The argument that the award was against public </w:t>
      </w:r>
      <w:r w:rsidR="00AF2C22">
        <w:t xml:space="preserve">policy </w:t>
      </w:r>
      <w:r w:rsidR="00AF2C22" w:rsidRPr="007D0703">
        <w:rPr>
          <w:i/>
        </w:rPr>
        <w:t>inter alia</w:t>
      </w:r>
      <w:r w:rsidR="00AF2C22">
        <w:t xml:space="preserve"> as it was a nullify in that it did not order damages in the alternative </w:t>
      </w:r>
      <w:r>
        <w:t xml:space="preserve">is equally untenable. </w:t>
      </w:r>
      <w:r w:rsidR="007D0703">
        <w:t>T</w:t>
      </w:r>
      <w:r>
        <w:t xml:space="preserve">he </w:t>
      </w:r>
      <w:r w:rsidR="001455FB">
        <w:t>r</w:t>
      </w:r>
      <w:r>
        <w:t xml:space="preserve">espondents </w:t>
      </w:r>
      <w:r w:rsidR="007D0703">
        <w:t xml:space="preserve">also </w:t>
      </w:r>
      <w:r>
        <w:t>believed that the computation of the award amounted to tax evasion they ought to have objected to the method</w:t>
      </w:r>
      <w:r w:rsidR="00BD410B">
        <w:t xml:space="preserve"> of computation</w:t>
      </w:r>
      <w:r>
        <w:t xml:space="preserve"> by using Art 33 (1) (a) of the </w:t>
      </w:r>
      <w:r w:rsidRPr="00730D8F">
        <w:rPr>
          <w:i/>
        </w:rPr>
        <w:t xml:space="preserve">Uncitral Model Law </w:t>
      </w:r>
      <w:r>
        <w:t xml:space="preserve">as was correctly pointed out by Tsanga J. The </w:t>
      </w:r>
      <w:r w:rsidR="001455FB">
        <w:t>r</w:t>
      </w:r>
      <w:r>
        <w:t>espondent did not do this and they did not offer an explanation as to why they failed to do so. This leads on</w:t>
      </w:r>
      <w:r w:rsidR="00B71A80">
        <w:t>e</w:t>
      </w:r>
      <w:r>
        <w:t xml:space="preserve"> to </w:t>
      </w:r>
      <w:r w:rsidR="00BD410B">
        <w:t>believe</w:t>
      </w:r>
      <w:r>
        <w:t xml:space="preserve"> </w:t>
      </w:r>
      <w:r w:rsidR="00B71A80">
        <w:t>that this line of argument i</w:t>
      </w:r>
      <w:r>
        <w:t>s not genuine</w:t>
      </w:r>
      <w:r w:rsidR="00B71A80">
        <w:t xml:space="preserve"> and is merely intended to buy the </w:t>
      </w:r>
      <w:r w:rsidR="001455FB">
        <w:t>respondent’s</w:t>
      </w:r>
      <w:r w:rsidR="00B71A80">
        <w:t xml:space="preserve"> time</w:t>
      </w:r>
      <w:r>
        <w:t xml:space="preserve">. </w:t>
      </w:r>
    </w:p>
    <w:p w:rsidR="00B71A80" w:rsidRDefault="00B71A80" w:rsidP="001455FB">
      <w:pPr>
        <w:spacing w:after="0" w:line="360" w:lineRule="auto"/>
        <w:ind w:firstLine="720"/>
      </w:pPr>
      <w:r>
        <w:t xml:space="preserve">Having found that the </w:t>
      </w:r>
      <w:r w:rsidR="001455FB">
        <w:t>r</w:t>
      </w:r>
      <w:r>
        <w:t xml:space="preserve">espondent does not enjoy high prospects of success </w:t>
      </w:r>
      <w:r w:rsidR="00BD410B">
        <w:t xml:space="preserve">I now turn to the issue of the balance of convenience and potential prejudice to the parties. It is clear in this case that the </w:t>
      </w:r>
      <w:r w:rsidR="001455FB">
        <w:t>applicant</w:t>
      </w:r>
      <w:r w:rsidR="00BD410B">
        <w:t xml:space="preserve"> stands to be prejudiced </w:t>
      </w:r>
      <w:r w:rsidR="007D0703">
        <w:t>severely</w:t>
      </w:r>
      <w:r w:rsidR="00BD410B">
        <w:t xml:space="preserve"> by not receiving remuneration for work the </w:t>
      </w:r>
      <w:r w:rsidR="001455FB">
        <w:t>applicant</w:t>
      </w:r>
      <w:r w:rsidR="00BD410B">
        <w:t xml:space="preserve"> has already done. It is however not apparent how </w:t>
      </w:r>
      <w:r>
        <w:t xml:space="preserve">and why </w:t>
      </w:r>
      <w:r w:rsidR="00BD410B">
        <w:t xml:space="preserve">the </w:t>
      </w:r>
      <w:r w:rsidR="001455FB">
        <w:t>r</w:t>
      </w:r>
      <w:r w:rsidR="00BD410B">
        <w:t>espondent will be severely prejudiced should execution be granted.</w:t>
      </w:r>
      <w:r w:rsidR="00782880">
        <w:t xml:space="preserve"> This aspect was considered by the Labour Court, which is seized with the main appeal. It made the following observation:</w:t>
      </w:r>
    </w:p>
    <w:p w:rsidR="00782880" w:rsidRDefault="00F11694" w:rsidP="00F11694">
      <w:pPr>
        <w:spacing w:after="0" w:line="240" w:lineRule="auto"/>
        <w:ind w:left="720"/>
        <w:rPr>
          <w:sz w:val="22"/>
        </w:rPr>
      </w:pPr>
      <w:r>
        <w:rPr>
          <w:sz w:val="22"/>
        </w:rPr>
        <w:t xml:space="preserve">“I have looked at the two grounds of appeal. They raise one factual issue. Secondly and as submitted by the respondent should the respondent be reinstated the applicant will pay for work done. There is therefore no prejudice to either party. The balance of convenience favours the application be dismissed.” </w:t>
      </w:r>
    </w:p>
    <w:p w:rsidR="00F11694" w:rsidRPr="00782880" w:rsidRDefault="00F11694" w:rsidP="00F11694">
      <w:pPr>
        <w:spacing w:after="0" w:line="240" w:lineRule="auto"/>
        <w:ind w:left="720"/>
        <w:rPr>
          <w:sz w:val="22"/>
        </w:rPr>
      </w:pPr>
    </w:p>
    <w:p w:rsidR="00845CAF" w:rsidRDefault="00845CAF" w:rsidP="00845CAF">
      <w:pPr>
        <w:spacing w:after="0" w:line="360" w:lineRule="auto"/>
        <w:ind w:firstLine="720"/>
      </w:pPr>
      <w:r>
        <w:lastRenderedPageBreak/>
        <w:t>The respondent has the option of giving the applicant work so that he earns his salary and benefits. The balance of convenience therefore favours the granting of the application.</w:t>
      </w:r>
    </w:p>
    <w:p w:rsidR="00845CAF" w:rsidRDefault="00845CAF" w:rsidP="00845CAF">
      <w:pPr>
        <w:spacing w:after="0" w:line="360" w:lineRule="auto"/>
        <w:ind w:left="720"/>
      </w:pPr>
      <w:r>
        <w:t>I will make the following order</w:t>
      </w:r>
      <w:r w:rsidR="00B7424A">
        <w:t>:</w:t>
      </w:r>
    </w:p>
    <w:p w:rsidR="00DA2087" w:rsidRPr="00730D8F" w:rsidRDefault="00DA2087" w:rsidP="00845CAF">
      <w:pPr>
        <w:spacing w:after="0" w:line="360" w:lineRule="auto"/>
        <w:ind w:left="720"/>
      </w:pPr>
    </w:p>
    <w:p w:rsidR="009A1E6C" w:rsidRDefault="009A1E6C" w:rsidP="009A1E6C">
      <w:pPr>
        <w:pStyle w:val="ListParagraph"/>
        <w:numPr>
          <w:ilvl w:val="0"/>
          <w:numId w:val="4"/>
        </w:numPr>
        <w:spacing w:line="360" w:lineRule="auto"/>
      </w:pPr>
      <w:r>
        <w:t xml:space="preserve">Leave be and is hereby granted to the </w:t>
      </w:r>
      <w:r w:rsidR="001455FB">
        <w:t>a</w:t>
      </w:r>
      <w:r>
        <w:t xml:space="preserve">pplicant to execute the judgment granted by the Honourable Court is case number HC 9609/14 pending the determination of the appeal noted by the </w:t>
      </w:r>
      <w:r w:rsidR="001455FB">
        <w:t>r</w:t>
      </w:r>
      <w:r>
        <w:t xml:space="preserve">espondent in case SC 421/15. </w:t>
      </w:r>
    </w:p>
    <w:p w:rsidR="00B177C3" w:rsidRDefault="009A1E6C" w:rsidP="00B177C3">
      <w:pPr>
        <w:pStyle w:val="ListParagraph"/>
        <w:numPr>
          <w:ilvl w:val="0"/>
          <w:numId w:val="4"/>
        </w:numPr>
        <w:spacing w:line="360" w:lineRule="auto"/>
      </w:pPr>
      <w:r>
        <w:t xml:space="preserve">The Respondent pay costs of suit. </w:t>
      </w:r>
    </w:p>
    <w:p w:rsidR="00B177C3" w:rsidRDefault="00B177C3" w:rsidP="00B177C3">
      <w:pPr>
        <w:spacing w:line="360" w:lineRule="auto"/>
      </w:pPr>
    </w:p>
    <w:p w:rsidR="00B177C3" w:rsidRDefault="00B177C3" w:rsidP="00B177C3">
      <w:pPr>
        <w:spacing w:after="0" w:line="240" w:lineRule="auto"/>
      </w:pPr>
    </w:p>
    <w:p w:rsidR="00B177C3" w:rsidRDefault="00B177C3" w:rsidP="00B177C3">
      <w:pPr>
        <w:spacing w:after="0" w:line="240" w:lineRule="auto"/>
      </w:pPr>
      <w:r>
        <w:rPr>
          <w:i/>
        </w:rPr>
        <w:t xml:space="preserve">Chambati </w:t>
      </w:r>
      <w:r w:rsidR="00460945">
        <w:rPr>
          <w:i/>
        </w:rPr>
        <w:t>M</w:t>
      </w:r>
      <w:r>
        <w:rPr>
          <w:i/>
        </w:rPr>
        <w:t>ataka &amp; Makonese Attorneys at Law</w:t>
      </w:r>
      <w:r>
        <w:t>, applicant’s legal practitioners</w:t>
      </w:r>
    </w:p>
    <w:p w:rsidR="001C01E1" w:rsidRPr="001C01E1" w:rsidRDefault="001C01E1" w:rsidP="00B177C3">
      <w:pPr>
        <w:spacing w:after="0" w:line="240" w:lineRule="auto"/>
      </w:pPr>
      <w:r>
        <w:rPr>
          <w:i/>
        </w:rPr>
        <w:t>Matsikidze &amp; Mucheche</w:t>
      </w:r>
      <w:r>
        <w:t xml:space="preserve">, respondent’s legal practitioners </w:t>
      </w:r>
    </w:p>
    <w:p w:rsidR="00B177C3" w:rsidRDefault="00B177C3" w:rsidP="00B177C3">
      <w:pPr>
        <w:spacing w:line="360" w:lineRule="auto"/>
      </w:pPr>
    </w:p>
    <w:p w:rsidR="00B177C3" w:rsidRDefault="00B177C3" w:rsidP="00B177C3">
      <w:pPr>
        <w:spacing w:line="360" w:lineRule="auto"/>
      </w:pPr>
    </w:p>
    <w:p w:rsidR="00B177C3" w:rsidRDefault="00B177C3" w:rsidP="00B177C3">
      <w:pPr>
        <w:spacing w:line="360" w:lineRule="auto"/>
      </w:pPr>
    </w:p>
    <w:sectPr w:rsidR="00B177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F1" w:rsidRDefault="00693DF1" w:rsidP="00CB3B01">
      <w:pPr>
        <w:spacing w:after="0" w:line="240" w:lineRule="auto"/>
      </w:pPr>
      <w:r>
        <w:separator/>
      </w:r>
    </w:p>
  </w:endnote>
  <w:endnote w:type="continuationSeparator" w:id="0">
    <w:p w:rsidR="00693DF1" w:rsidRDefault="00693DF1" w:rsidP="00CB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A0" w:rsidRDefault="00BE4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01" w:rsidRDefault="00CB3B01">
    <w:pPr>
      <w:pStyle w:val="Footer"/>
      <w:jc w:val="right"/>
    </w:pPr>
  </w:p>
  <w:p w:rsidR="00CB3B01" w:rsidRDefault="00CB3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A0" w:rsidRDefault="00BE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F1" w:rsidRDefault="00693DF1" w:rsidP="00CB3B01">
      <w:pPr>
        <w:spacing w:after="0" w:line="240" w:lineRule="auto"/>
      </w:pPr>
      <w:r>
        <w:separator/>
      </w:r>
    </w:p>
  </w:footnote>
  <w:footnote w:type="continuationSeparator" w:id="0">
    <w:p w:rsidR="00693DF1" w:rsidRDefault="00693DF1" w:rsidP="00CB3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A0" w:rsidRDefault="00BE4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355168"/>
      <w:docPartObj>
        <w:docPartGallery w:val="Page Numbers (Top of Page)"/>
        <w:docPartUnique/>
      </w:docPartObj>
    </w:sdtPr>
    <w:sdtEndPr>
      <w:rPr>
        <w:noProof/>
      </w:rPr>
    </w:sdtEndPr>
    <w:sdtContent>
      <w:p w:rsidR="00736B6C" w:rsidRDefault="00736B6C">
        <w:pPr>
          <w:pStyle w:val="Header"/>
          <w:jc w:val="right"/>
          <w:rPr>
            <w:noProof/>
          </w:rPr>
        </w:pPr>
        <w:r>
          <w:fldChar w:fldCharType="begin"/>
        </w:r>
        <w:r>
          <w:instrText xml:space="preserve"> PAGE   \* MERGEFORMAT </w:instrText>
        </w:r>
        <w:r>
          <w:fldChar w:fldCharType="separate"/>
        </w:r>
        <w:r w:rsidR="00044F04">
          <w:rPr>
            <w:noProof/>
          </w:rPr>
          <w:t>1</w:t>
        </w:r>
        <w:r>
          <w:rPr>
            <w:noProof/>
          </w:rPr>
          <w:fldChar w:fldCharType="end"/>
        </w:r>
      </w:p>
      <w:p w:rsidR="00736B6C" w:rsidRDefault="00736B6C">
        <w:pPr>
          <w:pStyle w:val="Header"/>
          <w:jc w:val="right"/>
          <w:rPr>
            <w:noProof/>
          </w:rPr>
        </w:pPr>
        <w:r>
          <w:rPr>
            <w:noProof/>
          </w:rPr>
          <w:t>HH</w:t>
        </w:r>
        <w:r w:rsidR="00BE42A0">
          <w:rPr>
            <w:noProof/>
          </w:rPr>
          <w:t xml:space="preserve"> </w:t>
        </w:r>
        <w:r w:rsidR="004C5DDC">
          <w:rPr>
            <w:noProof/>
          </w:rPr>
          <w:t>13-16</w:t>
        </w:r>
      </w:p>
      <w:p w:rsidR="00736B6C" w:rsidRDefault="00736B6C">
        <w:pPr>
          <w:pStyle w:val="Header"/>
          <w:jc w:val="right"/>
        </w:pPr>
        <w:r>
          <w:rPr>
            <w:noProof/>
          </w:rPr>
          <w:t>HC 7372/15</w:t>
        </w:r>
      </w:p>
    </w:sdtContent>
  </w:sdt>
  <w:p w:rsidR="00736B6C" w:rsidRDefault="00736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A0" w:rsidRDefault="00BE4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9A9"/>
    <w:multiLevelType w:val="hybridMultilevel"/>
    <w:tmpl w:val="9E9C5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1057A"/>
    <w:multiLevelType w:val="hybridMultilevel"/>
    <w:tmpl w:val="34D0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81160"/>
    <w:multiLevelType w:val="hybridMultilevel"/>
    <w:tmpl w:val="6A8C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9D0F42"/>
    <w:multiLevelType w:val="hybridMultilevel"/>
    <w:tmpl w:val="01160D2E"/>
    <w:lvl w:ilvl="0" w:tplc="713EEE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0C5816"/>
    <w:multiLevelType w:val="hybridMultilevel"/>
    <w:tmpl w:val="725A7F54"/>
    <w:lvl w:ilvl="0" w:tplc="EB26C9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186457"/>
    <w:multiLevelType w:val="hybridMultilevel"/>
    <w:tmpl w:val="3812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10"/>
    <w:rsid w:val="00044F04"/>
    <w:rsid w:val="000454CF"/>
    <w:rsid w:val="000C3976"/>
    <w:rsid w:val="001455FB"/>
    <w:rsid w:val="001C01E1"/>
    <w:rsid w:val="001E7ACB"/>
    <w:rsid w:val="00224BF6"/>
    <w:rsid w:val="00237CE6"/>
    <w:rsid w:val="00265B4F"/>
    <w:rsid w:val="00313E0D"/>
    <w:rsid w:val="003E4D7D"/>
    <w:rsid w:val="00416160"/>
    <w:rsid w:val="004540C6"/>
    <w:rsid w:val="00460945"/>
    <w:rsid w:val="00474DA0"/>
    <w:rsid w:val="004C5DDC"/>
    <w:rsid w:val="004D47D4"/>
    <w:rsid w:val="004D7C76"/>
    <w:rsid w:val="00506CD8"/>
    <w:rsid w:val="005542D3"/>
    <w:rsid w:val="00586172"/>
    <w:rsid w:val="005B1E25"/>
    <w:rsid w:val="005D5898"/>
    <w:rsid w:val="005F0B4D"/>
    <w:rsid w:val="00647314"/>
    <w:rsid w:val="00693DF1"/>
    <w:rsid w:val="00730D8F"/>
    <w:rsid w:val="00736B6C"/>
    <w:rsid w:val="00742EF9"/>
    <w:rsid w:val="00782880"/>
    <w:rsid w:val="007D0703"/>
    <w:rsid w:val="008027FD"/>
    <w:rsid w:val="00811DD3"/>
    <w:rsid w:val="00845CAF"/>
    <w:rsid w:val="008857CE"/>
    <w:rsid w:val="008A7811"/>
    <w:rsid w:val="009A1E6C"/>
    <w:rsid w:val="009A36F2"/>
    <w:rsid w:val="009B319B"/>
    <w:rsid w:val="00A8540C"/>
    <w:rsid w:val="00AF2C22"/>
    <w:rsid w:val="00B177C3"/>
    <w:rsid w:val="00B22759"/>
    <w:rsid w:val="00B71A80"/>
    <w:rsid w:val="00B7424A"/>
    <w:rsid w:val="00BA47B2"/>
    <w:rsid w:val="00BD410B"/>
    <w:rsid w:val="00BE42A0"/>
    <w:rsid w:val="00C74A2B"/>
    <w:rsid w:val="00CB3B01"/>
    <w:rsid w:val="00D44B30"/>
    <w:rsid w:val="00D57B9D"/>
    <w:rsid w:val="00D6399B"/>
    <w:rsid w:val="00DA2087"/>
    <w:rsid w:val="00DF07F5"/>
    <w:rsid w:val="00E45698"/>
    <w:rsid w:val="00E946AD"/>
    <w:rsid w:val="00EC2E10"/>
    <w:rsid w:val="00F11694"/>
    <w:rsid w:val="00F14B65"/>
    <w:rsid w:val="00F20834"/>
    <w:rsid w:val="00F779A1"/>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01"/>
  </w:style>
  <w:style w:type="paragraph" w:styleId="Footer">
    <w:name w:val="footer"/>
    <w:basedOn w:val="Normal"/>
    <w:link w:val="FooterChar"/>
    <w:uiPriority w:val="99"/>
    <w:unhideWhenUsed/>
    <w:rsid w:val="00CB3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01"/>
  </w:style>
  <w:style w:type="paragraph" w:styleId="ListParagraph">
    <w:name w:val="List Paragraph"/>
    <w:basedOn w:val="Normal"/>
    <w:uiPriority w:val="34"/>
    <w:qFormat/>
    <w:rsid w:val="00474DA0"/>
    <w:pPr>
      <w:ind w:left="720"/>
      <w:contextualSpacing/>
    </w:pPr>
  </w:style>
  <w:style w:type="paragraph" w:styleId="BalloonText">
    <w:name w:val="Balloon Text"/>
    <w:basedOn w:val="Normal"/>
    <w:link w:val="BalloonTextChar"/>
    <w:uiPriority w:val="99"/>
    <w:semiHidden/>
    <w:unhideWhenUsed/>
    <w:rsid w:val="0023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01"/>
  </w:style>
  <w:style w:type="paragraph" w:styleId="Footer">
    <w:name w:val="footer"/>
    <w:basedOn w:val="Normal"/>
    <w:link w:val="FooterChar"/>
    <w:uiPriority w:val="99"/>
    <w:unhideWhenUsed/>
    <w:rsid w:val="00CB3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01"/>
  </w:style>
  <w:style w:type="paragraph" w:styleId="ListParagraph">
    <w:name w:val="List Paragraph"/>
    <w:basedOn w:val="Normal"/>
    <w:uiPriority w:val="34"/>
    <w:qFormat/>
    <w:rsid w:val="00474DA0"/>
    <w:pPr>
      <w:ind w:left="720"/>
      <w:contextualSpacing/>
    </w:pPr>
  </w:style>
  <w:style w:type="paragraph" w:styleId="BalloonText">
    <w:name w:val="Balloon Text"/>
    <w:basedOn w:val="Normal"/>
    <w:link w:val="BalloonTextChar"/>
    <w:uiPriority w:val="99"/>
    <w:semiHidden/>
    <w:unhideWhenUsed/>
    <w:rsid w:val="0023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Tafadzwa Makoni</dc:creator>
  <cp:lastModifiedBy>Judges' Secretary</cp:lastModifiedBy>
  <cp:revision>3</cp:revision>
  <cp:lastPrinted>2016-01-06T06:52:00Z</cp:lastPrinted>
  <dcterms:created xsi:type="dcterms:W3CDTF">2016-01-08T09:14:00Z</dcterms:created>
  <dcterms:modified xsi:type="dcterms:W3CDTF">2016-01-08T09:14:00Z</dcterms:modified>
</cp:coreProperties>
</file>