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DBE" w:rsidRDefault="00000DBE" w:rsidP="00000DB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STANLEY KASUKUWERE </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00DBE" w:rsidRPr="00CF6BB0"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BATSIRAI MARTHA BAKARE</w:t>
      </w:r>
    </w:p>
    <w:p w:rsidR="00000DBE" w:rsidRPr="00CF6BB0" w:rsidRDefault="00000DBE" w:rsidP="00000DBE">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MUTYAMBIZI</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MIDROC HOLDINGS (Pvt) LTD</w:t>
      </w:r>
    </w:p>
    <w:p w:rsidR="00000DBE" w:rsidRDefault="00000DBE" w:rsidP="00000DBE">
      <w:pPr>
        <w:spacing w:after="0" w:line="240" w:lineRule="auto"/>
        <w:jc w:val="both"/>
        <w:rPr>
          <w:rFonts w:ascii="Times New Roman" w:hAnsi="Times New Roman" w:cs="Times New Roman"/>
          <w:sz w:val="24"/>
          <w:szCs w:val="24"/>
        </w:rPr>
      </w:pPr>
    </w:p>
    <w:p w:rsidR="00000DBE" w:rsidRDefault="00000DBE" w:rsidP="00000DBE">
      <w:pPr>
        <w:spacing w:after="0" w:line="240" w:lineRule="auto"/>
        <w:jc w:val="both"/>
        <w:rPr>
          <w:rFonts w:ascii="Times New Roman" w:hAnsi="Times New Roman" w:cs="Times New Roman"/>
          <w:sz w:val="24"/>
          <w:szCs w:val="24"/>
        </w:rPr>
      </w:pP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BACHI-MZAWAZI J</w:t>
      </w:r>
    </w:p>
    <w:p w:rsidR="00000DBE" w:rsidRDefault="00000DBE" w:rsidP="00000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September, 12 October 2022</w:t>
      </w:r>
    </w:p>
    <w:p w:rsidR="00000DBE" w:rsidRPr="00CF6BB0" w:rsidRDefault="00000DBE" w:rsidP="00000DBE">
      <w:pPr>
        <w:spacing w:after="0" w:line="240" w:lineRule="auto"/>
        <w:jc w:val="both"/>
        <w:rPr>
          <w:rFonts w:ascii="Times New Roman" w:hAnsi="Times New Roman" w:cs="Times New Roman"/>
          <w:sz w:val="24"/>
          <w:szCs w:val="24"/>
        </w:rPr>
      </w:pPr>
    </w:p>
    <w:p w:rsidR="00000DBE" w:rsidRDefault="00000DBE" w:rsidP="00000DBE">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Applica</w:t>
      </w:r>
      <w:r w:rsidR="00182A72">
        <w:rPr>
          <w:rFonts w:ascii="Times New Roman" w:hAnsi="Times New Roman" w:cs="Times New Roman"/>
          <w:b/>
          <w:sz w:val="24"/>
          <w:szCs w:val="24"/>
          <w:lang w:val="en-ZW"/>
        </w:rPr>
        <w:t>tion</w:t>
      </w:r>
    </w:p>
    <w:p w:rsidR="00000DBE" w:rsidRDefault="00000DBE" w:rsidP="00000DBE">
      <w:pPr>
        <w:spacing w:after="0" w:line="240" w:lineRule="auto"/>
        <w:jc w:val="both"/>
        <w:rPr>
          <w:rFonts w:ascii="Times New Roman" w:hAnsi="Times New Roman" w:cs="Times New Roman"/>
          <w:sz w:val="24"/>
          <w:szCs w:val="24"/>
          <w:lang w:val="en-ZW"/>
        </w:rPr>
      </w:pPr>
      <w:r w:rsidRPr="00000DBE">
        <w:rPr>
          <w:rFonts w:ascii="Times New Roman" w:hAnsi="Times New Roman" w:cs="Times New Roman"/>
          <w:sz w:val="24"/>
          <w:szCs w:val="24"/>
          <w:lang w:val="en-ZW"/>
        </w:rPr>
        <w:t>Mr</w:t>
      </w:r>
      <w:r>
        <w:rPr>
          <w:rFonts w:ascii="Times New Roman" w:hAnsi="Times New Roman" w:cs="Times New Roman"/>
          <w:i/>
          <w:sz w:val="24"/>
          <w:szCs w:val="24"/>
          <w:lang w:val="en-ZW"/>
        </w:rPr>
        <w:t xml:space="preserve"> T Sengwayo,</w:t>
      </w:r>
      <w:r>
        <w:rPr>
          <w:rFonts w:ascii="Times New Roman" w:hAnsi="Times New Roman" w:cs="Times New Roman"/>
          <w:sz w:val="24"/>
          <w:szCs w:val="24"/>
          <w:lang w:val="en-ZW"/>
        </w:rPr>
        <w:t xml:space="preserve"> for the applicant</w:t>
      </w:r>
    </w:p>
    <w:p w:rsidR="00000DBE" w:rsidRDefault="00000DBE" w:rsidP="00000DBE">
      <w:pPr>
        <w:spacing w:after="0" w:line="240" w:lineRule="auto"/>
        <w:jc w:val="both"/>
        <w:rPr>
          <w:rFonts w:ascii="Times New Roman" w:hAnsi="Times New Roman" w:cs="Times New Roman"/>
          <w:sz w:val="24"/>
          <w:szCs w:val="24"/>
          <w:lang w:val="en-ZW"/>
        </w:rPr>
      </w:pPr>
      <w:r w:rsidRPr="00000DBE">
        <w:rPr>
          <w:rFonts w:ascii="Times New Roman" w:hAnsi="Times New Roman" w:cs="Times New Roman"/>
          <w:sz w:val="24"/>
          <w:szCs w:val="24"/>
          <w:lang w:val="en-ZW"/>
        </w:rPr>
        <w:t>Mr</w:t>
      </w:r>
      <w:r>
        <w:rPr>
          <w:rFonts w:ascii="Times New Roman" w:hAnsi="Times New Roman" w:cs="Times New Roman"/>
          <w:i/>
          <w:sz w:val="24"/>
          <w:szCs w:val="24"/>
          <w:lang w:val="en-ZW"/>
        </w:rPr>
        <w:t xml:space="preserve"> A Chimhofu,</w:t>
      </w:r>
      <w:r>
        <w:rPr>
          <w:rFonts w:ascii="Times New Roman" w:hAnsi="Times New Roman" w:cs="Times New Roman"/>
          <w:sz w:val="24"/>
          <w:szCs w:val="24"/>
          <w:lang w:val="en-ZW"/>
        </w:rPr>
        <w:t xml:space="preserve"> for the 1</w:t>
      </w:r>
      <w:r w:rsidRPr="00000DBE">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and 2</w:t>
      </w:r>
      <w:r w:rsidRPr="00000DBE">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respondents</w:t>
      </w:r>
    </w:p>
    <w:p w:rsidR="00000DBE" w:rsidRDefault="00000DBE" w:rsidP="00000DBE"/>
    <w:p w:rsidR="00000DBE" w:rsidRPr="00000DBE" w:rsidRDefault="00000DBE" w:rsidP="008E4F06">
      <w:pPr>
        <w:spacing w:after="0" w:line="360" w:lineRule="auto"/>
        <w:ind w:firstLine="720"/>
        <w:jc w:val="both"/>
        <w:rPr>
          <w:rFonts w:ascii="Times New Roman" w:hAnsi="Times New Roman" w:cs="Times New Roman"/>
          <w:sz w:val="24"/>
          <w:szCs w:val="24"/>
        </w:rPr>
      </w:pPr>
      <w:r w:rsidRPr="00000DBE">
        <w:rPr>
          <w:rFonts w:ascii="Times New Roman" w:hAnsi="Times New Roman" w:cs="Times New Roman"/>
          <w:b/>
          <w:sz w:val="24"/>
          <w:szCs w:val="24"/>
        </w:rPr>
        <w:t>BACHI-MZAWAZI J</w:t>
      </w:r>
      <w:r>
        <w:rPr>
          <w:rFonts w:ascii="Times New Roman" w:hAnsi="Times New Roman" w:cs="Times New Roman"/>
          <w:sz w:val="24"/>
          <w:szCs w:val="24"/>
        </w:rPr>
        <w:t xml:space="preserve">: This is an application </w:t>
      </w:r>
      <w:r w:rsidR="000D516D">
        <w:rPr>
          <w:rFonts w:ascii="Times New Roman" w:hAnsi="Times New Roman" w:cs="Times New Roman"/>
          <w:sz w:val="24"/>
          <w:szCs w:val="24"/>
        </w:rPr>
        <w:t>for</w:t>
      </w:r>
      <w:r>
        <w:rPr>
          <w:rFonts w:ascii="Times New Roman" w:hAnsi="Times New Roman" w:cs="Times New Roman"/>
          <w:sz w:val="24"/>
          <w:szCs w:val="24"/>
        </w:rPr>
        <w:t xml:space="preserve"> leave to appeal against the decision of this court of 7 July 2021 in case HC 4469/20, judgment HH 352/21.</w:t>
      </w:r>
    </w:p>
    <w:p w:rsidR="00760958" w:rsidRDefault="00000DBE" w:rsidP="008E4F06">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After hearing arguments from both parties I dismissed the application </w:t>
      </w:r>
      <w:r w:rsidRPr="00000DBE">
        <w:rPr>
          <w:rFonts w:ascii="Times New Roman" w:hAnsi="Times New Roman" w:cs="Times New Roman"/>
          <w:i/>
          <w:sz w:val="24"/>
          <w:szCs w:val="24"/>
        </w:rPr>
        <w:t>ex tempore</w:t>
      </w:r>
      <w:r>
        <w:rPr>
          <w:rFonts w:ascii="Times New Roman" w:hAnsi="Times New Roman" w:cs="Times New Roman"/>
          <w:sz w:val="24"/>
          <w:szCs w:val="24"/>
        </w:rPr>
        <w:t>.</w:t>
      </w:r>
    </w:p>
    <w:p w:rsidR="00000DBE" w:rsidRDefault="00000DBE"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Dissatisfied with the outcome, the applicants requested for reasons </w:t>
      </w:r>
      <w:r w:rsidR="00965644">
        <w:rPr>
          <w:rFonts w:ascii="Times New Roman" w:hAnsi="Times New Roman" w:cs="Times New Roman"/>
          <w:sz w:val="24"/>
          <w:szCs w:val="24"/>
        </w:rPr>
        <w:t>for</w:t>
      </w:r>
      <w:r>
        <w:rPr>
          <w:rFonts w:ascii="Times New Roman" w:hAnsi="Times New Roman" w:cs="Times New Roman"/>
          <w:sz w:val="24"/>
          <w:szCs w:val="24"/>
        </w:rPr>
        <w:t xml:space="preserve"> judgment.  The reasons are detailed herein.</w:t>
      </w:r>
      <w:r w:rsidR="00561EAA">
        <w:rPr>
          <w:rFonts w:ascii="Times New Roman" w:hAnsi="Times New Roman" w:cs="Times New Roman"/>
          <w:sz w:val="24"/>
          <w:szCs w:val="24"/>
        </w:rPr>
        <w:t xml:space="preserve">  </w:t>
      </w:r>
      <w:r>
        <w:rPr>
          <w:rFonts w:ascii="Times New Roman" w:hAnsi="Times New Roman" w:cs="Times New Roman"/>
          <w:sz w:val="24"/>
          <w:szCs w:val="24"/>
        </w:rPr>
        <w:t>These are be</w:t>
      </w:r>
      <w:r w:rsidR="00965644">
        <w:rPr>
          <w:rFonts w:ascii="Times New Roman" w:hAnsi="Times New Roman" w:cs="Times New Roman"/>
          <w:sz w:val="24"/>
          <w:szCs w:val="24"/>
        </w:rPr>
        <w:t>st appreciated within the contex</w:t>
      </w:r>
      <w:r>
        <w:rPr>
          <w:rFonts w:ascii="Times New Roman" w:hAnsi="Times New Roman" w:cs="Times New Roman"/>
          <w:sz w:val="24"/>
          <w:szCs w:val="24"/>
        </w:rPr>
        <w:t>t of a brief background of the facts.</w:t>
      </w:r>
    </w:p>
    <w:p w:rsidR="00000DBE" w:rsidRDefault="00965644"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filed two applications</w:t>
      </w:r>
      <w:r w:rsidR="00FF6BD0">
        <w:rPr>
          <w:rFonts w:ascii="Times New Roman" w:hAnsi="Times New Roman" w:cs="Times New Roman"/>
          <w:sz w:val="24"/>
          <w:szCs w:val="24"/>
        </w:rPr>
        <w:t>, HC 1230/19 and HC 3457/19</w:t>
      </w:r>
      <w:r w:rsidR="0026236C">
        <w:rPr>
          <w:rFonts w:ascii="Times New Roman" w:hAnsi="Times New Roman" w:cs="Times New Roman"/>
          <w:sz w:val="24"/>
          <w:szCs w:val="24"/>
        </w:rPr>
        <w:t>,</w:t>
      </w:r>
      <w:r w:rsidR="00FF6BD0">
        <w:rPr>
          <w:rFonts w:ascii="Times New Roman" w:hAnsi="Times New Roman" w:cs="Times New Roman"/>
          <w:sz w:val="24"/>
          <w:szCs w:val="24"/>
        </w:rPr>
        <w:t xml:space="preserve"> with this court which they did not persue until the respondent filed a chamber application for their dismissal for want of prosecution under case HC 4469/20.  On 19 March 2021</w:t>
      </w:r>
      <w:r w:rsidR="00561EAA">
        <w:rPr>
          <w:rFonts w:ascii="Times New Roman" w:hAnsi="Times New Roman" w:cs="Times New Roman"/>
          <w:sz w:val="24"/>
          <w:szCs w:val="24"/>
        </w:rPr>
        <w:t>,</w:t>
      </w:r>
      <w:r w:rsidR="00FF6BD0">
        <w:rPr>
          <w:rFonts w:ascii="Times New Roman" w:hAnsi="Times New Roman" w:cs="Times New Roman"/>
          <w:sz w:val="24"/>
          <w:szCs w:val="24"/>
        </w:rPr>
        <w:t xml:space="preserve"> the day of the hearing of the initial chamber application, applicants persuaded the court that they be given more time to set down their two matters.</w:t>
      </w:r>
    </w:p>
    <w:p w:rsidR="00FF6BD0" w:rsidRDefault="00157A86"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presiding judicial officer granted their request and by consent from the other party directed applicants to re-set the matters HC 1230/19 and HC 345/19 within the next </w:t>
      </w:r>
      <w:r w:rsidR="001C11D5">
        <w:rPr>
          <w:rFonts w:ascii="Times New Roman" w:hAnsi="Times New Roman" w:cs="Times New Roman"/>
          <w:sz w:val="24"/>
          <w:szCs w:val="24"/>
        </w:rPr>
        <w:t>14 days from the date of the directive.  A further term of the court’s directive was</w:t>
      </w:r>
      <w:r w:rsidR="00965644">
        <w:rPr>
          <w:rFonts w:ascii="Times New Roman" w:hAnsi="Times New Roman" w:cs="Times New Roman"/>
          <w:sz w:val="24"/>
          <w:szCs w:val="24"/>
        </w:rPr>
        <w:t xml:space="preserve"> to th</w:t>
      </w:r>
      <w:r w:rsidR="001C11D5">
        <w:rPr>
          <w:rFonts w:ascii="Times New Roman" w:hAnsi="Times New Roman" w:cs="Times New Roman"/>
          <w:sz w:val="24"/>
          <w:szCs w:val="24"/>
        </w:rPr>
        <w:t xml:space="preserve">e effect that the respondents were to reset their </w:t>
      </w:r>
      <w:r w:rsidR="00965644">
        <w:rPr>
          <w:rFonts w:ascii="Times New Roman" w:hAnsi="Times New Roman" w:cs="Times New Roman"/>
          <w:sz w:val="24"/>
          <w:szCs w:val="24"/>
        </w:rPr>
        <w:t>application for dismissal for wa</w:t>
      </w:r>
      <w:r w:rsidR="001C11D5">
        <w:rPr>
          <w:rFonts w:ascii="Times New Roman" w:hAnsi="Times New Roman" w:cs="Times New Roman"/>
          <w:sz w:val="24"/>
          <w:szCs w:val="24"/>
        </w:rPr>
        <w:t>nt of prosecution, in the event the applicants failed to comply with the 14 day set down directive.</w:t>
      </w:r>
      <w:r>
        <w:rPr>
          <w:rFonts w:ascii="Times New Roman" w:hAnsi="Times New Roman" w:cs="Times New Roman"/>
          <w:sz w:val="24"/>
          <w:szCs w:val="24"/>
        </w:rPr>
        <w:t xml:space="preserve"> </w:t>
      </w:r>
    </w:p>
    <w:p w:rsidR="001C11D5" w:rsidRDefault="001C11D5"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w:t>
      </w:r>
      <w:r w:rsidR="008E4F06">
        <w:rPr>
          <w:rFonts w:ascii="Times New Roman" w:hAnsi="Times New Roman" w:cs="Times New Roman"/>
          <w:sz w:val="24"/>
          <w:szCs w:val="24"/>
        </w:rPr>
        <w:t xml:space="preserve">2 </w:t>
      </w:r>
      <w:r>
        <w:rPr>
          <w:rFonts w:ascii="Times New Roman" w:hAnsi="Times New Roman" w:cs="Times New Roman"/>
          <w:sz w:val="24"/>
          <w:szCs w:val="24"/>
        </w:rPr>
        <w:t>July 2021, the application for dismissal was re-set by the respondent, being apparent that the applicants had not set its two matter</w:t>
      </w:r>
      <w:r w:rsidR="00965644">
        <w:rPr>
          <w:rFonts w:ascii="Times New Roman" w:hAnsi="Times New Roman" w:cs="Times New Roman"/>
          <w:sz w:val="24"/>
          <w:szCs w:val="24"/>
        </w:rPr>
        <w:t>s</w:t>
      </w:r>
      <w:r>
        <w:rPr>
          <w:rFonts w:ascii="Times New Roman" w:hAnsi="Times New Roman" w:cs="Times New Roman"/>
          <w:sz w:val="24"/>
          <w:szCs w:val="24"/>
        </w:rPr>
        <w:t xml:space="preserve"> in contention</w:t>
      </w:r>
      <w:r w:rsidR="00965644">
        <w:rPr>
          <w:rFonts w:ascii="Times New Roman" w:hAnsi="Times New Roman" w:cs="Times New Roman"/>
          <w:sz w:val="24"/>
          <w:szCs w:val="24"/>
        </w:rPr>
        <w:t>,</w:t>
      </w:r>
      <w:r>
        <w:rPr>
          <w:rFonts w:ascii="Times New Roman" w:hAnsi="Times New Roman" w:cs="Times New Roman"/>
          <w:sz w:val="24"/>
          <w:szCs w:val="24"/>
        </w:rPr>
        <w:t xml:space="preserve"> within the time frame stipulated by the court’s directive mentioned above.</w:t>
      </w:r>
    </w:p>
    <w:p w:rsidR="001C11D5" w:rsidRDefault="00D833D0"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undisputed that</w:t>
      </w:r>
      <w:r w:rsidR="00965644">
        <w:rPr>
          <w:rFonts w:ascii="Times New Roman" w:hAnsi="Times New Roman" w:cs="Times New Roman"/>
          <w:sz w:val="24"/>
          <w:szCs w:val="24"/>
        </w:rPr>
        <w:t>,</w:t>
      </w:r>
      <w:r>
        <w:rPr>
          <w:rFonts w:ascii="Times New Roman" w:hAnsi="Times New Roman" w:cs="Times New Roman"/>
          <w:sz w:val="24"/>
          <w:szCs w:val="24"/>
        </w:rPr>
        <w:t xml:space="preserve"> the notice of the above set down was served to the applicants.  They in turn, on 29 June 2021 filed notices of withdrawal of the matters which where the subject of the matter which had been set down for 2 July 2021.  Apparently</w:t>
      </w:r>
      <w:r w:rsidR="00965644">
        <w:rPr>
          <w:rFonts w:ascii="Times New Roman" w:hAnsi="Times New Roman" w:cs="Times New Roman"/>
          <w:sz w:val="24"/>
          <w:szCs w:val="24"/>
        </w:rPr>
        <w:t>,</w:t>
      </w:r>
      <w:r>
        <w:rPr>
          <w:rFonts w:ascii="Times New Roman" w:hAnsi="Times New Roman" w:cs="Times New Roman"/>
          <w:sz w:val="24"/>
          <w:szCs w:val="24"/>
        </w:rPr>
        <w:t xml:space="preserve"> this was three days before the hearing date of case HC 4469/20.</w:t>
      </w:r>
    </w:p>
    <w:p w:rsidR="00D833D0" w:rsidRDefault="00D833D0"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on the set down date, the trial court went on </w:t>
      </w:r>
      <w:r w:rsidR="00965644">
        <w:rPr>
          <w:rFonts w:ascii="Times New Roman" w:hAnsi="Times New Roman" w:cs="Times New Roman"/>
          <w:sz w:val="24"/>
          <w:szCs w:val="24"/>
        </w:rPr>
        <w:t xml:space="preserve">to </w:t>
      </w:r>
      <w:r>
        <w:rPr>
          <w:rFonts w:ascii="Times New Roman" w:hAnsi="Times New Roman" w:cs="Times New Roman"/>
          <w:sz w:val="24"/>
          <w:szCs w:val="24"/>
        </w:rPr>
        <w:t>disregard the notice of withdrawals and dismissed both the matters.</w:t>
      </w:r>
    </w:p>
    <w:p w:rsidR="00D833D0" w:rsidRDefault="00D833D0"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reasoning of the court is that</w:t>
      </w:r>
      <w:r w:rsidR="00965644">
        <w:rPr>
          <w:rFonts w:ascii="Times New Roman" w:hAnsi="Times New Roman" w:cs="Times New Roman"/>
          <w:sz w:val="24"/>
          <w:szCs w:val="24"/>
        </w:rPr>
        <w:t>,</w:t>
      </w:r>
      <w:r>
        <w:rPr>
          <w:rFonts w:ascii="Times New Roman" w:hAnsi="Times New Roman" w:cs="Times New Roman"/>
          <w:sz w:val="24"/>
          <w:szCs w:val="24"/>
        </w:rPr>
        <w:t xml:space="preserve"> the two matters</w:t>
      </w:r>
      <w:r w:rsidR="00561EAA">
        <w:rPr>
          <w:rFonts w:ascii="Times New Roman" w:hAnsi="Times New Roman" w:cs="Times New Roman"/>
          <w:sz w:val="24"/>
          <w:szCs w:val="24"/>
        </w:rPr>
        <w:t>,</w:t>
      </w:r>
      <w:r>
        <w:rPr>
          <w:rFonts w:ascii="Times New Roman" w:hAnsi="Times New Roman" w:cs="Times New Roman"/>
          <w:sz w:val="24"/>
          <w:szCs w:val="24"/>
        </w:rPr>
        <w:t xml:space="preserve"> </w:t>
      </w:r>
      <w:r w:rsidR="009A2CA3">
        <w:rPr>
          <w:rFonts w:ascii="Times New Roman" w:hAnsi="Times New Roman" w:cs="Times New Roman"/>
          <w:sz w:val="24"/>
          <w:szCs w:val="24"/>
        </w:rPr>
        <w:t>purportedly</w:t>
      </w:r>
      <w:r>
        <w:rPr>
          <w:rFonts w:ascii="Times New Roman" w:hAnsi="Times New Roman" w:cs="Times New Roman"/>
          <w:sz w:val="24"/>
          <w:szCs w:val="24"/>
        </w:rPr>
        <w:t xml:space="preserve"> withdrawn by the notices of withdrawal</w:t>
      </w:r>
      <w:r w:rsidR="00965644">
        <w:rPr>
          <w:rFonts w:ascii="Times New Roman" w:hAnsi="Times New Roman" w:cs="Times New Roman"/>
          <w:sz w:val="24"/>
          <w:szCs w:val="24"/>
        </w:rPr>
        <w:t>,</w:t>
      </w:r>
      <w:r>
        <w:rPr>
          <w:rFonts w:ascii="Times New Roman" w:hAnsi="Times New Roman" w:cs="Times New Roman"/>
          <w:sz w:val="24"/>
          <w:szCs w:val="24"/>
        </w:rPr>
        <w:t xml:space="preserve"> </w:t>
      </w:r>
      <w:r w:rsidR="009A2CA3">
        <w:rPr>
          <w:rFonts w:ascii="Times New Roman" w:hAnsi="Times New Roman" w:cs="Times New Roman"/>
          <w:sz w:val="24"/>
          <w:szCs w:val="24"/>
        </w:rPr>
        <w:t>where</w:t>
      </w:r>
      <w:r>
        <w:rPr>
          <w:rFonts w:ascii="Times New Roman" w:hAnsi="Times New Roman" w:cs="Times New Roman"/>
          <w:sz w:val="24"/>
          <w:szCs w:val="24"/>
        </w:rPr>
        <w:t xml:space="preserve"> not</w:t>
      </w:r>
      <w:r w:rsidR="00BA5B0D">
        <w:rPr>
          <w:rFonts w:ascii="Times New Roman" w:hAnsi="Times New Roman" w:cs="Times New Roman"/>
          <w:sz w:val="24"/>
          <w:szCs w:val="24"/>
        </w:rPr>
        <w:t xml:space="preserve"> severable from the </w:t>
      </w:r>
      <w:r w:rsidR="00965644">
        <w:rPr>
          <w:rFonts w:ascii="Times New Roman" w:hAnsi="Times New Roman" w:cs="Times New Roman"/>
          <w:sz w:val="24"/>
          <w:szCs w:val="24"/>
        </w:rPr>
        <w:t>application for dismissal for wa</w:t>
      </w:r>
      <w:r w:rsidR="00BA5B0D">
        <w:rPr>
          <w:rFonts w:ascii="Times New Roman" w:hAnsi="Times New Roman" w:cs="Times New Roman"/>
          <w:sz w:val="24"/>
          <w:szCs w:val="24"/>
        </w:rPr>
        <w:t>nt of</w:t>
      </w:r>
      <w:r w:rsidR="00965644">
        <w:rPr>
          <w:rFonts w:ascii="Times New Roman" w:hAnsi="Times New Roman" w:cs="Times New Roman"/>
          <w:sz w:val="24"/>
          <w:szCs w:val="24"/>
        </w:rPr>
        <w:t xml:space="preserve"> prosecution.  This wa</w:t>
      </w:r>
      <w:r w:rsidR="00BA5B0D">
        <w:rPr>
          <w:rFonts w:ascii="Times New Roman" w:hAnsi="Times New Roman" w:cs="Times New Roman"/>
          <w:sz w:val="24"/>
          <w:szCs w:val="24"/>
        </w:rPr>
        <w:t>s so</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for the fact that there would not have been an application for dismissal</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if there was no application to dismiss.  On that basis the court concluded that</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the notice of withdrawal could not withdraw a set down matter</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without the consent of the other party or leave of the court to do so.  The court further reasoned that</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the set down of case HC 4469/20</w:t>
      </w:r>
      <w:r w:rsidR="00965644">
        <w:rPr>
          <w:rFonts w:ascii="Times New Roman" w:hAnsi="Times New Roman" w:cs="Times New Roman"/>
          <w:sz w:val="24"/>
          <w:szCs w:val="24"/>
        </w:rPr>
        <w:t>,</w:t>
      </w:r>
      <w:r w:rsidR="00BA5B0D">
        <w:rPr>
          <w:rFonts w:ascii="Times New Roman" w:hAnsi="Times New Roman" w:cs="Times New Roman"/>
          <w:sz w:val="24"/>
          <w:szCs w:val="24"/>
        </w:rPr>
        <w:t xml:space="preserve"> meant the set down of the other two cases HC 1230/19 and HC 3437/19.</w:t>
      </w:r>
    </w:p>
    <w:p w:rsidR="00BA5B0D" w:rsidRDefault="00BA5B0D"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ruling of the court in case HC 4469/20 was delivered in motion court and the </w:t>
      </w:r>
      <w:r w:rsidR="00235FE0">
        <w:rPr>
          <w:rFonts w:ascii="Times New Roman" w:hAnsi="Times New Roman" w:cs="Times New Roman"/>
          <w:sz w:val="24"/>
          <w:szCs w:val="24"/>
        </w:rPr>
        <w:t>applicants submit that they could therefore</w:t>
      </w:r>
      <w:r w:rsidR="00965644">
        <w:rPr>
          <w:rFonts w:ascii="Times New Roman" w:hAnsi="Times New Roman" w:cs="Times New Roman"/>
          <w:sz w:val="24"/>
          <w:szCs w:val="24"/>
        </w:rPr>
        <w:t xml:space="preserve"> not</w:t>
      </w:r>
      <w:r w:rsidR="00235FE0">
        <w:rPr>
          <w:rFonts w:ascii="Times New Roman" w:hAnsi="Times New Roman" w:cs="Times New Roman"/>
          <w:sz w:val="24"/>
          <w:szCs w:val="24"/>
        </w:rPr>
        <w:t xml:space="preserve"> launch their application for leave to appeal against that judgment.</w:t>
      </w:r>
    </w:p>
    <w:p w:rsidR="00235FE0" w:rsidRDefault="00235FE0"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Unhappy with the turn of events, the applicants approached this court applying for leave to appeal against the said judgment.  The respondents opposed the application.</w:t>
      </w:r>
    </w:p>
    <w:p w:rsidR="00624224" w:rsidRDefault="00624224"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argue that</w:t>
      </w:r>
      <w:r w:rsidR="00965644">
        <w:rPr>
          <w:rFonts w:ascii="Times New Roman" w:hAnsi="Times New Roman" w:cs="Times New Roman"/>
          <w:sz w:val="24"/>
          <w:szCs w:val="24"/>
        </w:rPr>
        <w:t xml:space="preserve"> they have prospects of success </w:t>
      </w:r>
      <w:r>
        <w:rPr>
          <w:rFonts w:ascii="Times New Roman" w:hAnsi="Times New Roman" w:cs="Times New Roman"/>
          <w:sz w:val="24"/>
          <w:szCs w:val="24"/>
        </w:rPr>
        <w:t>on appeal, in that the setting down of a chamber application for dismissal is not the set down of the other matters which exist independently.  They contend that their two matters HC 1230/19 and HC 3457/19, were not set down</w:t>
      </w:r>
      <w:r w:rsidR="00965644">
        <w:rPr>
          <w:rFonts w:ascii="Times New Roman" w:hAnsi="Times New Roman" w:cs="Times New Roman"/>
          <w:sz w:val="24"/>
          <w:szCs w:val="24"/>
        </w:rPr>
        <w:t>,</w:t>
      </w:r>
      <w:r>
        <w:rPr>
          <w:rFonts w:ascii="Times New Roman" w:hAnsi="Times New Roman" w:cs="Times New Roman"/>
          <w:sz w:val="24"/>
          <w:szCs w:val="24"/>
        </w:rPr>
        <w:t xml:space="preserve"> at all for 2 July 2021.  As such</w:t>
      </w:r>
      <w:r w:rsidR="00965644">
        <w:rPr>
          <w:rFonts w:ascii="Times New Roman" w:hAnsi="Times New Roman" w:cs="Times New Roman"/>
          <w:sz w:val="24"/>
          <w:szCs w:val="24"/>
        </w:rPr>
        <w:t xml:space="preserve"> they were within their right in electing to </w:t>
      </w:r>
      <w:r>
        <w:rPr>
          <w:rFonts w:ascii="Times New Roman" w:hAnsi="Times New Roman" w:cs="Times New Roman"/>
          <w:sz w:val="24"/>
          <w:szCs w:val="24"/>
        </w:rPr>
        <w:t>withdraw both without seeking the consent of the other party or the leave of the court.  In their view</w:t>
      </w:r>
      <w:r w:rsidR="00965644">
        <w:rPr>
          <w:rFonts w:ascii="Times New Roman" w:hAnsi="Times New Roman" w:cs="Times New Roman"/>
          <w:sz w:val="24"/>
          <w:szCs w:val="24"/>
        </w:rPr>
        <w:t>,</w:t>
      </w:r>
      <w:r>
        <w:rPr>
          <w:rFonts w:ascii="Times New Roman" w:hAnsi="Times New Roman" w:cs="Times New Roman"/>
          <w:sz w:val="24"/>
          <w:szCs w:val="24"/>
        </w:rPr>
        <w:t xml:space="preserve"> the only matter that had been set down for 2 July 2021 was </w:t>
      </w:r>
      <w:r w:rsidR="00965644">
        <w:rPr>
          <w:rFonts w:ascii="Times New Roman" w:hAnsi="Times New Roman" w:cs="Times New Roman"/>
          <w:sz w:val="24"/>
          <w:szCs w:val="24"/>
        </w:rPr>
        <w:t>matter</w:t>
      </w:r>
      <w:r>
        <w:rPr>
          <w:rFonts w:ascii="Times New Roman" w:hAnsi="Times New Roman" w:cs="Times New Roman"/>
          <w:sz w:val="24"/>
          <w:szCs w:val="24"/>
        </w:rPr>
        <w:t xml:space="preserve"> HC 4469/21.  Therefore, it is their argument </w:t>
      </w:r>
      <w:r w:rsidR="004934CE">
        <w:rPr>
          <w:rFonts w:ascii="Times New Roman" w:hAnsi="Times New Roman" w:cs="Times New Roman"/>
          <w:sz w:val="24"/>
          <w:szCs w:val="24"/>
        </w:rPr>
        <w:t>that</w:t>
      </w:r>
      <w:r w:rsidR="00965644">
        <w:rPr>
          <w:rFonts w:ascii="Times New Roman" w:hAnsi="Times New Roman" w:cs="Times New Roman"/>
          <w:sz w:val="24"/>
          <w:szCs w:val="24"/>
        </w:rPr>
        <w:t>,</w:t>
      </w:r>
      <w:r w:rsidR="004934CE">
        <w:rPr>
          <w:rFonts w:ascii="Times New Roman" w:hAnsi="Times New Roman" w:cs="Times New Roman"/>
          <w:sz w:val="24"/>
          <w:szCs w:val="24"/>
        </w:rPr>
        <w:t xml:space="preserve"> the court should not have dismissed the other two cases not before it.  In addition they state that they do have an arguable case</w:t>
      </w:r>
      <w:r w:rsidR="00965644">
        <w:rPr>
          <w:rFonts w:ascii="Times New Roman" w:hAnsi="Times New Roman" w:cs="Times New Roman"/>
          <w:sz w:val="24"/>
          <w:szCs w:val="24"/>
        </w:rPr>
        <w:t xml:space="preserve">. </w:t>
      </w:r>
      <w:r w:rsidR="00561EAA">
        <w:rPr>
          <w:rFonts w:ascii="Times New Roman" w:hAnsi="Times New Roman" w:cs="Times New Roman"/>
          <w:sz w:val="24"/>
          <w:szCs w:val="24"/>
        </w:rPr>
        <w:t>They t</w:t>
      </w:r>
      <w:r w:rsidR="00965644">
        <w:rPr>
          <w:rFonts w:ascii="Times New Roman" w:hAnsi="Times New Roman" w:cs="Times New Roman"/>
          <w:sz w:val="24"/>
          <w:szCs w:val="24"/>
        </w:rPr>
        <w:t>h</w:t>
      </w:r>
      <w:r w:rsidR="004934CE">
        <w:rPr>
          <w:rFonts w:ascii="Times New Roman" w:hAnsi="Times New Roman" w:cs="Times New Roman"/>
          <w:sz w:val="24"/>
          <w:szCs w:val="24"/>
        </w:rPr>
        <w:t>erefore</w:t>
      </w:r>
      <w:r w:rsidR="00965644">
        <w:rPr>
          <w:rFonts w:ascii="Times New Roman" w:hAnsi="Times New Roman" w:cs="Times New Roman"/>
          <w:sz w:val="24"/>
          <w:szCs w:val="24"/>
        </w:rPr>
        <w:t xml:space="preserve"> submit that</w:t>
      </w:r>
      <w:r w:rsidR="004934CE">
        <w:rPr>
          <w:rFonts w:ascii="Times New Roman" w:hAnsi="Times New Roman" w:cs="Times New Roman"/>
          <w:sz w:val="24"/>
          <w:szCs w:val="24"/>
        </w:rPr>
        <w:t xml:space="preserve"> they should be given the </w:t>
      </w:r>
      <w:r w:rsidR="00965644">
        <w:rPr>
          <w:rFonts w:ascii="Times New Roman" w:hAnsi="Times New Roman" w:cs="Times New Roman"/>
          <w:sz w:val="24"/>
          <w:szCs w:val="24"/>
        </w:rPr>
        <w:t>chance to test the court’s judgment o</w:t>
      </w:r>
      <w:r w:rsidR="005F3576">
        <w:rPr>
          <w:rFonts w:ascii="Times New Roman" w:hAnsi="Times New Roman" w:cs="Times New Roman"/>
          <w:sz w:val="24"/>
          <w:szCs w:val="24"/>
        </w:rPr>
        <w:t xml:space="preserve">n appeal on the grounds of appeal outlined </w:t>
      </w:r>
      <w:r w:rsidR="00561EAA">
        <w:rPr>
          <w:rFonts w:ascii="Times New Roman" w:hAnsi="Times New Roman" w:cs="Times New Roman"/>
          <w:sz w:val="24"/>
          <w:szCs w:val="24"/>
        </w:rPr>
        <w:t>in their application</w:t>
      </w:r>
      <w:r w:rsidR="005F3576">
        <w:rPr>
          <w:rFonts w:ascii="Times New Roman" w:hAnsi="Times New Roman" w:cs="Times New Roman"/>
          <w:sz w:val="24"/>
          <w:szCs w:val="24"/>
        </w:rPr>
        <w:t xml:space="preserve">.  </w:t>
      </w:r>
      <w:r w:rsidR="005F3576">
        <w:rPr>
          <w:rFonts w:ascii="Times New Roman" w:hAnsi="Times New Roman" w:cs="Times New Roman"/>
          <w:sz w:val="24"/>
          <w:szCs w:val="24"/>
        </w:rPr>
        <w:lastRenderedPageBreak/>
        <w:t xml:space="preserve">They also argue that on 2 July 2021 </w:t>
      </w:r>
      <w:r w:rsidR="00965644">
        <w:rPr>
          <w:rFonts w:ascii="Times New Roman" w:hAnsi="Times New Roman" w:cs="Times New Roman"/>
          <w:sz w:val="24"/>
          <w:szCs w:val="24"/>
        </w:rPr>
        <w:t xml:space="preserve">both their matters had become moot </w:t>
      </w:r>
      <w:r w:rsidR="005F3576">
        <w:rPr>
          <w:rFonts w:ascii="Times New Roman" w:hAnsi="Times New Roman" w:cs="Times New Roman"/>
          <w:sz w:val="24"/>
          <w:szCs w:val="24"/>
        </w:rPr>
        <w:t>as they had been withdrawn</w:t>
      </w:r>
      <w:r w:rsidR="0026236C">
        <w:rPr>
          <w:rFonts w:ascii="Times New Roman" w:hAnsi="Times New Roman" w:cs="Times New Roman"/>
          <w:sz w:val="24"/>
          <w:szCs w:val="24"/>
        </w:rPr>
        <w:t>.</w:t>
      </w:r>
      <w:r w:rsidR="00965644">
        <w:rPr>
          <w:rFonts w:ascii="Times New Roman" w:hAnsi="Times New Roman" w:cs="Times New Roman"/>
          <w:sz w:val="24"/>
          <w:szCs w:val="24"/>
        </w:rPr>
        <w:t xml:space="preserve">  As such, </w:t>
      </w:r>
      <w:r w:rsidR="005F3576">
        <w:rPr>
          <w:rFonts w:ascii="Times New Roman" w:hAnsi="Times New Roman" w:cs="Times New Roman"/>
          <w:sz w:val="24"/>
          <w:szCs w:val="24"/>
        </w:rPr>
        <w:t xml:space="preserve"> therefore the court </w:t>
      </w:r>
      <w:r w:rsidR="00965644">
        <w:rPr>
          <w:rFonts w:ascii="Times New Roman" w:hAnsi="Times New Roman" w:cs="Times New Roman"/>
          <w:sz w:val="24"/>
          <w:szCs w:val="24"/>
        </w:rPr>
        <w:t>erred</w:t>
      </w:r>
      <w:r w:rsidR="005F3576">
        <w:rPr>
          <w:rFonts w:ascii="Times New Roman" w:hAnsi="Times New Roman" w:cs="Times New Roman"/>
          <w:sz w:val="24"/>
          <w:szCs w:val="24"/>
        </w:rPr>
        <w:t xml:space="preserve"> in making a decision concerning the two.</w:t>
      </w:r>
    </w:p>
    <w:p w:rsidR="000840AB" w:rsidRDefault="000840AB" w:rsidP="008E4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support of their submissions, applicants relied on the cases of the </w:t>
      </w:r>
      <w:r w:rsidRPr="000840AB">
        <w:rPr>
          <w:rFonts w:ascii="Times New Roman" w:hAnsi="Times New Roman" w:cs="Times New Roman"/>
          <w:i/>
          <w:sz w:val="24"/>
          <w:szCs w:val="24"/>
        </w:rPr>
        <w:t>Church of the Province of Central Africa</w:t>
      </w:r>
      <w:r>
        <w:rPr>
          <w:rFonts w:ascii="Times New Roman" w:hAnsi="Times New Roman" w:cs="Times New Roman"/>
          <w:sz w:val="24"/>
          <w:szCs w:val="24"/>
        </w:rPr>
        <w:t xml:space="preserve"> v </w:t>
      </w:r>
      <w:r w:rsidR="00561EAA">
        <w:rPr>
          <w:rFonts w:ascii="Times New Roman" w:hAnsi="Times New Roman" w:cs="Times New Roman"/>
          <w:i/>
          <w:sz w:val="24"/>
          <w:szCs w:val="24"/>
        </w:rPr>
        <w:t>the Diocesis</w:t>
      </w:r>
      <w:r w:rsidRPr="000840AB">
        <w:rPr>
          <w:rFonts w:ascii="Times New Roman" w:hAnsi="Times New Roman" w:cs="Times New Roman"/>
          <w:i/>
          <w:sz w:val="24"/>
          <w:szCs w:val="24"/>
        </w:rPr>
        <w:t xml:space="preserve"> Trustees</w:t>
      </w:r>
      <w:r>
        <w:rPr>
          <w:rFonts w:ascii="Times New Roman" w:hAnsi="Times New Roman" w:cs="Times New Roman"/>
          <w:sz w:val="24"/>
          <w:szCs w:val="24"/>
        </w:rPr>
        <w:t xml:space="preserve"> for the Diocese of Harare SE48-12 and </w:t>
      </w:r>
      <w:r w:rsidRPr="000840A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0840AB">
        <w:rPr>
          <w:rFonts w:ascii="Times New Roman" w:hAnsi="Times New Roman" w:cs="Times New Roman"/>
          <w:i/>
          <w:sz w:val="24"/>
          <w:szCs w:val="24"/>
        </w:rPr>
        <w:t>McGown</w:t>
      </w:r>
      <w:r>
        <w:rPr>
          <w:rFonts w:ascii="Times New Roman" w:hAnsi="Times New Roman" w:cs="Times New Roman"/>
          <w:sz w:val="24"/>
          <w:szCs w:val="24"/>
        </w:rPr>
        <w:t xml:space="preserve"> 1995(2) ZLR 81(S), amongst others</w:t>
      </w:r>
      <w:r w:rsidR="00B61755">
        <w:rPr>
          <w:rFonts w:ascii="Times New Roman" w:hAnsi="Times New Roman" w:cs="Times New Roman"/>
          <w:sz w:val="24"/>
          <w:szCs w:val="24"/>
        </w:rPr>
        <w:t>.  In response, the respondents countered that</w:t>
      </w:r>
      <w:r w:rsidR="00965644">
        <w:rPr>
          <w:rFonts w:ascii="Times New Roman" w:hAnsi="Times New Roman" w:cs="Times New Roman"/>
          <w:sz w:val="24"/>
          <w:szCs w:val="24"/>
        </w:rPr>
        <w:t xml:space="preserve"> an application for dismissal for wa</w:t>
      </w:r>
      <w:r w:rsidR="00B61755">
        <w:rPr>
          <w:rFonts w:ascii="Times New Roman" w:hAnsi="Times New Roman" w:cs="Times New Roman"/>
          <w:sz w:val="24"/>
          <w:szCs w:val="24"/>
        </w:rPr>
        <w:t>nt of prosecution cannot be divorced from the application or</w:t>
      </w:r>
      <w:r w:rsidR="00965644">
        <w:rPr>
          <w:rFonts w:ascii="Times New Roman" w:hAnsi="Times New Roman" w:cs="Times New Roman"/>
          <w:sz w:val="24"/>
          <w:szCs w:val="24"/>
        </w:rPr>
        <w:t xml:space="preserve"> matter it is sought to dismiss. </w:t>
      </w:r>
      <w:r w:rsidR="00B61755">
        <w:rPr>
          <w:rFonts w:ascii="Times New Roman" w:hAnsi="Times New Roman" w:cs="Times New Roman"/>
          <w:sz w:val="24"/>
          <w:szCs w:val="24"/>
        </w:rPr>
        <w:t>They contend that the two are inseparable.  Therefore</w:t>
      </w:r>
      <w:r w:rsidR="00965644">
        <w:rPr>
          <w:rFonts w:ascii="Times New Roman" w:hAnsi="Times New Roman" w:cs="Times New Roman"/>
          <w:sz w:val="24"/>
          <w:szCs w:val="24"/>
        </w:rPr>
        <w:t xml:space="preserve">, from their </w:t>
      </w:r>
      <w:r w:rsidR="00ED3C14">
        <w:rPr>
          <w:rFonts w:ascii="Times New Roman" w:hAnsi="Times New Roman" w:cs="Times New Roman"/>
          <w:sz w:val="24"/>
          <w:szCs w:val="24"/>
        </w:rPr>
        <w:t>perspective</w:t>
      </w:r>
      <w:r w:rsidR="00B61755">
        <w:rPr>
          <w:rFonts w:ascii="Times New Roman" w:hAnsi="Times New Roman" w:cs="Times New Roman"/>
          <w:sz w:val="24"/>
          <w:szCs w:val="24"/>
        </w:rPr>
        <w:t xml:space="preserve"> there is no way that </w:t>
      </w:r>
      <w:r w:rsidR="00ED3C14">
        <w:rPr>
          <w:rFonts w:ascii="Times New Roman" w:hAnsi="Times New Roman" w:cs="Times New Roman"/>
          <w:sz w:val="24"/>
          <w:szCs w:val="24"/>
        </w:rPr>
        <w:t xml:space="preserve">the </w:t>
      </w:r>
      <w:r w:rsidR="00B61755">
        <w:rPr>
          <w:rFonts w:ascii="Times New Roman" w:hAnsi="Times New Roman" w:cs="Times New Roman"/>
          <w:sz w:val="24"/>
          <w:szCs w:val="24"/>
        </w:rPr>
        <w:t xml:space="preserve">application </w:t>
      </w:r>
      <w:r w:rsidR="00561EAA">
        <w:rPr>
          <w:rFonts w:ascii="Times New Roman" w:hAnsi="Times New Roman" w:cs="Times New Roman"/>
          <w:sz w:val="24"/>
          <w:szCs w:val="24"/>
        </w:rPr>
        <w:t xml:space="preserve">for dismissal </w:t>
      </w:r>
      <w:r w:rsidR="0026236C">
        <w:rPr>
          <w:rFonts w:ascii="Times New Roman" w:hAnsi="Times New Roman" w:cs="Times New Roman"/>
          <w:sz w:val="24"/>
          <w:szCs w:val="24"/>
        </w:rPr>
        <w:t>for w</w:t>
      </w:r>
      <w:r w:rsidR="00561EAA">
        <w:rPr>
          <w:rFonts w:ascii="Times New Roman" w:hAnsi="Times New Roman" w:cs="Times New Roman"/>
          <w:sz w:val="24"/>
          <w:szCs w:val="24"/>
        </w:rPr>
        <w:t xml:space="preserve">ant </w:t>
      </w:r>
      <w:r w:rsidR="0026236C">
        <w:rPr>
          <w:rFonts w:ascii="Times New Roman" w:hAnsi="Times New Roman" w:cs="Times New Roman"/>
          <w:sz w:val="24"/>
          <w:szCs w:val="24"/>
        </w:rPr>
        <w:t xml:space="preserve">of </w:t>
      </w:r>
      <w:r w:rsidR="00561EAA">
        <w:rPr>
          <w:rFonts w:ascii="Times New Roman" w:hAnsi="Times New Roman" w:cs="Times New Roman"/>
          <w:sz w:val="24"/>
          <w:szCs w:val="24"/>
        </w:rPr>
        <w:t xml:space="preserve">prosecution </w:t>
      </w:r>
      <w:r w:rsidR="00B61755">
        <w:rPr>
          <w:rFonts w:ascii="Times New Roman" w:hAnsi="Times New Roman" w:cs="Times New Roman"/>
          <w:sz w:val="24"/>
          <w:szCs w:val="24"/>
        </w:rPr>
        <w:t>can have a set down separate</w:t>
      </w:r>
      <w:r w:rsidR="00ED3C14">
        <w:rPr>
          <w:rFonts w:ascii="Times New Roman" w:hAnsi="Times New Roman" w:cs="Times New Roman"/>
          <w:sz w:val="24"/>
          <w:szCs w:val="24"/>
        </w:rPr>
        <w:t xml:space="preserve"> from tho</w:t>
      </w:r>
      <w:r w:rsidR="00B61755">
        <w:rPr>
          <w:rFonts w:ascii="Times New Roman" w:hAnsi="Times New Roman" w:cs="Times New Roman"/>
          <w:sz w:val="24"/>
          <w:szCs w:val="24"/>
        </w:rPr>
        <w:t>se applications it is meant to dismiss.  As such</w:t>
      </w:r>
      <w:r w:rsidR="00561EAA">
        <w:rPr>
          <w:rFonts w:ascii="Times New Roman" w:hAnsi="Times New Roman" w:cs="Times New Roman"/>
          <w:sz w:val="24"/>
          <w:szCs w:val="24"/>
        </w:rPr>
        <w:t>,</w:t>
      </w:r>
      <w:r w:rsidR="00B61755">
        <w:rPr>
          <w:rFonts w:ascii="Times New Roman" w:hAnsi="Times New Roman" w:cs="Times New Roman"/>
          <w:sz w:val="24"/>
          <w:szCs w:val="24"/>
        </w:rPr>
        <w:t xml:space="preserve"> withdraw</w:t>
      </w:r>
      <w:r w:rsidR="00ED3C14">
        <w:rPr>
          <w:rFonts w:ascii="Times New Roman" w:hAnsi="Times New Roman" w:cs="Times New Roman"/>
          <w:sz w:val="24"/>
          <w:szCs w:val="24"/>
        </w:rPr>
        <w:t>al of the main applications was</w:t>
      </w:r>
      <w:r w:rsidR="00B61755">
        <w:rPr>
          <w:rFonts w:ascii="Times New Roman" w:hAnsi="Times New Roman" w:cs="Times New Roman"/>
          <w:sz w:val="24"/>
          <w:szCs w:val="24"/>
        </w:rPr>
        <w:t xml:space="preserve"> no longer feasible without the consent of the other party or </w:t>
      </w:r>
      <w:r w:rsidR="00ED3C14">
        <w:rPr>
          <w:rFonts w:ascii="Times New Roman" w:hAnsi="Times New Roman" w:cs="Times New Roman"/>
          <w:sz w:val="24"/>
          <w:szCs w:val="24"/>
        </w:rPr>
        <w:t>the</w:t>
      </w:r>
      <w:r w:rsidR="00B61755">
        <w:rPr>
          <w:rFonts w:ascii="Times New Roman" w:hAnsi="Times New Roman" w:cs="Times New Roman"/>
          <w:sz w:val="24"/>
          <w:szCs w:val="24"/>
        </w:rPr>
        <w:t xml:space="preserve"> leave </w:t>
      </w:r>
      <w:r w:rsidR="00ED3C14">
        <w:rPr>
          <w:rFonts w:ascii="Times New Roman" w:hAnsi="Times New Roman" w:cs="Times New Roman"/>
          <w:sz w:val="24"/>
          <w:szCs w:val="24"/>
        </w:rPr>
        <w:t xml:space="preserve">of </w:t>
      </w:r>
      <w:r w:rsidR="00B61755">
        <w:rPr>
          <w:rFonts w:ascii="Times New Roman" w:hAnsi="Times New Roman" w:cs="Times New Roman"/>
          <w:sz w:val="24"/>
          <w:szCs w:val="24"/>
        </w:rPr>
        <w:t>the court.  In that regard</w:t>
      </w:r>
      <w:r w:rsidR="00ED3C14">
        <w:rPr>
          <w:rFonts w:ascii="Times New Roman" w:hAnsi="Times New Roman" w:cs="Times New Roman"/>
          <w:sz w:val="24"/>
          <w:szCs w:val="24"/>
        </w:rPr>
        <w:t>,</w:t>
      </w:r>
      <w:r w:rsidR="00B61755">
        <w:rPr>
          <w:rFonts w:ascii="Times New Roman" w:hAnsi="Times New Roman" w:cs="Times New Roman"/>
          <w:sz w:val="24"/>
          <w:szCs w:val="24"/>
        </w:rPr>
        <w:t xml:space="preserve"> they argue that</w:t>
      </w:r>
      <w:r w:rsidR="00ED3C14">
        <w:rPr>
          <w:rFonts w:ascii="Times New Roman" w:hAnsi="Times New Roman" w:cs="Times New Roman"/>
          <w:sz w:val="24"/>
          <w:szCs w:val="24"/>
        </w:rPr>
        <w:t>,</w:t>
      </w:r>
      <w:r w:rsidR="00B61755">
        <w:rPr>
          <w:rFonts w:ascii="Times New Roman" w:hAnsi="Times New Roman" w:cs="Times New Roman"/>
          <w:sz w:val="24"/>
          <w:szCs w:val="24"/>
        </w:rPr>
        <w:t xml:space="preserve"> the decision of the trial court, which is in their view </w:t>
      </w:r>
      <w:r w:rsidR="00B61755" w:rsidRPr="00B61755">
        <w:rPr>
          <w:rFonts w:ascii="Times New Roman" w:hAnsi="Times New Roman" w:cs="Times New Roman"/>
          <w:i/>
          <w:sz w:val="24"/>
          <w:szCs w:val="24"/>
        </w:rPr>
        <w:t>obiter</w:t>
      </w:r>
      <w:r w:rsidR="00B61755">
        <w:rPr>
          <w:rFonts w:ascii="Times New Roman" w:hAnsi="Times New Roman" w:cs="Times New Roman"/>
          <w:sz w:val="24"/>
          <w:szCs w:val="24"/>
        </w:rPr>
        <w:t xml:space="preserve"> cannot </w:t>
      </w:r>
      <w:r w:rsidR="00FC4529">
        <w:rPr>
          <w:rFonts w:ascii="Times New Roman" w:hAnsi="Times New Roman" w:cs="Times New Roman"/>
          <w:sz w:val="24"/>
          <w:szCs w:val="24"/>
        </w:rPr>
        <w:t>be faulted.  In that vein</w:t>
      </w:r>
      <w:r w:rsidR="00561EAA">
        <w:rPr>
          <w:rFonts w:ascii="Times New Roman" w:hAnsi="Times New Roman" w:cs="Times New Roman"/>
          <w:sz w:val="24"/>
          <w:szCs w:val="24"/>
        </w:rPr>
        <w:t>,</w:t>
      </w:r>
      <w:r w:rsidR="00FC4529">
        <w:rPr>
          <w:rFonts w:ascii="Times New Roman" w:hAnsi="Times New Roman" w:cs="Times New Roman"/>
          <w:sz w:val="24"/>
          <w:szCs w:val="24"/>
        </w:rPr>
        <w:t xml:space="preserve"> they submit that there are no prospects of success on appeal.  On that basis they state</w:t>
      </w:r>
      <w:r w:rsidR="00ED3C14">
        <w:rPr>
          <w:rFonts w:ascii="Times New Roman" w:hAnsi="Times New Roman" w:cs="Times New Roman"/>
          <w:sz w:val="24"/>
          <w:szCs w:val="24"/>
        </w:rPr>
        <w:t xml:space="preserve"> that the matters were not moot. </w:t>
      </w:r>
      <w:r w:rsidR="00FC4529">
        <w:rPr>
          <w:rFonts w:ascii="Times New Roman" w:hAnsi="Times New Roman" w:cs="Times New Roman"/>
          <w:sz w:val="24"/>
          <w:szCs w:val="24"/>
        </w:rPr>
        <w:t>They</w:t>
      </w:r>
      <w:r w:rsidR="00561EAA">
        <w:rPr>
          <w:rFonts w:ascii="Times New Roman" w:hAnsi="Times New Roman" w:cs="Times New Roman"/>
          <w:sz w:val="24"/>
          <w:szCs w:val="24"/>
        </w:rPr>
        <w:t xml:space="preserve"> also pointed out, </w:t>
      </w:r>
      <w:r w:rsidR="00ED3C14">
        <w:rPr>
          <w:rFonts w:ascii="Times New Roman" w:hAnsi="Times New Roman" w:cs="Times New Roman"/>
          <w:sz w:val="24"/>
          <w:szCs w:val="24"/>
        </w:rPr>
        <w:t xml:space="preserve">that the </w:t>
      </w:r>
      <w:r w:rsidR="0026236C">
        <w:rPr>
          <w:rFonts w:ascii="Times New Roman" w:hAnsi="Times New Roman" w:cs="Times New Roman"/>
          <w:sz w:val="24"/>
          <w:szCs w:val="24"/>
        </w:rPr>
        <w:t>applicants’</w:t>
      </w:r>
      <w:r w:rsidR="00ED3C14">
        <w:rPr>
          <w:rFonts w:ascii="Times New Roman" w:hAnsi="Times New Roman" w:cs="Times New Roman"/>
          <w:sz w:val="24"/>
          <w:szCs w:val="24"/>
        </w:rPr>
        <w:t xml:space="preserve"> grounds of appeal were not precise, clear</w:t>
      </w:r>
      <w:r w:rsidR="00FC4529">
        <w:rPr>
          <w:rFonts w:ascii="Times New Roman" w:hAnsi="Times New Roman" w:cs="Times New Roman"/>
          <w:sz w:val="24"/>
          <w:szCs w:val="24"/>
        </w:rPr>
        <w:t xml:space="preserve"> and conci</w:t>
      </w:r>
      <w:r w:rsidR="00ED3C14">
        <w:rPr>
          <w:rFonts w:ascii="Times New Roman" w:hAnsi="Times New Roman" w:cs="Times New Roman"/>
          <w:sz w:val="24"/>
          <w:szCs w:val="24"/>
        </w:rPr>
        <w:t xml:space="preserve">se, in that </w:t>
      </w:r>
      <w:r w:rsidR="0026236C">
        <w:rPr>
          <w:rFonts w:ascii="Times New Roman" w:hAnsi="Times New Roman" w:cs="Times New Roman"/>
          <w:sz w:val="24"/>
          <w:szCs w:val="24"/>
        </w:rPr>
        <w:t>regard the</w:t>
      </w:r>
      <w:r w:rsidR="00ED3C14">
        <w:rPr>
          <w:rFonts w:ascii="Times New Roman" w:hAnsi="Times New Roman" w:cs="Times New Roman"/>
          <w:sz w:val="24"/>
          <w:szCs w:val="24"/>
        </w:rPr>
        <w:t xml:space="preserve"> appeal will not succeed.</w:t>
      </w:r>
    </w:p>
    <w:p w:rsidR="000458CE" w:rsidRDefault="000458CE" w:rsidP="008E4F06">
      <w:pPr>
        <w:spacing w:after="0" w:line="360" w:lineRule="auto"/>
        <w:ind w:firstLine="720"/>
        <w:jc w:val="both"/>
        <w:rPr>
          <w:rFonts w:ascii="Times New Roman" w:hAnsi="Times New Roman" w:cs="Times New Roman"/>
          <w:sz w:val="24"/>
          <w:szCs w:val="24"/>
        </w:rPr>
      </w:pPr>
      <w:r w:rsidRPr="000458CE">
        <w:rPr>
          <w:rFonts w:ascii="Times New Roman" w:hAnsi="Times New Roman" w:cs="Times New Roman"/>
          <w:i/>
          <w:sz w:val="24"/>
          <w:szCs w:val="24"/>
        </w:rPr>
        <w:t>In casu</w:t>
      </w:r>
      <w:r>
        <w:rPr>
          <w:rFonts w:ascii="Times New Roman" w:hAnsi="Times New Roman" w:cs="Times New Roman"/>
          <w:sz w:val="24"/>
          <w:szCs w:val="24"/>
        </w:rPr>
        <w:t>, the main issue is whether or not the court application in case HC 4469/20, which was in terms of the then r 236(3)(b) of the 1971 rules of this court, now r 59(15)(b) of the 2021, High Court rules, for the dismissal of matters HC 1230/19 and HC 3457/19 for wont of prosecution can be said to be separate from the two matters it is sought to dismiss?</w:t>
      </w:r>
    </w:p>
    <w:p w:rsidR="00ED3C14" w:rsidRDefault="00EC046B"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whether or not the applicants have made a case for leave to appeal against the decision of this court of 7 July 2021 in case HH 352/21</w:t>
      </w:r>
      <w:r w:rsidR="00ED3C14">
        <w:rPr>
          <w:rFonts w:ascii="Times New Roman" w:hAnsi="Times New Roman" w:cs="Times New Roman"/>
          <w:sz w:val="24"/>
          <w:szCs w:val="24"/>
        </w:rPr>
        <w:t xml:space="preserve">. </w:t>
      </w:r>
    </w:p>
    <w:p w:rsidR="00EC046B" w:rsidRDefault="00ED3C14"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C046B">
        <w:rPr>
          <w:rFonts w:ascii="Times New Roman" w:hAnsi="Times New Roman" w:cs="Times New Roman"/>
          <w:sz w:val="24"/>
          <w:szCs w:val="24"/>
        </w:rPr>
        <w:t xml:space="preserve">n consideration, I also observed that the applicants’ grounds of appeal as borne by the record are convulated, </w:t>
      </w:r>
      <w:r w:rsidR="001809BA">
        <w:rPr>
          <w:rFonts w:ascii="Times New Roman" w:hAnsi="Times New Roman" w:cs="Times New Roman"/>
          <w:sz w:val="24"/>
          <w:szCs w:val="24"/>
        </w:rPr>
        <w:t>long</w:t>
      </w:r>
      <w:r w:rsidR="00EC046B">
        <w:rPr>
          <w:rFonts w:ascii="Times New Roman" w:hAnsi="Times New Roman" w:cs="Times New Roman"/>
          <w:sz w:val="24"/>
          <w:szCs w:val="24"/>
        </w:rPr>
        <w:t xml:space="preserve"> and winding.</w:t>
      </w:r>
      <w:r w:rsidR="001809BA">
        <w:rPr>
          <w:rFonts w:ascii="Times New Roman" w:hAnsi="Times New Roman" w:cs="Times New Roman"/>
          <w:sz w:val="24"/>
          <w:szCs w:val="24"/>
        </w:rPr>
        <w:t xml:space="preserve">  Precisely</w:t>
      </w:r>
      <w:r w:rsidR="00B87950">
        <w:rPr>
          <w:rFonts w:ascii="Times New Roman" w:hAnsi="Times New Roman" w:cs="Times New Roman"/>
          <w:sz w:val="24"/>
          <w:szCs w:val="24"/>
        </w:rPr>
        <w:t>,</w:t>
      </w:r>
      <w:r w:rsidR="001809BA">
        <w:rPr>
          <w:rFonts w:ascii="Times New Roman" w:hAnsi="Times New Roman" w:cs="Times New Roman"/>
          <w:sz w:val="24"/>
          <w:szCs w:val="24"/>
        </w:rPr>
        <w:t xml:space="preserve"> they are not clear a</w:t>
      </w:r>
      <w:r w:rsidR="0019410F">
        <w:rPr>
          <w:rFonts w:ascii="Times New Roman" w:hAnsi="Times New Roman" w:cs="Times New Roman"/>
          <w:sz w:val="24"/>
          <w:szCs w:val="24"/>
        </w:rPr>
        <w:t>nd concise.  It is difficult to discern what exactly they are attacking on the judgment of the court in HH 352/21.</w:t>
      </w:r>
    </w:p>
    <w:p w:rsidR="007D38F1" w:rsidRDefault="007D38F1"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22(1) of the Supreme Court Rules (Magistrate Courts) Criminal Rules) which apply </w:t>
      </w:r>
      <w:r w:rsidRPr="007D38F1">
        <w:rPr>
          <w:rFonts w:ascii="Times New Roman" w:hAnsi="Times New Roman" w:cs="Times New Roman"/>
          <w:i/>
          <w:sz w:val="24"/>
          <w:szCs w:val="24"/>
        </w:rPr>
        <w:t>m</w:t>
      </w:r>
      <w:r w:rsidR="00561EAA">
        <w:rPr>
          <w:rFonts w:ascii="Times New Roman" w:hAnsi="Times New Roman" w:cs="Times New Roman"/>
          <w:i/>
          <w:sz w:val="24"/>
          <w:szCs w:val="24"/>
        </w:rPr>
        <w:t>u</w:t>
      </w:r>
      <w:r w:rsidR="00B87950">
        <w:rPr>
          <w:rFonts w:ascii="Times New Roman" w:hAnsi="Times New Roman" w:cs="Times New Roman"/>
          <w:i/>
          <w:sz w:val="24"/>
          <w:szCs w:val="24"/>
        </w:rPr>
        <w:t>tat</w:t>
      </w:r>
      <w:r w:rsidRPr="007D38F1">
        <w:rPr>
          <w:rFonts w:ascii="Times New Roman" w:hAnsi="Times New Roman" w:cs="Times New Roman"/>
          <w:i/>
          <w:sz w:val="24"/>
          <w:szCs w:val="24"/>
        </w:rPr>
        <w:t xml:space="preserve">is </w:t>
      </w:r>
      <w:r w:rsidR="00561EAA">
        <w:rPr>
          <w:rFonts w:ascii="Times New Roman" w:hAnsi="Times New Roman" w:cs="Times New Roman"/>
          <w:i/>
          <w:sz w:val="24"/>
          <w:szCs w:val="24"/>
        </w:rPr>
        <w:t>mut</w:t>
      </w:r>
      <w:r w:rsidR="0026236C">
        <w:rPr>
          <w:rFonts w:ascii="Times New Roman" w:hAnsi="Times New Roman" w:cs="Times New Roman"/>
          <w:i/>
          <w:sz w:val="24"/>
          <w:szCs w:val="24"/>
        </w:rPr>
        <w:t>a</w:t>
      </w:r>
      <w:r w:rsidR="00561EAA">
        <w:rPr>
          <w:rFonts w:ascii="Times New Roman" w:hAnsi="Times New Roman" w:cs="Times New Roman"/>
          <w:i/>
          <w:sz w:val="24"/>
          <w:szCs w:val="24"/>
        </w:rPr>
        <w:t xml:space="preserve">ndis </w:t>
      </w:r>
      <w:r w:rsidR="00B87950">
        <w:rPr>
          <w:rFonts w:ascii="Times New Roman" w:hAnsi="Times New Roman" w:cs="Times New Roman"/>
          <w:sz w:val="24"/>
          <w:szCs w:val="24"/>
        </w:rPr>
        <w:t>or in equal force to civil</w:t>
      </w:r>
      <w:r>
        <w:rPr>
          <w:rFonts w:ascii="Times New Roman" w:hAnsi="Times New Roman" w:cs="Times New Roman"/>
          <w:sz w:val="24"/>
          <w:szCs w:val="24"/>
        </w:rPr>
        <w:t xml:space="preserve"> proceedings </w:t>
      </w:r>
      <w:r w:rsidR="00B87950">
        <w:rPr>
          <w:rFonts w:ascii="Times New Roman" w:hAnsi="Times New Roman" w:cs="Times New Roman"/>
          <w:sz w:val="24"/>
          <w:szCs w:val="24"/>
        </w:rPr>
        <w:t>provides that</w:t>
      </w:r>
      <w:r w:rsidR="00561EAA">
        <w:rPr>
          <w:rFonts w:ascii="Times New Roman" w:hAnsi="Times New Roman" w:cs="Times New Roman"/>
          <w:sz w:val="24"/>
          <w:szCs w:val="24"/>
        </w:rPr>
        <w:t>,</w:t>
      </w:r>
      <w:r w:rsidR="00B87950">
        <w:rPr>
          <w:rFonts w:ascii="Times New Roman" w:hAnsi="Times New Roman" w:cs="Times New Roman"/>
          <w:sz w:val="24"/>
          <w:szCs w:val="24"/>
        </w:rPr>
        <w:t xml:space="preserve"> </w:t>
      </w:r>
      <w:r>
        <w:rPr>
          <w:rFonts w:ascii="Times New Roman" w:hAnsi="Times New Roman" w:cs="Times New Roman"/>
          <w:sz w:val="24"/>
          <w:szCs w:val="24"/>
        </w:rPr>
        <w:t>the grounds of appeal must be clear and concise.  In other words</w:t>
      </w:r>
      <w:r w:rsidR="00561EAA">
        <w:rPr>
          <w:rFonts w:ascii="Times New Roman" w:hAnsi="Times New Roman" w:cs="Times New Roman"/>
          <w:sz w:val="24"/>
          <w:szCs w:val="24"/>
        </w:rPr>
        <w:t>,</w:t>
      </w:r>
      <w:r>
        <w:rPr>
          <w:rFonts w:ascii="Times New Roman" w:hAnsi="Times New Roman" w:cs="Times New Roman"/>
          <w:sz w:val="24"/>
          <w:szCs w:val="24"/>
        </w:rPr>
        <w:t xml:space="preserve"> they must be short and to the point, directing the </w:t>
      </w:r>
      <w:r w:rsidR="00B87950">
        <w:rPr>
          <w:rFonts w:ascii="Times New Roman" w:hAnsi="Times New Roman" w:cs="Times New Roman"/>
          <w:sz w:val="24"/>
          <w:szCs w:val="24"/>
        </w:rPr>
        <w:t>Appellate Co</w:t>
      </w:r>
      <w:r>
        <w:rPr>
          <w:rFonts w:ascii="Times New Roman" w:hAnsi="Times New Roman" w:cs="Times New Roman"/>
          <w:sz w:val="24"/>
          <w:szCs w:val="24"/>
        </w:rPr>
        <w:t xml:space="preserve">urt to the impugned facts and law in the judgment under </w:t>
      </w:r>
      <w:r w:rsidR="00DC38F1">
        <w:rPr>
          <w:rFonts w:ascii="Times New Roman" w:hAnsi="Times New Roman" w:cs="Times New Roman"/>
          <w:sz w:val="24"/>
          <w:szCs w:val="24"/>
        </w:rPr>
        <w:t>attack.</w:t>
      </w:r>
    </w:p>
    <w:p w:rsidR="00B36FCE" w:rsidRDefault="00B36FCE"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87950">
        <w:rPr>
          <w:rFonts w:ascii="Times New Roman" w:hAnsi="Times New Roman" w:cs="Times New Roman"/>
          <w:i/>
          <w:sz w:val="24"/>
          <w:szCs w:val="24"/>
        </w:rPr>
        <w:t>Chikura N.O and Another</w:t>
      </w:r>
      <w:r>
        <w:rPr>
          <w:rFonts w:ascii="Times New Roman" w:hAnsi="Times New Roman" w:cs="Times New Roman"/>
          <w:sz w:val="24"/>
          <w:szCs w:val="24"/>
        </w:rPr>
        <w:t xml:space="preserve"> v </w:t>
      </w:r>
      <w:r w:rsidRPr="00B87950">
        <w:rPr>
          <w:rFonts w:ascii="Times New Roman" w:hAnsi="Times New Roman" w:cs="Times New Roman"/>
          <w:i/>
          <w:sz w:val="24"/>
          <w:szCs w:val="24"/>
        </w:rPr>
        <w:t>AL Sham’s Global Pvt Limited</w:t>
      </w:r>
      <w:r>
        <w:rPr>
          <w:rFonts w:ascii="Times New Roman" w:hAnsi="Times New Roman" w:cs="Times New Roman"/>
          <w:sz w:val="24"/>
          <w:szCs w:val="24"/>
        </w:rPr>
        <w:t xml:space="preserve"> SC 171/17, it was remarked that</w:t>
      </w:r>
      <w:r w:rsidR="00DC38F1">
        <w:rPr>
          <w:rFonts w:ascii="Times New Roman" w:hAnsi="Times New Roman" w:cs="Times New Roman"/>
          <w:sz w:val="24"/>
          <w:szCs w:val="24"/>
        </w:rPr>
        <w:t>:</w:t>
      </w:r>
    </w:p>
    <w:p w:rsidR="00B36FCE" w:rsidRDefault="00B36FCE" w:rsidP="006D5D0F">
      <w:pPr>
        <w:spacing w:after="0" w:line="240" w:lineRule="auto"/>
        <w:ind w:left="720"/>
        <w:jc w:val="both"/>
        <w:rPr>
          <w:rFonts w:ascii="Times New Roman" w:hAnsi="Times New Roman" w:cs="Times New Roman"/>
        </w:rPr>
      </w:pPr>
      <w:r w:rsidRPr="006D5D0F">
        <w:rPr>
          <w:rFonts w:ascii="Times New Roman" w:hAnsi="Times New Roman" w:cs="Times New Roman"/>
        </w:rPr>
        <w:lastRenderedPageBreak/>
        <w:t xml:space="preserve">“It is not for the court to sift through several pages </w:t>
      </w:r>
      <w:r w:rsidR="00B87950">
        <w:rPr>
          <w:rFonts w:ascii="Times New Roman" w:hAnsi="Times New Roman" w:cs="Times New Roman"/>
        </w:rPr>
        <w:t xml:space="preserve">of </w:t>
      </w:r>
      <w:r w:rsidRPr="006D5D0F">
        <w:rPr>
          <w:rFonts w:ascii="Times New Roman" w:hAnsi="Times New Roman" w:cs="Times New Roman"/>
        </w:rPr>
        <w:t>grounds of appeal in order to determine the real issue.  The real issue for determination should be easily ascertainable on pe</w:t>
      </w:r>
      <w:r w:rsidR="00385E93" w:rsidRPr="006D5D0F">
        <w:rPr>
          <w:rFonts w:ascii="Times New Roman" w:hAnsi="Times New Roman" w:cs="Times New Roman"/>
        </w:rPr>
        <w:t>rusal of the grounds of appeal.</w:t>
      </w:r>
      <w:r w:rsidR="006D5D0F" w:rsidRPr="006D5D0F">
        <w:rPr>
          <w:rFonts w:ascii="Times New Roman" w:hAnsi="Times New Roman" w:cs="Times New Roman"/>
        </w:rPr>
        <w:t>”</w:t>
      </w:r>
    </w:p>
    <w:p w:rsidR="006D5D0F" w:rsidRPr="006D5D0F" w:rsidRDefault="006D5D0F" w:rsidP="006D5D0F">
      <w:pPr>
        <w:spacing w:after="0" w:line="240" w:lineRule="auto"/>
        <w:ind w:left="720"/>
        <w:jc w:val="both"/>
        <w:rPr>
          <w:rFonts w:ascii="Times New Roman" w:hAnsi="Times New Roman" w:cs="Times New Roman"/>
        </w:rPr>
      </w:pPr>
    </w:p>
    <w:p w:rsidR="00B36FCE" w:rsidRDefault="00B36FCE"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8278E">
        <w:rPr>
          <w:rFonts w:ascii="Times New Roman" w:hAnsi="Times New Roman" w:cs="Times New Roman"/>
          <w:i/>
          <w:sz w:val="24"/>
          <w:szCs w:val="24"/>
        </w:rPr>
        <w:t>S</w:t>
      </w:r>
      <w:r>
        <w:rPr>
          <w:rFonts w:ascii="Times New Roman" w:hAnsi="Times New Roman" w:cs="Times New Roman"/>
          <w:sz w:val="24"/>
          <w:szCs w:val="24"/>
        </w:rPr>
        <w:t xml:space="preserve"> v </w:t>
      </w:r>
      <w:r w:rsidRPr="00E8278E">
        <w:rPr>
          <w:rFonts w:ascii="Times New Roman" w:hAnsi="Times New Roman" w:cs="Times New Roman"/>
          <w:i/>
          <w:sz w:val="24"/>
          <w:szCs w:val="24"/>
        </w:rPr>
        <w:t>Chim</w:t>
      </w:r>
      <w:r w:rsidR="00561EAA">
        <w:rPr>
          <w:rFonts w:ascii="Times New Roman" w:hAnsi="Times New Roman" w:cs="Times New Roman"/>
          <w:i/>
          <w:sz w:val="24"/>
          <w:szCs w:val="24"/>
        </w:rPr>
        <w:t>w</w:t>
      </w:r>
      <w:r w:rsidRPr="00E8278E">
        <w:rPr>
          <w:rFonts w:ascii="Times New Roman" w:hAnsi="Times New Roman" w:cs="Times New Roman"/>
          <w:i/>
          <w:sz w:val="24"/>
          <w:szCs w:val="24"/>
        </w:rPr>
        <w:t>aiwashe</w:t>
      </w:r>
      <w:r>
        <w:rPr>
          <w:rFonts w:ascii="Times New Roman" w:hAnsi="Times New Roman" w:cs="Times New Roman"/>
          <w:sz w:val="24"/>
          <w:szCs w:val="24"/>
        </w:rPr>
        <w:t xml:space="preserve"> SC 18/13</w:t>
      </w:r>
      <w:r w:rsidR="00CF453C">
        <w:rPr>
          <w:rFonts w:ascii="Times New Roman" w:hAnsi="Times New Roman" w:cs="Times New Roman"/>
          <w:sz w:val="24"/>
          <w:szCs w:val="24"/>
        </w:rPr>
        <w:t>.  In my considered opinion</w:t>
      </w:r>
      <w:r w:rsidR="00561EAA">
        <w:rPr>
          <w:rFonts w:ascii="Times New Roman" w:hAnsi="Times New Roman" w:cs="Times New Roman"/>
          <w:sz w:val="24"/>
          <w:szCs w:val="24"/>
        </w:rPr>
        <w:t>,</w:t>
      </w:r>
      <w:r w:rsidR="00CF453C">
        <w:rPr>
          <w:rFonts w:ascii="Times New Roman" w:hAnsi="Times New Roman" w:cs="Times New Roman"/>
          <w:sz w:val="24"/>
          <w:szCs w:val="24"/>
        </w:rPr>
        <w:t xml:space="preserve"> it will be very difficult for the applicant to overcome the hurdle of non-compliance with rules in regard to grounds</w:t>
      </w:r>
      <w:r w:rsidR="00B87950">
        <w:rPr>
          <w:rFonts w:ascii="Times New Roman" w:hAnsi="Times New Roman" w:cs="Times New Roman"/>
          <w:sz w:val="24"/>
          <w:szCs w:val="24"/>
        </w:rPr>
        <w:t xml:space="preserve"> of appeal.  Rules of the court</w:t>
      </w:r>
      <w:r w:rsidR="00CF453C">
        <w:rPr>
          <w:rFonts w:ascii="Times New Roman" w:hAnsi="Times New Roman" w:cs="Times New Roman"/>
          <w:sz w:val="24"/>
          <w:szCs w:val="24"/>
        </w:rPr>
        <w:t>, like law are to be obeyed for standardization and general observation.  Rubber stamping or endorsing flagrant noncompliance with the rules perpetuate the non-compliance instead of correcting</w:t>
      </w:r>
      <w:r w:rsidR="00B87950">
        <w:rPr>
          <w:rFonts w:ascii="Times New Roman" w:hAnsi="Times New Roman" w:cs="Times New Roman"/>
          <w:sz w:val="24"/>
          <w:szCs w:val="24"/>
        </w:rPr>
        <w:t xml:space="preserve"> them</w:t>
      </w:r>
      <w:r w:rsidR="00CF453C">
        <w:rPr>
          <w:rFonts w:ascii="Times New Roman" w:hAnsi="Times New Roman" w:cs="Times New Roman"/>
          <w:sz w:val="24"/>
          <w:szCs w:val="24"/>
        </w:rPr>
        <w:t xml:space="preserve">.  Applicants are likely not </w:t>
      </w:r>
      <w:r w:rsidR="00561EAA">
        <w:rPr>
          <w:rFonts w:ascii="Times New Roman" w:hAnsi="Times New Roman" w:cs="Times New Roman"/>
          <w:sz w:val="24"/>
          <w:szCs w:val="24"/>
        </w:rPr>
        <w:t xml:space="preserve">to </w:t>
      </w:r>
      <w:r w:rsidR="00CF453C">
        <w:rPr>
          <w:rFonts w:ascii="Times New Roman" w:hAnsi="Times New Roman" w:cs="Times New Roman"/>
          <w:sz w:val="24"/>
          <w:szCs w:val="24"/>
        </w:rPr>
        <w:t xml:space="preserve">succeed on the point raised by the respondents. </w:t>
      </w:r>
    </w:p>
    <w:p w:rsidR="00CF453C" w:rsidRDefault="00CF453C"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that I</w:t>
      </w:r>
      <w:r w:rsidR="00B87950">
        <w:rPr>
          <w:rFonts w:ascii="Times New Roman" w:hAnsi="Times New Roman" w:cs="Times New Roman"/>
          <w:sz w:val="24"/>
          <w:szCs w:val="24"/>
        </w:rPr>
        <w:t xml:space="preserve"> may have erred in coming to the </w:t>
      </w:r>
      <w:r>
        <w:rPr>
          <w:rFonts w:ascii="Times New Roman" w:hAnsi="Times New Roman" w:cs="Times New Roman"/>
          <w:sz w:val="24"/>
          <w:szCs w:val="24"/>
        </w:rPr>
        <w:t>conclusion</w:t>
      </w:r>
      <w:r w:rsidR="00B87950">
        <w:rPr>
          <w:rFonts w:ascii="Times New Roman" w:hAnsi="Times New Roman" w:cs="Times New Roman"/>
          <w:sz w:val="24"/>
          <w:szCs w:val="24"/>
        </w:rPr>
        <w:t>,</w:t>
      </w:r>
      <w:r>
        <w:rPr>
          <w:rFonts w:ascii="Times New Roman" w:hAnsi="Times New Roman" w:cs="Times New Roman"/>
          <w:sz w:val="24"/>
          <w:szCs w:val="24"/>
        </w:rPr>
        <w:t xml:space="preserve"> I am still of the view that there are no prospects of success on appeal on the salvaged ground</w:t>
      </w:r>
      <w:r w:rsidR="00B87950">
        <w:rPr>
          <w:rFonts w:ascii="Times New Roman" w:hAnsi="Times New Roman" w:cs="Times New Roman"/>
          <w:sz w:val="24"/>
          <w:szCs w:val="24"/>
        </w:rPr>
        <w:t>s</w:t>
      </w:r>
      <w:r>
        <w:rPr>
          <w:rFonts w:ascii="Times New Roman" w:hAnsi="Times New Roman" w:cs="Times New Roman"/>
          <w:sz w:val="24"/>
          <w:szCs w:val="24"/>
        </w:rPr>
        <w:t xml:space="preserve"> of appeal</w:t>
      </w:r>
      <w:r w:rsidR="00561EAA">
        <w:rPr>
          <w:rFonts w:ascii="Times New Roman" w:hAnsi="Times New Roman" w:cs="Times New Roman"/>
          <w:sz w:val="24"/>
          <w:szCs w:val="24"/>
        </w:rPr>
        <w:t>,</w:t>
      </w:r>
      <w:r w:rsidR="00B87950">
        <w:rPr>
          <w:rFonts w:ascii="Times New Roman" w:hAnsi="Times New Roman" w:cs="Times New Roman"/>
          <w:sz w:val="24"/>
          <w:szCs w:val="24"/>
        </w:rPr>
        <w:t xml:space="preserve"> on the following</w:t>
      </w:r>
      <w:r w:rsidR="00274CA1">
        <w:rPr>
          <w:rFonts w:ascii="Times New Roman" w:hAnsi="Times New Roman" w:cs="Times New Roman"/>
          <w:sz w:val="24"/>
          <w:szCs w:val="24"/>
        </w:rPr>
        <w:t xml:space="preserve"> reasons</w:t>
      </w:r>
      <w:r>
        <w:rPr>
          <w:rFonts w:ascii="Times New Roman" w:hAnsi="Times New Roman" w:cs="Times New Roman"/>
          <w:sz w:val="24"/>
          <w:szCs w:val="24"/>
        </w:rPr>
        <w:t>.</w:t>
      </w:r>
    </w:p>
    <w:p w:rsidR="00CF453C" w:rsidRDefault="00CF453C"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established law that for an application </w:t>
      </w:r>
      <w:r w:rsidR="006D5D0F">
        <w:rPr>
          <w:rFonts w:ascii="Times New Roman" w:hAnsi="Times New Roman" w:cs="Times New Roman"/>
          <w:sz w:val="24"/>
          <w:szCs w:val="24"/>
        </w:rPr>
        <w:t>for leave to appeal to the Supreme Court against the decision of the High Court in particular</w:t>
      </w:r>
      <w:r w:rsidR="00274CA1">
        <w:rPr>
          <w:rFonts w:ascii="Times New Roman" w:hAnsi="Times New Roman" w:cs="Times New Roman"/>
          <w:sz w:val="24"/>
          <w:szCs w:val="24"/>
        </w:rPr>
        <w:t>,</w:t>
      </w:r>
      <w:r w:rsidR="006D5D0F">
        <w:rPr>
          <w:rFonts w:ascii="Times New Roman" w:hAnsi="Times New Roman" w:cs="Times New Roman"/>
          <w:sz w:val="24"/>
          <w:szCs w:val="24"/>
        </w:rPr>
        <w:t xml:space="preserve"> and all the applications of this nature in general, the overriding factor is the prospects of success on appeal.  In the case of </w:t>
      </w:r>
      <w:r w:rsidR="006D5D0F" w:rsidRPr="006D5D0F">
        <w:rPr>
          <w:rFonts w:ascii="Times New Roman" w:hAnsi="Times New Roman" w:cs="Times New Roman"/>
          <w:i/>
          <w:sz w:val="24"/>
          <w:szCs w:val="24"/>
        </w:rPr>
        <w:t>Kereke</w:t>
      </w:r>
      <w:r w:rsidR="006D5D0F">
        <w:rPr>
          <w:rFonts w:ascii="Times New Roman" w:hAnsi="Times New Roman" w:cs="Times New Roman"/>
          <w:sz w:val="24"/>
          <w:szCs w:val="24"/>
        </w:rPr>
        <w:t xml:space="preserve"> v </w:t>
      </w:r>
      <w:r w:rsidR="006D5D0F" w:rsidRPr="006D5D0F">
        <w:rPr>
          <w:rFonts w:ascii="Times New Roman" w:hAnsi="Times New Roman" w:cs="Times New Roman"/>
          <w:i/>
          <w:sz w:val="24"/>
          <w:szCs w:val="24"/>
        </w:rPr>
        <w:t>Maramwidze</w:t>
      </w:r>
      <w:r w:rsidR="006D5D0F">
        <w:rPr>
          <w:rFonts w:ascii="Times New Roman" w:hAnsi="Times New Roman" w:cs="Times New Roman"/>
          <w:sz w:val="24"/>
          <w:szCs w:val="24"/>
        </w:rPr>
        <w:t xml:space="preserve"> </w:t>
      </w:r>
      <w:r w:rsidR="006D5D0F" w:rsidRPr="00274CA1">
        <w:rPr>
          <w:rFonts w:ascii="Times New Roman" w:hAnsi="Times New Roman" w:cs="Times New Roman"/>
          <w:i/>
          <w:sz w:val="24"/>
          <w:szCs w:val="24"/>
        </w:rPr>
        <w:t xml:space="preserve">and Anor </w:t>
      </w:r>
      <w:r w:rsidR="00274CA1">
        <w:rPr>
          <w:rFonts w:ascii="Times New Roman" w:hAnsi="Times New Roman" w:cs="Times New Roman"/>
          <w:sz w:val="24"/>
          <w:szCs w:val="24"/>
        </w:rPr>
        <w:t>SC 86/21 the A</w:t>
      </w:r>
      <w:r w:rsidR="006D5D0F">
        <w:rPr>
          <w:rFonts w:ascii="Times New Roman" w:hAnsi="Times New Roman" w:cs="Times New Roman"/>
          <w:sz w:val="24"/>
          <w:szCs w:val="24"/>
        </w:rPr>
        <w:t>ppella</w:t>
      </w:r>
      <w:r w:rsidR="00274CA1">
        <w:rPr>
          <w:rFonts w:ascii="Times New Roman" w:hAnsi="Times New Roman" w:cs="Times New Roman"/>
          <w:sz w:val="24"/>
          <w:szCs w:val="24"/>
        </w:rPr>
        <w:t>te C</w:t>
      </w:r>
      <w:r w:rsidR="006D5D0F">
        <w:rPr>
          <w:rFonts w:ascii="Times New Roman" w:hAnsi="Times New Roman" w:cs="Times New Roman"/>
          <w:sz w:val="24"/>
          <w:szCs w:val="24"/>
        </w:rPr>
        <w:t xml:space="preserve">ourt discussed the factors to be considered in </w:t>
      </w:r>
      <w:r w:rsidR="00274CA1">
        <w:rPr>
          <w:rFonts w:ascii="Times New Roman" w:hAnsi="Times New Roman" w:cs="Times New Roman"/>
          <w:sz w:val="24"/>
          <w:szCs w:val="24"/>
        </w:rPr>
        <w:t xml:space="preserve">such </w:t>
      </w:r>
      <w:r w:rsidR="006D5D0F">
        <w:rPr>
          <w:rFonts w:ascii="Times New Roman" w:hAnsi="Times New Roman" w:cs="Times New Roman"/>
          <w:sz w:val="24"/>
          <w:szCs w:val="24"/>
        </w:rPr>
        <w:t xml:space="preserve">an application as </w:t>
      </w:r>
      <w:r w:rsidR="00561EAA">
        <w:rPr>
          <w:rFonts w:ascii="Times New Roman" w:hAnsi="Times New Roman" w:cs="Times New Roman"/>
          <w:sz w:val="24"/>
          <w:szCs w:val="24"/>
        </w:rPr>
        <w:t xml:space="preserve"> highlighted in </w:t>
      </w:r>
      <w:r w:rsidR="006D5D0F" w:rsidRPr="006D5D0F">
        <w:rPr>
          <w:rFonts w:ascii="Times New Roman" w:hAnsi="Times New Roman" w:cs="Times New Roman"/>
          <w:i/>
          <w:sz w:val="24"/>
          <w:szCs w:val="24"/>
        </w:rPr>
        <w:t>Chikurunhe</w:t>
      </w:r>
      <w:r w:rsidR="006D5D0F">
        <w:rPr>
          <w:rFonts w:ascii="Times New Roman" w:hAnsi="Times New Roman" w:cs="Times New Roman"/>
          <w:sz w:val="24"/>
          <w:szCs w:val="24"/>
        </w:rPr>
        <w:t xml:space="preserve"> v </w:t>
      </w:r>
      <w:r w:rsidR="006D5D0F" w:rsidRPr="006D5D0F">
        <w:rPr>
          <w:rFonts w:ascii="Times New Roman" w:hAnsi="Times New Roman" w:cs="Times New Roman"/>
          <w:i/>
          <w:sz w:val="24"/>
          <w:szCs w:val="24"/>
        </w:rPr>
        <w:t>Zimbabwe Financial Holdings</w:t>
      </w:r>
      <w:r w:rsidR="006D5D0F">
        <w:rPr>
          <w:rFonts w:ascii="Times New Roman" w:hAnsi="Times New Roman" w:cs="Times New Roman"/>
          <w:sz w:val="24"/>
          <w:szCs w:val="24"/>
        </w:rPr>
        <w:t xml:space="preserve"> SC 10-18</w:t>
      </w:r>
      <w:r w:rsidR="0026236C">
        <w:rPr>
          <w:rFonts w:ascii="Times New Roman" w:hAnsi="Times New Roman" w:cs="Times New Roman"/>
          <w:sz w:val="24"/>
          <w:szCs w:val="24"/>
        </w:rPr>
        <w:t>,</w:t>
      </w:r>
      <w:r w:rsidR="006D5D0F">
        <w:rPr>
          <w:rFonts w:ascii="Times New Roman" w:hAnsi="Times New Roman" w:cs="Times New Roman"/>
          <w:sz w:val="24"/>
          <w:szCs w:val="24"/>
        </w:rPr>
        <w:t xml:space="preserve"> which is authority that,</w:t>
      </w:r>
      <w:r w:rsidR="00946E7E">
        <w:rPr>
          <w:rFonts w:ascii="Times New Roman" w:hAnsi="Times New Roman" w:cs="Times New Roman"/>
          <w:sz w:val="24"/>
          <w:szCs w:val="24"/>
        </w:rPr>
        <w:t xml:space="preserve"> </w:t>
      </w:r>
    </w:p>
    <w:p w:rsidR="00946E7E" w:rsidRDefault="00946E7E" w:rsidP="00946E7E">
      <w:pPr>
        <w:spacing w:after="0" w:line="240" w:lineRule="auto"/>
        <w:ind w:left="720"/>
        <w:jc w:val="both"/>
        <w:rPr>
          <w:rFonts w:ascii="Times New Roman" w:hAnsi="Times New Roman" w:cs="Times New Roman"/>
        </w:rPr>
      </w:pPr>
      <w:r w:rsidRPr="00946E7E">
        <w:rPr>
          <w:rFonts w:ascii="Times New Roman" w:hAnsi="Times New Roman" w:cs="Times New Roman"/>
        </w:rPr>
        <w:t xml:space="preserve">“The party seeking leave to must show </w:t>
      </w:r>
      <w:r w:rsidRPr="00946E7E">
        <w:rPr>
          <w:rFonts w:ascii="Times New Roman" w:hAnsi="Times New Roman" w:cs="Times New Roman"/>
          <w:i/>
        </w:rPr>
        <w:t>inter alia</w:t>
      </w:r>
      <w:r w:rsidRPr="00946E7E">
        <w:rPr>
          <w:rFonts w:ascii="Times New Roman" w:hAnsi="Times New Roman" w:cs="Times New Roman"/>
        </w:rPr>
        <w:t xml:space="preserve"> that he has prospects of success on appeal.  In other words leave is not granted simply because a party has sought such leave.”</w:t>
      </w:r>
    </w:p>
    <w:p w:rsidR="00946E7E" w:rsidRPr="00946E7E" w:rsidRDefault="00946E7E" w:rsidP="00946E7E">
      <w:pPr>
        <w:spacing w:after="0" w:line="240" w:lineRule="auto"/>
        <w:ind w:left="720"/>
        <w:jc w:val="both"/>
        <w:rPr>
          <w:rFonts w:ascii="Times New Roman" w:hAnsi="Times New Roman" w:cs="Times New Roman"/>
        </w:rPr>
      </w:pPr>
    </w:p>
    <w:p w:rsidR="00946E7E" w:rsidRDefault="00946E7E"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46E7E">
        <w:rPr>
          <w:rFonts w:ascii="Times New Roman" w:hAnsi="Times New Roman" w:cs="Times New Roman"/>
          <w:i/>
          <w:sz w:val="24"/>
          <w:szCs w:val="24"/>
        </w:rPr>
        <w:t>S</w:t>
      </w:r>
      <w:r>
        <w:rPr>
          <w:rFonts w:ascii="Times New Roman" w:hAnsi="Times New Roman" w:cs="Times New Roman"/>
          <w:sz w:val="24"/>
          <w:szCs w:val="24"/>
        </w:rPr>
        <w:t xml:space="preserve"> v </w:t>
      </w:r>
      <w:r w:rsidRPr="00946E7E">
        <w:rPr>
          <w:rFonts w:ascii="Times New Roman" w:hAnsi="Times New Roman" w:cs="Times New Roman"/>
          <w:i/>
          <w:sz w:val="24"/>
          <w:szCs w:val="24"/>
        </w:rPr>
        <w:t xml:space="preserve">Mutasa </w:t>
      </w:r>
      <w:r>
        <w:rPr>
          <w:rFonts w:ascii="Times New Roman" w:hAnsi="Times New Roman" w:cs="Times New Roman"/>
          <w:sz w:val="24"/>
          <w:szCs w:val="24"/>
        </w:rPr>
        <w:t>1988(2</w:t>
      </w:r>
      <w:r w:rsidR="002C7C9E">
        <w:rPr>
          <w:rFonts w:ascii="Times New Roman" w:hAnsi="Times New Roman" w:cs="Times New Roman"/>
          <w:sz w:val="24"/>
          <w:szCs w:val="24"/>
        </w:rPr>
        <w:t xml:space="preserve">) </w:t>
      </w:r>
      <w:r>
        <w:rPr>
          <w:rFonts w:ascii="Times New Roman" w:hAnsi="Times New Roman" w:cs="Times New Roman"/>
          <w:sz w:val="24"/>
          <w:szCs w:val="24"/>
        </w:rPr>
        <w:t>ZLR 4(S) it was held that;</w:t>
      </w:r>
    </w:p>
    <w:p w:rsidR="00946E7E" w:rsidRDefault="00946E7E" w:rsidP="00022F1A">
      <w:pPr>
        <w:spacing w:after="0" w:line="240" w:lineRule="auto"/>
        <w:ind w:left="720"/>
        <w:jc w:val="both"/>
        <w:rPr>
          <w:rFonts w:ascii="Times New Roman" w:hAnsi="Times New Roman" w:cs="Times New Roman"/>
        </w:rPr>
      </w:pPr>
      <w:r w:rsidRPr="00022F1A">
        <w:rPr>
          <w:rFonts w:ascii="Times New Roman" w:hAnsi="Times New Roman" w:cs="Times New Roman"/>
        </w:rPr>
        <w:t>“</w:t>
      </w:r>
      <w:r w:rsidR="002C7C9E" w:rsidRPr="00022F1A">
        <w:rPr>
          <w:rFonts w:ascii="Times New Roman" w:hAnsi="Times New Roman" w:cs="Times New Roman"/>
        </w:rPr>
        <w:t>the test to be applied when considering the application is whether the applicant has a reasonable prospect of success.  If he has, then leave to appeal should be granted.”</w:t>
      </w:r>
    </w:p>
    <w:p w:rsidR="00022F1A" w:rsidRPr="00022F1A" w:rsidRDefault="00022F1A" w:rsidP="00022F1A">
      <w:pPr>
        <w:spacing w:after="0" w:line="240" w:lineRule="auto"/>
        <w:ind w:left="720"/>
        <w:jc w:val="both"/>
        <w:rPr>
          <w:rFonts w:ascii="Times New Roman" w:hAnsi="Times New Roman" w:cs="Times New Roman"/>
        </w:rPr>
      </w:pPr>
    </w:p>
    <w:p w:rsidR="0010574D" w:rsidRDefault="002C7C9E"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2C7C9E">
        <w:rPr>
          <w:rFonts w:ascii="Times New Roman" w:hAnsi="Times New Roman" w:cs="Times New Roman"/>
          <w:i/>
          <w:sz w:val="24"/>
          <w:szCs w:val="24"/>
        </w:rPr>
        <w:t xml:space="preserve">Madamombe </w:t>
      </w:r>
      <w:r>
        <w:rPr>
          <w:rFonts w:ascii="Times New Roman" w:hAnsi="Times New Roman" w:cs="Times New Roman"/>
          <w:sz w:val="24"/>
          <w:szCs w:val="24"/>
        </w:rPr>
        <w:t xml:space="preserve">v </w:t>
      </w:r>
      <w:r w:rsidRPr="002C7C9E">
        <w:rPr>
          <w:rFonts w:ascii="Times New Roman" w:hAnsi="Times New Roman" w:cs="Times New Roman"/>
          <w:i/>
          <w:sz w:val="24"/>
          <w:szCs w:val="24"/>
        </w:rPr>
        <w:t>The State</w:t>
      </w:r>
      <w:r>
        <w:rPr>
          <w:rFonts w:ascii="Times New Roman" w:hAnsi="Times New Roman" w:cs="Times New Roman"/>
          <w:sz w:val="24"/>
          <w:szCs w:val="24"/>
        </w:rPr>
        <w:t xml:space="preserve"> SC 117/21.</w:t>
      </w:r>
      <w:r w:rsidR="00022F1A">
        <w:rPr>
          <w:rFonts w:ascii="Times New Roman" w:hAnsi="Times New Roman" w:cs="Times New Roman"/>
          <w:sz w:val="24"/>
          <w:szCs w:val="24"/>
        </w:rPr>
        <w:t xml:space="preserve">  </w:t>
      </w:r>
    </w:p>
    <w:p w:rsidR="002C7C9E" w:rsidRDefault="00022F1A" w:rsidP="008E4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constitutes reasonable prospects of success was pronounced in the case of </w:t>
      </w:r>
      <w:r w:rsidRPr="00022F1A">
        <w:rPr>
          <w:rFonts w:ascii="Times New Roman" w:hAnsi="Times New Roman" w:cs="Times New Roman"/>
          <w:i/>
          <w:sz w:val="24"/>
          <w:szCs w:val="24"/>
        </w:rPr>
        <w:t>Smith</w:t>
      </w:r>
      <w:r>
        <w:rPr>
          <w:rFonts w:ascii="Times New Roman" w:hAnsi="Times New Roman" w:cs="Times New Roman"/>
          <w:sz w:val="24"/>
          <w:szCs w:val="24"/>
        </w:rPr>
        <w:t xml:space="preserve"> v </w:t>
      </w:r>
      <w:r w:rsidRPr="00022F1A">
        <w:rPr>
          <w:rFonts w:ascii="Times New Roman" w:hAnsi="Times New Roman" w:cs="Times New Roman"/>
          <w:i/>
          <w:sz w:val="24"/>
          <w:szCs w:val="24"/>
        </w:rPr>
        <w:t>S</w:t>
      </w:r>
      <w:r w:rsidR="00EA249E">
        <w:rPr>
          <w:rFonts w:ascii="Times New Roman" w:hAnsi="Times New Roman" w:cs="Times New Roman"/>
          <w:i/>
          <w:sz w:val="24"/>
          <w:szCs w:val="24"/>
        </w:rPr>
        <w:t>,</w:t>
      </w:r>
      <w:r w:rsidR="00EA249E">
        <w:rPr>
          <w:rFonts w:ascii="Times New Roman" w:hAnsi="Times New Roman" w:cs="Times New Roman"/>
          <w:sz w:val="24"/>
          <w:szCs w:val="24"/>
        </w:rPr>
        <w:t xml:space="preserve"> </w:t>
      </w:r>
      <w:r>
        <w:rPr>
          <w:rFonts w:ascii="Times New Roman" w:hAnsi="Times New Roman" w:cs="Times New Roman"/>
          <w:sz w:val="24"/>
          <w:szCs w:val="24"/>
        </w:rPr>
        <w:t>2012 (1) SACR 567 (SCA) para 7 as;</w:t>
      </w:r>
    </w:p>
    <w:p w:rsidR="00022F1A" w:rsidRDefault="00561EAA" w:rsidP="004B6347">
      <w:pPr>
        <w:spacing w:after="0" w:line="240" w:lineRule="auto"/>
        <w:ind w:left="720"/>
        <w:jc w:val="both"/>
        <w:rPr>
          <w:rFonts w:ascii="Times New Roman" w:hAnsi="Times New Roman" w:cs="Times New Roman"/>
        </w:rPr>
      </w:pPr>
      <w:r>
        <w:rPr>
          <w:rFonts w:ascii="Times New Roman" w:hAnsi="Times New Roman" w:cs="Times New Roman"/>
        </w:rPr>
        <w:t>“W</w:t>
      </w:r>
      <w:r w:rsidR="00022F1A" w:rsidRPr="004B6347">
        <w:rPr>
          <w:rFonts w:ascii="Times New Roman" w:hAnsi="Times New Roman" w:cs="Times New Roman"/>
        </w:rPr>
        <w:t>hat the test of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w:t>
      </w:r>
      <w:r w:rsidR="003A3BCF">
        <w:rPr>
          <w:rFonts w:ascii="Times New Roman" w:hAnsi="Times New Roman" w:cs="Times New Roman"/>
        </w:rPr>
        <w:t>s</w:t>
      </w:r>
      <w:r w:rsidR="00022F1A" w:rsidRPr="004B6347">
        <w:rPr>
          <w:rFonts w:ascii="Times New Roman" w:hAnsi="Times New Roman" w:cs="Times New Roman"/>
        </w:rPr>
        <w:t xml:space="preserve"> th</w:t>
      </w:r>
      <w:r w:rsidR="003A3BCF">
        <w:rPr>
          <w:rFonts w:ascii="Times New Roman" w:hAnsi="Times New Roman" w:cs="Times New Roman"/>
        </w:rPr>
        <w:t xml:space="preserve">at he has prospects of success on appeal that are not remote </w:t>
      </w:r>
      <w:r w:rsidR="00022F1A" w:rsidRPr="004B6347">
        <w:rPr>
          <w:rFonts w:ascii="Times New Roman" w:hAnsi="Times New Roman" w:cs="Times New Roman"/>
        </w:rPr>
        <w:t xml:space="preserve">but have a realistic chance of succeeding.  More is required to be established than that there is a mere possibility of success, </w:t>
      </w:r>
      <w:r w:rsidR="009C2B62" w:rsidRPr="004B6347">
        <w:rPr>
          <w:rFonts w:ascii="Times New Roman" w:hAnsi="Times New Roman" w:cs="Times New Roman"/>
        </w:rPr>
        <w:t>that the case is arguable on appeal, or that the case cannot be categorized as hopeless.  There must, in other words, be a sound rational basis for the</w:t>
      </w:r>
      <w:r w:rsidR="004B6347" w:rsidRPr="004B6347">
        <w:rPr>
          <w:rFonts w:ascii="Times New Roman" w:hAnsi="Times New Roman" w:cs="Times New Roman"/>
        </w:rPr>
        <w:t xml:space="preserve"> conclusion that there are prospects of success on appeal.”</w:t>
      </w:r>
    </w:p>
    <w:p w:rsidR="004B6347" w:rsidRDefault="004B6347" w:rsidP="004B6347">
      <w:pPr>
        <w:spacing w:after="0" w:line="240" w:lineRule="auto"/>
        <w:jc w:val="both"/>
        <w:rPr>
          <w:rFonts w:ascii="Times New Roman" w:hAnsi="Times New Roman" w:cs="Times New Roman"/>
        </w:rPr>
      </w:pPr>
    </w:p>
    <w:p w:rsidR="004B6347" w:rsidRDefault="002030A3" w:rsidP="004B6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w:t>
      </w:r>
      <w:r w:rsidR="003A3BCF">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008F4479">
        <w:rPr>
          <w:rFonts w:ascii="Times New Roman" w:hAnsi="Times New Roman" w:cs="Times New Roman"/>
          <w:sz w:val="24"/>
          <w:szCs w:val="24"/>
        </w:rPr>
        <w:t>analysis, the judgment of the court</w:t>
      </w:r>
      <w:r w:rsidR="003A3BCF">
        <w:rPr>
          <w:rFonts w:ascii="Times New Roman" w:hAnsi="Times New Roman" w:cs="Times New Roman"/>
          <w:sz w:val="24"/>
          <w:szCs w:val="24"/>
        </w:rPr>
        <w:t xml:space="preserve"> in case HC 4469/21</w:t>
      </w:r>
      <w:r w:rsidR="008F4479">
        <w:rPr>
          <w:rFonts w:ascii="Times New Roman" w:hAnsi="Times New Roman" w:cs="Times New Roman"/>
          <w:sz w:val="24"/>
          <w:szCs w:val="24"/>
        </w:rPr>
        <w:t xml:space="preserve"> was the dismissal of applicants’ matters</w:t>
      </w:r>
      <w:r w:rsidR="003A3BCF">
        <w:rPr>
          <w:rFonts w:ascii="Times New Roman" w:hAnsi="Times New Roman" w:cs="Times New Roman"/>
          <w:sz w:val="24"/>
          <w:szCs w:val="24"/>
        </w:rPr>
        <w:t>,</w:t>
      </w:r>
      <w:r w:rsidR="008F4479">
        <w:rPr>
          <w:rFonts w:ascii="Times New Roman" w:hAnsi="Times New Roman" w:cs="Times New Roman"/>
          <w:sz w:val="24"/>
          <w:szCs w:val="24"/>
        </w:rPr>
        <w:t xml:space="preserve"> HC 1230/19 and HC 3457/19.  The attack by the applicants as can be sifted through its ground of appeal which I have already condemned, is against the reasoning of the court.  </w:t>
      </w:r>
      <w:r w:rsidR="00561EAA">
        <w:rPr>
          <w:rFonts w:ascii="Times New Roman" w:hAnsi="Times New Roman" w:cs="Times New Roman"/>
          <w:sz w:val="24"/>
          <w:szCs w:val="24"/>
        </w:rPr>
        <w:t xml:space="preserve">In </w:t>
      </w:r>
      <w:r w:rsidR="0026236C">
        <w:rPr>
          <w:rFonts w:ascii="Times New Roman" w:hAnsi="Times New Roman" w:cs="Times New Roman"/>
          <w:sz w:val="24"/>
          <w:szCs w:val="24"/>
        </w:rPr>
        <w:t>my view the court</w:t>
      </w:r>
      <w:r w:rsidR="00561EAA">
        <w:rPr>
          <w:rFonts w:ascii="Times New Roman" w:hAnsi="Times New Roman" w:cs="Times New Roman"/>
          <w:sz w:val="24"/>
          <w:szCs w:val="24"/>
        </w:rPr>
        <w:t xml:space="preserve"> clearly reasoned that</w:t>
      </w:r>
      <w:r w:rsidR="0026236C">
        <w:rPr>
          <w:rFonts w:ascii="Times New Roman" w:hAnsi="Times New Roman" w:cs="Times New Roman"/>
          <w:sz w:val="24"/>
          <w:szCs w:val="24"/>
        </w:rPr>
        <w:t>,</w:t>
      </w:r>
      <w:r w:rsidR="008F4479">
        <w:rPr>
          <w:rFonts w:ascii="Times New Roman" w:hAnsi="Times New Roman" w:cs="Times New Roman"/>
          <w:sz w:val="24"/>
          <w:szCs w:val="24"/>
        </w:rPr>
        <w:t xml:space="preserve"> the notices of withdrawal where invalid </w:t>
      </w:r>
      <w:r w:rsidR="00561EAA">
        <w:rPr>
          <w:rFonts w:ascii="Times New Roman" w:hAnsi="Times New Roman" w:cs="Times New Roman"/>
          <w:sz w:val="24"/>
          <w:szCs w:val="24"/>
        </w:rPr>
        <w:t>based on the fact</w:t>
      </w:r>
      <w:r w:rsidR="008F4479">
        <w:rPr>
          <w:rFonts w:ascii="Times New Roman" w:hAnsi="Times New Roman" w:cs="Times New Roman"/>
          <w:sz w:val="24"/>
          <w:szCs w:val="24"/>
        </w:rPr>
        <w:t xml:space="preserve"> that the main application </w:t>
      </w:r>
      <w:r w:rsidR="00561EAA">
        <w:rPr>
          <w:rFonts w:ascii="Times New Roman" w:hAnsi="Times New Roman" w:cs="Times New Roman"/>
          <w:sz w:val="24"/>
          <w:szCs w:val="24"/>
        </w:rPr>
        <w:t>was</w:t>
      </w:r>
      <w:r w:rsidR="008F4479">
        <w:rPr>
          <w:rFonts w:ascii="Times New Roman" w:hAnsi="Times New Roman" w:cs="Times New Roman"/>
          <w:sz w:val="24"/>
          <w:szCs w:val="24"/>
        </w:rPr>
        <w:t xml:space="preserve"> </w:t>
      </w:r>
      <w:r w:rsidR="003A3BCF">
        <w:rPr>
          <w:rFonts w:ascii="Times New Roman" w:hAnsi="Times New Roman" w:cs="Times New Roman"/>
          <w:sz w:val="24"/>
          <w:szCs w:val="24"/>
        </w:rPr>
        <w:t>for dismissal for wan</w:t>
      </w:r>
      <w:r w:rsidR="008F4479">
        <w:rPr>
          <w:rFonts w:ascii="Times New Roman" w:hAnsi="Times New Roman" w:cs="Times New Roman"/>
          <w:sz w:val="24"/>
          <w:szCs w:val="24"/>
        </w:rPr>
        <w:t xml:space="preserve">t of prosecution, </w:t>
      </w:r>
      <w:r w:rsidR="00561EAA">
        <w:rPr>
          <w:rFonts w:ascii="Times New Roman" w:hAnsi="Times New Roman" w:cs="Times New Roman"/>
          <w:sz w:val="24"/>
          <w:szCs w:val="24"/>
        </w:rPr>
        <w:t>which was the</w:t>
      </w:r>
      <w:r w:rsidR="008F4479">
        <w:rPr>
          <w:rFonts w:ascii="Times New Roman" w:hAnsi="Times New Roman" w:cs="Times New Roman"/>
          <w:sz w:val="24"/>
          <w:szCs w:val="24"/>
        </w:rPr>
        <w:t xml:space="preserve"> application that was before it</w:t>
      </w:r>
      <w:r w:rsidR="00561EAA">
        <w:rPr>
          <w:rFonts w:ascii="Times New Roman" w:hAnsi="Times New Roman" w:cs="Times New Roman"/>
          <w:sz w:val="24"/>
          <w:szCs w:val="24"/>
        </w:rPr>
        <w:t xml:space="preserve"> </w:t>
      </w:r>
      <w:r w:rsidR="0026236C">
        <w:rPr>
          <w:rFonts w:ascii="Times New Roman" w:hAnsi="Times New Roman" w:cs="Times New Roman"/>
          <w:sz w:val="24"/>
          <w:szCs w:val="24"/>
        </w:rPr>
        <w:t xml:space="preserve">and </w:t>
      </w:r>
      <w:r w:rsidR="00561EAA">
        <w:rPr>
          <w:rFonts w:ascii="Times New Roman" w:hAnsi="Times New Roman" w:cs="Times New Roman"/>
          <w:sz w:val="24"/>
          <w:szCs w:val="24"/>
        </w:rPr>
        <w:t>could not be separated from those matters it was set to dismiss</w:t>
      </w:r>
      <w:r w:rsidR="008F4479">
        <w:rPr>
          <w:rFonts w:ascii="Times New Roman" w:hAnsi="Times New Roman" w:cs="Times New Roman"/>
          <w:sz w:val="24"/>
          <w:szCs w:val="24"/>
        </w:rPr>
        <w:t>.</w:t>
      </w:r>
    </w:p>
    <w:p w:rsidR="00ED357A" w:rsidRDefault="008F4479" w:rsidP="004B6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respondent</w:t>
      </w:r>
      <w:r w:rsidR="003A3BCF">
        <w:rPr>
          <w:rFonts w:ascii="Times New Roman" w:hAnsi="Times New Roman" w:cs="Times New Roman"/>
          <w:sz w:val="24"/>
          <w:szCs w:val="24"/>
        </w:rPr>
        <w:t>,</w:t>
      </w:r>
      <w:r>
        <w:rPr>
          <w:rFonts w:ascii="Times New Roman" w:hAnsi="Times New Roman" w:cs="Times New Roman"/>
          <w:sz w:val="24"/>
          <w:szCs w:val="24"/>
        </w:rPr>
        <w:t xml:space="preserve"> that</w:t>
      </w:r>
      <w:r w:rsidR="003A3BCF">
        <w:rPr>
          <w:rFonts w:ascii="Times New Roman" w:hAnsi="Times New Roman" w:cs="Times New Roman"/>
          <w:sz w:val="24"/>
          <w:szCs w:val="24"/>
        </w:rPr>
        <w:t xml:space="preserve"> these</w:t>
      </w:r>
      <w:r>
        <w:rPr>
          <w:rFonts w:ascii="Times New Roman" w:hAnsi="Times New Roman" w:cs="Times New Roman"/>
          <w:sz w:val="24"/>
          <w:szCs w:val="24"/>
        </w:rPr>
        <w:t xml:space="preserve"> there where obite</w:t>
      </w:r>
      <w:r w:rsidR="003A3BCF">
        <w:rPr>
          <w:rFonts w:ascii="Times New Roman" w:hAnsi="Times New Roman" w:cs="Times New Roman"/>
          <w:sz w:val="24"/>
          <w:szCs w:val="24"/>
        </w:rPr>
        <w:t>r</w:t>
      </w:r>
      <w:r>
        <w:rPr>
          <w:rFonts w:ascii="Times New Roman" w:hAnsi="Times New Roman" w:cs="Times New Roman"/>
          <w:sz w:val="24"/>
          <w:szCs w:val="24"/>
        </w:rPr>
        <w:t xml:space="preserve"> remarks and not subject to an appeal.  In </w:t>
      </w:r>
      <w:r w:rsidRPr="008F4479">
        <w:rPr>
          <w:rFonts w:ascii="Times New Roman" w:hAnsi="Times New Roman" w:cs="Times New Roman"/>
          <w:i/>
          <w:sz w:val="24"/>
          <w:szCs w:val="24"/>
        </w:rPr>
        <w:t>JF Schalkwyk and 3 others</w:t>
      </w:r>
      <w:r>
        <w:rPr>
          <w:rFonts w:ascii="Times New Roman" w:hAnsi="Times New Roman" w:cs="Times New Roman"/>
          <w:sz w:val="24"/>
          <w:szCs w:val="24"/>
        </w:rPr>
        <w:t xml:space="preserve"> v </w:t>
      </w:r>
      <w:r w:rsidRPr="008F4479">
        <w:rPr>
          <w:rFonts w:ascii="Times New Roman" w:hAnsi="Times New Roman" w:cs="Times New Roman"/>
          <w:i/>
          <w:sz w:val="24"/>
          <w:szCs w:val="24"/>
        </w:rPr>
        <w:t>The Ministry of Justice</w:t>
      </w:r>
      <w:r>
        <w:rPr>
          <w:rFonts w:ascii="Times New Roman" w:hAnsi="Times New Roman" w:cs="Times New Roman"/>
          <w:sz w:val="24"/>
          <w:szCs w:val="24"/>
        </w:rPr>
        <w:t xml:space="preserve"> and </w:t>
      </w:r>
      <w:r w:rsidRPr="003A3BCF">
        <w:rPr>
          <w:rFonts w:ascii="Times New Roman" w:hAnsi="Times New Roman" w:cs="Times New Roman"/>
          <w:i/>
          <w:sz w:val="24"/>
          <w:szCs w:val="24"/>
        </w:rPr>
        <w:t>Constitutional Development</w:t>
      </w:r>
      <w:r>
        <w:rPr>
          <w:rFonts w:ascii="Times New Roman" w:hAnsi="Times New Roman" w:cs="Times New Roman"/>
          <w:sz w:val="24"/>
          <w:szCs w:val="24"/>
        </w:rPr>
        <w:t xml:space="preserve"> </w:t>
      </w:r>
      <w:r w:rsidRPr="003A3BCF">
        <w:rPr>
          <w:rFonts w:ascii="Times New Roman" w:hAnsi="Times New Roman" w:cs="Times New Roman"/>
          <w:i/>
          <w:sz w:val="24"/>
          <w:szCs w:val="24"/>
        </w:rPr>
        <w:t>and 2 ors</w:t>
      </w:r>
      <w:r w:rsidR="003A3BCF">
        <w:rPr>
          <w:rFonts w:ascii="Times New Roman" w:hAnsi="Times New Roman" w:cs="Times New Roman"/>
          <w:sz w:val="24"/>
          <w:szCs w:val="24"/>
        </w:rPr>
        <w:t xml:space="preserve"> SC 5439/2017 it was noted that,</w:t>
      </w:r>
    </w:p>
    <w:p w:rsidR="00ED357A" w:rsidRDefault="008F4479" w:rsidP="00ED357A">
      <w:pPr>
        <w:spacing w:after="0" w:line="360" w:lineRule="auto"/>
        <w:ind w:firstLine="720"/>
        <w:jc w:val="both"/>
        <w:rPr>
          <w:rFonts w:ascii="Times New Roman" w:hAnsi="Times New Roman" w:cs="Times New Roman"/>
        </w:rPr>
      </w:pPr>
      <w:r w:rsidRPr="008F4479">
        <w:rPr>
          <w:rFonts w:ascii="Times New Roman" w:hAnsi="Times New Roman" w:cs="Times New Roman"/>
        </w:rPr>
        <w:t>“I am mindful of the fact that an appeal is solely aimed at an order of the court and not its reasons.”</w:t>
      </w:r>
    </w:p>
    <w:p w:rsidR="00ED357A" w:rsidRDefault="00ED357A" w:rsidP="00ED357A">
      <w:pPr>
        <w:spacing w:after="0" w:line="360" w:lineRule="auto"/>
        <w:ind w:firstLine="720"/>
        <w:jc w:val="both"/>
        <w:rPr>
          <w:rFonts w:ascii="Times New Roman" w:hAnsi="Times New Roman" w:cs="Times New Roman"/>
        </w:rPr>
      </w:pPr>
    </w:p>
    <w:p w:rsidR="008F4479" w:rsidRPr="00ED357A" w:rsidRDefault="008F4479" w:rsidP="00ED357A">
      <w:pPr>
        <w:spacing w:after="0" w:line="360" w:lineRule="auto"/>
        <w:ind w:firstLine="720"/>
        <w:jc w:val="both"/>
        <w:rPr>
          <w:rFonts w:ascii="Times New Roman" w:hAnsi="Times New Roman" w:cs="Times New Roman"/>
        </w:rPr>
      </w:pPr>
      <w:r>
        <w:rPr>
          <w:rFonts w:ascii="Times New Roman" w:hAnsi="Times New Roman" w:cs="Times New Roman"/>
          <w:sz w:val="24"/>
          <w:szCs w:val="24"/>
        </w:rPr>
        <w:t>I am also not persuaded by the applicants’ argument that the</w:t>
      </w:r>
      <w:r w:rsidR="003A3BCF">
        <w:rPr>
          <w:rFonts w:ascii="Times New Roman" w:hAnsi="Times New Roman" w:cs="Times New Roman"/>
          <w:sz w:val="24"/>
          <w:szCs w:val="24"/>
        </w:rPr>
        <w:t>y do have prospects of success o</w:t>
      </w:r>
      <w:r>
        <w:rPr>
          <w:rFonts w:ascii="Times New Roman" w:hAnsi="Times New Roman" w:cs="Times New Roman"/>
          <w:sz w:val="24"/>
          <w:szCs w:val="24"/>
        </w:rPr>
        <w:t>n appeal.  The reas</w:t>
      </w:r>
      <w:r w:rsidR="003A3BCF">
        <w:rPr>
          <w:rFonts w:ascii="Times New Roman" w:hAnsi="Times New Roman" w:cs="Times New Roman"/>
          <w:sz w:val="24"/>
          <w:szCs w:val="24"/>
        </w:rPr>
        <w:t>oning of the court under impugn</w:t>
      </w:r>
      <w:r>
        <w:rPr>
          <w:rFonts w:ascii="Times New Roman" w:hAnsi="Times New Roman" w:cs="Times New Roman"/>
          <w:sz w:val="24"/>
          <w:szCs w:val="24"/>
        </w:rPr>
        <w:t xml:space="preserve"> cannot be fa</w:t>
      </w:r>
      <w:r w:rsidR="003A3BCF">
        <w:rPr>
          <w:rFonts w:ascii="Times New Roman" w:hAnsi="Times New Roman" w:cs="Times New Roman"/>
          <w:sz w:val="24"/>
          <w:szCs w:val="24"/>
        </w:rPr>
        <w:t>ulted</w:t>
      </w:r>
      <w:r>
        <w:rPr>
          <w:rFonts w:ascii="Times New Roman" w:hAnsi="Times New Roman" w:cs="Times New Roman"/>
          <w:sz w:val="24"/>
          <w:szCs w:val="24"/>
        </w:rPr>
        <w:t xml:space="preserve">.  It is supported by the facts and the law.  My summation of what emerges from the facts is undisputedly </w:t>
      </w:r>
      <w:r w:rsidR="003A3BCF">
        <w:rPr>
          <w:rFonts w:ascii="Times New Roman" w:hAnsi="Times New Roman" w:cs="Times New Roman"/>
          <w:sz w:val="24"/>
          <w:szCs w:val="24"/>
        </w:rPr>
        <w:t>that</w:t>
      </w:r>
      <w:r w:rsidR="00ED357A">
        <w:rPr>
          <w:rFonts w:ascii="Times New Roman" w:hAnsi="Times New Roman" w:cs="Times New Roman"/>
          <w:sz w:val="24"/>
          <w:szCs w:val="24"/>
        </w:rPr>
        <w:t>.</w:t>
      </w:r>
    </w:p>
    <w:p w:rsidR="00ED357A" w:rsidRDefault="000C47CC" w:rsidP="00ED357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w:t>
      </w:r>
      <w:r w:rsidR="003A3BCF">
        <w:rPr>
          <w:rFonts w:ascii="Times New Roman" w:hAnsi="Times New Roman" w:cs="Times New Roman"/>
          <w:sz w:val="24"/>
          <w:szCs w:val="24"/>
        </w:rPr>
        <w:t>’</w:t>
      </w:r>
      <w:r>
        <w:rPr>
          <w:rFonts w:ascii="Times New Roman" w:hAnsi="Times New Roman" w:cs="Times New Roman"/>
          <w:sz w:val="24"/>
          <w:szCs w:val="24"/>
        </w:rPr>
        <w:t xml:space="preserve"> two matters HC 1230/19 and HC 3457/19 were the subject matter of HC </w:t>
      </w:r>
      <w:r w:rsidR="00AE6EAC">
        <w:rPr>
          <w:rFonts w:ascii="Times New Roman" w:hAnsi="Times New Roman" w:cs="Times New Roman"/>
          <w:sz w:val="24"/>
          <w:szCs w:val="24"/>
        </w:rPr>
        <w:t> </w:t>
      </w:r>
      <w:r>
        <w:rPr>
          <w:rFonts w:ascii="Times New Roman" w:hAnsi="Times New Roman" w:cs="Times New Roman"/>
          <w:sz w:val="24"/>
          <w:szCs w:val="24"/>
        </w:rPr>
        <w:t>4469/21</w:t>
      </w:r>
      <w:r w:rsidR="00AE6EAC">
        <w:rPr>
          <w:rFonts w:ascii="Times New Roman" w:hAnsi="Times New Roman" w:cs="Times New Roman"/>
          <w:sz w:val="24"/>
          <w:szCs w:val="24"/>
        </w:rPr>
        <w:t>.</w:t>
      </w:r>
    </w:p>
    <w:p w:rsidR="00AE6EAC" w:rsidRDefault="00AE6EAC" w:rsidP="00ED357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matter HC 4469/21</w:t>
      </w:r>
      <w:r w:rsidR="003A3BCF">
        <w:rPr>
          <w:rFonts w:ascii="Times New Roman" w:hAnsi="Times New Roman" w:cs="Times New Roman"/>
          <w:sz w:val="24"/>
          <w:szCs w:val="24"/>
        </w:rPr>
        <w:t>,</w:t>
      </w:r>
      <w:r>
        <w:rPr>
          <w:rFonts w:ascii="Times New Roman" w:hAnsi="Times New Roman" w:cs="Times New Roman"/>
          <w:sz w:val="24"/>
          <w:szCs w:val="24"/>
        </w:rPr>
        <w:t xml:space="preserve"> was reset for 2 July 2021 the two matter</w:t>
      </w:r>
      <w:r w:rsidR="003A3BCF">
        <w:rPr>
          <w:rFonts w:ascii="Times New Roman" w:hAnsi="Times New Roman" w:cs="Times New Roman"/>
          <w:sz w:val="24"/>
          <w:szCs w:val="24"/>
        </w:rPr>
        <w:t>s</w:t>
      </w:r>
      <w:r>
        <w:rPr>
          <w:rFonts w:ascii="Times New Roman" w:hAnsi="Times New Roman" w:cs="Times New Roman"/>
          <w:sz w:val="24"/>
          <w:szCs w:val="24"/>
        </w:rPr>
        <w:t xml:space="preserve"> had not been withdrawn.  As such they were withdrawn three days before the set down date on 29 June 2021.</w:t>
      </w:r>
    </w:p>
    <w:p w:rsidR="00AE6EAC" w:rsidRDefault="00AE6EAC" w:rsidP="00ED357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used its discretion to determine the matter before it and dismissed the main matters on the basis that the notice of withdrawals filed of record where inva</w:t>
      </w:r>
      <w:r w:rsidR="003A3BCF">
        <w:rPr>
          <w:rFonts w:ascii="Times New Roman" w:hAnsi="Times New Roman" w:cs="Times New Roman"/>
          <w:sz w:val="24"/>
          <w:szCs w:val="24"/>
        </w:rPr>
        <w:t xml:space="preserve">lid as they had been filed after </w:t>
      </w:r>
      <w:r>
        <w:rPr>
          <w:rFonts w:ascii="Times New Roman" w:hAnsi="Times New Roman" w:cs="Times New Roman"/>
          <w:sz w:val="24"/>
          <w:szCs w:val="24"/>
        </w:rPr>
        <w:t xml:space="preserve">the matter to decide their fate had been set down.  </w:t>
      </w:r>
    </w:p>
    <w:p w:rsidR="00750696" w:rsidRDefault="00AD6752"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Of significance is</w:t>
      </w:r>
      <w:r w:rsidR="00750696">
        <w:rPr>
          <w:rFonts w:ascii="Times New Roman" w:hAnsi="Times New Roman" w:cs="Times New Roman"/>
          <w:sz w:val="24"/>
          <w:szCs w:val="24"/>
        </w:rPr>
        <w:t xml:space="preserve">, what prompted the withdrawal of the matter is the notice of set down.  It was a pre-emptive strike to </w:t>
      </w:r>
      <w:r w:rsidR="003A3BCF">
        <w:rPr>
          <w:rFonts w:ascii="Times New Roman" w:hAnsi="Times New Roman" w:cs="Times New Roman"/>
          <w:sz w:val="24"/>
          <w:szCs w:val="24"/>
        </w:rPr>
        <w:t>save applicants</w:t>
      </w:r>
      <w:r w:rsidR="00750696">
        <w:rPr>
          <w:rFonts w:ascii="Times New Roman" w:hAnsi="Times New Roman" w:cs="Times New Roman"/>
          <w:sz w:val="24"/>
          <w:szCs w:val="24"/>
        </w:rPr>
        <w:t xml:space="preserve"> faces from</w:t>
      </w:r>
      <w:r w:rsidR="003A3BCF">
        <w:rPr>
          <w:rFonts w:ascii="Times New Roman" w:hAnsi="Times New Roman" w:cs="Times New Roman"/>
          <w:sz w:val="24"/>
          <w:szCs w:val="24"/>
        </w:rPr>
        <w:t xml:space="preserve"> the inevitable dismissal</w:t>
      </w:r>
      <w:r>
        <w:rPr>
          <w:rFonts w:ascii="Times New Roman" w:hAnsi="Times New Roman" w:cs="Times New Roman"/>
          <w:sz w:val="24"/>
          <w:szCs w:val="24"/>
        </w:rPr>
        <w:t xml:space="preserve"> of their matters</w:t>
      </w:r>
      <w:r w:rsidR="003A3BCF">
        <w:rPr>
          <w:rFonts w:ascii="Times New Roman" w:hAnsi="Times New Roman" w:cs="Times New Roman"/>
          <w:sz w:val="24"/>
          <w:szCs w:val="24"/>
        </w:rPr>
        <w:t xml:space="preserve"> for wa</w:t>
      </w:r>
      <w:r w:rsidR="00750696">
        <w:rPr>
          <w:rFonts w:ascii="Times New Roman" w:hAnsi="Times New Roman" w:cs="Times New Roman"/>
          <w:sz w:val="24"/>
          <w:szCs w:val="24"/>
        </w:rPr>
        <w:t>nt of prosecution.  Had the matter</w:t>
      </w:r>
      <w:r>
        <w:rPr>
          <w:rFonts w:ascii="Times New Roman" w:hAnsi="Times New Roman" w:cs="Times New Roman"/>
          <w:sz w:val="24"/>
          <w:szCs w:val="24"/>
        </w:rPr>
        <w:t>s</w:t>
      </w:r>
      <w:r w:rsidR="00750696">
        <w:rPr>
          <w:rFonts w:ascii="Times New Roman" w:hAnsi="Times New Roman" w:cs="Times New Roman"/>
          <w:sz w:val="24"/>
          <w:szCs w:val="24"/>
        </w:rPr>
        <w:t xml:space="preserve"> been withdrawn before the set down date they had the right and </w:t>
      </w:r>
      <w:r w:rsidR="003A3BCF">
        <w:rPr>
          <w:rFonts w:ascii="Times New Roman" w:hAnsi="Times New Roman" w:cs="Times New Roman"/>
          <w:sz w:val="24"/>
          <w:szCs w:val="24"/>
        </w:rPr>
        <w:t xml:space="preserve">were </w:t>
      </w:r>
      <w:r w:rsidR="003A3BCF">
        <w:rPr>
          <w:rFonts w:ascii="Times New Roman" w:hAnsi="Times New Roman" w:cs="Times New Roman"/>
          <w:i/>
          <w:sz w:val="24"/>
          <w:szCs w:val="24"/>
        </w:rPr>
        <w:t>dominus lit</w:t>
      </w:r>
      <w:r w:rsidR="00750696" w:rsidRPr="00750696">
        <w:rPr>
          <w:rFonts w:ascii="Times New Roman" w:hAnsi="Times New Roman" w:cs="Times New Roman"/>
          <w:i/>
          <w:sz w:val="24"/>
          <w:szCs w:val="24"/>
        </w:rPr>
        <w:t>us</w:t>
      </w:r>
      <w:r w:rsidR="00750696">
        <w:rPr>
          <w:rFonts w:ascii="Times New Roman" w:hAnsi="Times New Roman" w:cs="Times New Roman"/>
          <w:sz w:val="24"/>
          <w:szCs w:val="24"/>
        </w:rPr>
        <w:t xml:space="preserve"> to withdraw them.</w:t>
      </w:r>
    </w:p>
    <w:p w:rsidR="00750696" w:rsidRDefault="00750696"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Their position, as observed by </w:t>
      </w:r>
      <w:r w:rsidRPr="003B53CC">
        <w:rPr>
          <w:rFonts w:ascii="Times New Roman" w:hAnsi="Times New Roman" w:cs="Times New Roman"/>
          <w:smallCaps/>
          <w:sz w:val="24"/>
          <w:szCs w:val="24"/>
        </w:rPr>
        <w:t>Manzunzu</w:t>
      </w:r>
      <w:r>
        <w:rPr>
          <w:rFonts w:ascii="Times New Roman" w:hAnsi="Times New Roman" w:cs="Times New Roman"/>
          <w:sz w:val="24"/>
          <w:szCs w:val="24"/>
        </w:rPr>
        <w:t xml:space="preserve"> J </w:t>
      </w:r>
      <w:r w:rsidR="006B4025">
        <w:rPr>
          <w:rFonts w:ascii="Times New Roman" w:hAnsi="Times New Roman" w:cs="Times New Roman"/>
          <w:sz w:val="24"/>
          <w:szCs w:val="24"/>
        </w:rPr>
        <w:t>in HH 352/21</w:t>
      </w:r>
      <w:r w:rsidR="00AD6752">
        <w:rPr>
          <w:rFonts w:ascii="Times New Roman" w:hAnsi="Times New Roman" w:cs="Times New Roman"/>
          <w:sz w:val="24"/>
          <w:szCs w:val="24"/>
        </w:rPr>
        <w:t>,</w:t>
      </w:r>
      <w:r w:rsidR="006B4025">
        <w:rPr>
          <w:rFonts w:ascii="Times New Roman" w:hAnsi="Times New Roman" w:cs="Times New Roman"/>
          <w:sz w:val="24"/>
          <w:szCs w:val="24"/>
        </w:rPr>
        <w:t xml:space="preserve"> fell short of the requirements of the law</w:t>
      </w:r>
      <w:r w:rsidR="003A3BCF">
        <w:rPr>
          <w:rFonts w:ascii="Times New Roman" w:hAnsi="Times New Roman" w:cs="Times New Roman"/>
          <w:sz w:val="24"/>
          <w:szCs w:val="24"/>
        </w:rPr>
        <w:t>,</w:t>
      </w:r>
      <w:r w:rsidR="006B4025">
        <w:rPr>
          <w:rFonts w:ascii="Times New Roman" w:hAnsi="Times New Roman" w:cs="Times New Roman"/>
          <w:sz w:val="24"/>
          <w:szCs w:val="24"/>
        </w:rPr>
        <w:t xml:space="preserve"> as the notices of withdrawal were filed after </w:t>
      </w:r>
      <w:r w:rsidR="00DF4B1C">
        <w:rPr>
          <w:rFonts w:ascii="Times New Roman" w:hAnsi="Times New Roman" w:cs="Times New Roman"/>
          <w:sz w:val="24"/>
          <w:szCs w:val="24"/>
        </w:rPr>
        <w:t>the matter launched solely to determine them ha</w:t>
      </w:r>
      <w:r w:rsidR="003A3BCF">
        <w:rPr>
          <w:rFonts w:ascii="Times New Roman" w:hAnsi="Times New Roman" w:cs="Times New Roman"/>
          <w:sz w:val="24"/>
          <w:szCs w:val="24"/>
        </w:rPr>
        <w:t>d</w:t>
      </w:r>
      <w:r w:rsidR="00DF4B1C">
        <w:rPr>
          <w:rFonts w:ascii="Times New Roman" w:hAnsi="Times New Roman" w:cs="Times New Roman"/>
          <w:sz w:val="24"/>
          <w:szCs w:val="24"/>
        </w:rPr>
        <w:t xml:space="preserve"> been set down.</w:t>
      </w:r>
    </w:p>
    <w:p w:rsidR="00DF4B1C" w:rsidRDefault="00DF4B1C"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Clear</w:t>
      </w:r>
      <w:r w:rsidR="003A3BCF">
        <w:rPr>
          <w:rFonts w:ascii="Times New Roman" w:hAnsi="Times New Roman" w:cs="Times New Roman"/>
          <w:sz w:val="24"/>
          <w:szCs w:val="24"/>
        </w:rPr>
        <w:t xml:space="preserve">ly, it is my finding that the findings </w:t>
      </w:r>
      <w:r>
        <w:rPr>
          <w:rFonts w:ascii="Times New Roman" w:hAnsi="Times New Roman" w:cs="Times New Roman"/>
          <w:sz w:val="24"/>
          <w:szCs w:val="24"/>
        </w:rPr>
        <w:t xml:space="preserve">of the court </w:t>
      </w:r>
      <w:r w:rsidR="003A3BCF">
        <w:rPr>
          <w:rFonts w:ascii="Times New Roman" w:hAnsi="Times New Roman" w:cs="Times New Roman"/>
          <w:sz w:val="24"/>
          <w:szCs w:val="24"/>
        </w:rPr>
        <w:t xml:space="preserve">in case HH 4469/21 </w:t>
      </w:r>
      <w:r>
        <w:rPr>
          <w:rFonts w:ascii="Times New Roman" w:hAnsi="Times New Roman" w:cs="Times New Roman"/>
          <w:sz w:val="24"/>
          <w:szCs w:val="24"/>
        </w:rPr>
        <w:t>cannot be faulted.  It is illogical that</w:t>
      </w:r>
      <w:r w:rsidR="003A3BCF">
        <w:rPr>
          <w:rFonts w:ascii="Times New Roman" w:hAnsi="Times New Roman" w:cs="Times New Roman"/>
          <w:sz w:val="24"/>
          <w:szCs w:val="24"/>
        </w:rPr>
        <w:t>, a matter for dismissal for wa</w:t>
      </w:r>
      <w:r>
        <w:rPr>
          <w:rFonts w:ascii="Times New Roman" w:hAnsi="Times New Roman" w:cs="Times New Roman"/>
          <w:sz w:val="24"/>
          <w:szCs w:val="24"/>
        </w:rPr>
        <w:t>nt of prosecution, clearly stating in its papers t</w:t>
      </w:r>
      <w:r w:rsidR="003A3BCF">
        <w:rPr>
          <w:rFonts w:ascii="Times New Roman" w:hAnsi="Times New Roman" w:cs="Times New Roman"/>
          <w:sz w:val="24"/>
          <w:szCs w:val="24"/>
        </w:rPr>
        <w:t>he</w:t>
      </w:r>
      <w:r>
        <w:rPr>
          <w:rFonts w:ascii="Times New Roman" w:hAnsi="Times New Roman" w:cs="Times New Roman"/>
          <w:sz w:val="24"/>
          <w:szCs w:val="24"/>
        </w:rPr>
        <w:t xml:space="preserve"> cases that are to be dismissed is severable and its setting down </w:t>
      </w:r>
      <w:r w:rsidR="003A3BCF">
        <w:rPr>
          <w:rFonts w:ascii="Times New Roman" w:hAnsi="Times New Roman" w:cs="Times New Roman"/>
          <w:sz w:val="24"/>
          <w:szCs w:val="24"/>
        </w:rPr>
        <w:t xml:space="preserve">is not the setting down for the </w:t>
      </w:r>
      <w:r>
        <w:rPr>
          <w:rFonts w:ascii="Times New Roman" w:hAnsi="Times New Roman" w:cs="Times New Roman"/>
          <w:sz w:val="24"/>
          <w:szCs w:val="24"/>
        </w:rPr>
        <w:t>sole purpose for hearing</w:t>
      </w:r>
      <w:r w:rsidR="003A3BCF">
        <w:rPr>
          <w:rFonts w:ascii="Times New Roman" w:hAnsi="Times New Roman" w:cs="Times New Roman"/>
          <w:sz w:val="24"/>
          <w:szCs w:val="24"/>
        </w:rPr>
        <w:t xml:space="preserve"> them</w:t>
      </w:r>
      <w:r>
        <w:rPr>
          <w:rFonts w:ascii="Times New Roman" w:hAnsi="Times New Roman" w:cs="Times New Roman"/>
          <w:sz w:val="24"/>
          <w:szCs w:val="24"/>
        </w:rPr>
        <w:t>.</w:t>
      </w:r>
      <w:r w:rsidR="00AD6752">
        <w:rPr>
          <w:rFonts w:ascii="Times New Roman" w:hAnsi="Times New Roman" w:cs="Times New Roman"/>
          <w:sz w:val="24"/>
          <w:szCs w:val="24"/>
        </w:rPr>
        <w:t xml:space="preserve">  I am fortified in this view by the following decision,</w:t>
      </w:r>
    </w:p>
    <w:p w:rsidR="00DF4B1C" w:rsidRDefault="00DF4B1C" w:rsidP="00750696">
      <w:pPr>
        <w:spacing w:after="0" w:line="360" w:lineRule="auto"/>
        <w:ind w:left="360" w:firstLine="360"/>
        <w:jc w:val="both"/>
        <w:rPr>
          <w:rFonts w:ascii="Times New Roman" w:hAnsi="Times New Roman" w:cs="Times New Roman"/>
          <w:sz w:val="24"/>
          <w:szCs w:val="24"/>
        </w:rPr>
      </w:pPr>
      <w:r w:rsidRPr="003A3BCF">
        <w:rPr>
          <w:rFonts w:ascii="Times New Roman" w:hAnsi="Times New Roman" w:cs="Times New Roman"/>
          <w:i/>
          <w:sz w:val="24"/>
          <w:szCs w:val="24"/>
        </w:rPr>
        <w:t>Meda</w:t>
      </w:r>
      <w:r>
        <w:rPr>
          <w:rFonts w:ascii="Times New Roman" w:hAnsi="Times New Roman" w:cs="Times New Roman"/>
          <w:sz w:val="24"/>
          <w:szCs w:val="24"/>
        </w:rPr>
        <w:t xml:space="preserve"> v </w:t>
      </w:r>
      <w:r w:rsidRPr="003A3BCF">
        <w:rPr>
          <w:rFonts w:ascii="Times New Roman" w:hAnsi="Times New Roman" w:cs="Times New Roman"/>
          <w:i/>
          <w:sz w:val="24"/>
          <w:szCs w:val="24"/>
        </w:rPr>
        <w:t>Maxwell Matsvimbo and others</w:t>
      </w:r>
      <w:r w:rsidR="00AD6752">
        <w:rPr>
          <w:rFonts w:ascii="Times New Roman" w:hAnsi="Times New Roman" w:cs="Times New Roman"/>
          <w:sz w:val="24"/>
          <w:szCs w:val="24"/>
        </w:rPr>
        <w:t xml:space="preserve"> CCZ 10/2016, in which </w:t>
      </w:r>
      <w:r w:rsidR="003A3BCF">
        <w:rPr>
          <w:rFonts w:ascii="Times New Roman" w:hAnsi="Times New Roman" w:cs="Times New Roman"/>
          <w:smallCaps/>
          <w:sz w:val="24"/>
          <w:szCs w:val="24"/>
        </w:rPr>
        <w:t>Mala</w:t>
      </w:r>
      <w:r w:rsidRPr="00DF4B1C">
        <w:rPr>
          <w:rFonts w:ascii="Times New Roman" w:hAnsi="Times New Roman" w:cs="Times New Roman"/>
          <w:smallCaps/>
          <w:sz w:val="24"/>
          <w:szCs w:val="24"/>
        </w:rPr>
        <w:t>ba</w:t>
      </w:r>
      <w:r>
        <w:rPr>
          <w:rFonts w:ascii="Times New Roman" w:hAnsi="Times New Roman" w:cs="Times New Roman"/>
          <w:sz w:val="24"/>
          <w:szCs w:val="24"/>
        </w:rPr>
        <w:t xml:space="preserve"> DCJ (as he then was)</w:t>
      </w:r>
      <w:r w:rsidR="00893DAB">
        <w:rPr>
          <w:rFonts w:ascii="Times New Roman" w:hAnsi="Times New Roman" w:cs="Times New Roman"/>
          <w:sz w:val="24"/>
          <w:szCs w:val="24"/>
        </w:rPr>
        <w:t xml:space="preserve"> at p 4 enunciated.</w:t>
      </w:r>
    </w:p>
    <w:p w:rsidR="00893DAB" w:rsidRDefault="00893DAB" w:rsidP="00893DAB">
      <w:pPr>
        <w:spacing w:after="0" w:line="240" w:lineRule="auto"/>
        <w:ind w:left="720"/>
        <w:jc w:val="both"/>
        <w:rPr>
          <w:rFonts w:ascii="Times New Roman" w:hAnsi="Times New Roman" w:cs="Times New Roman"/>
        </w:rPr>
      </w:pPr>
      <w:r w:rsidRPr="00893DAB">
        <w:rPr>
          <w:rFonts w:ascii="Times New Roman" w:hAnsi="Times New Roman" w:cs="Times New Roman"/>
        </w:rPr>
        <w:t>“While parties may at any stage before a matter is set down, withdraw a matter, with a tender</w:t>
      </w:r>
      <w:r w:rsidR="003A3BCF">
        <w:rPr>
          <w:rFonts w:ascii="Times New Roman" w:hAnsi="Times New Roman" w:cs="Times New Roman"/>
        </w:rPr>
        <w:t xml:space="preserve"> </w:t>
      </w:r>
      <w:r w:rsidR="00C90F8E">
        <w:rPr>
          <w:rFonts w:ascii="Times New Roman" w:hAnsi="Times New Roman" w:cs="Times New Roman"/>
        </w:rPr>
        <w:t xml:space="preserve">of </w:t>
      </w:r>
      <w:r w:rsidR="00C90F8E" w:rsidRPr="00893DAB">
        <w:rPr>
          <w:rFonts w:ascii="Times New Roman" w:hAnsi="Times New Roman" w:cs="Times New Roman"/>
        </w:rPr>
        <w:t>costs</w:t>
      </w:r>
      <w:r w:rsidRPr="00893DAB">
        <w:rPr>
          <w:rFonts w:ascii="Times New Roman" w:hAnsi="Times New Roman" w:cs="Times New Roman"/>
        </w:rPr>
        <w:t xml:space="preserve">, the same does not hold true, for a matter that has already been set down for </w:t>
      </w:r>
      <w:r w:rsidR="009418D5">
        <w:rPr>
          <w:rFonts w:ascii="Times New Roman" w:hAnsi="Times New Roman" w:cs="Times New Roman"/>
        </w:rPr>
        <w:t xml:space="preserve">hearing.  </w:t>
      </w:r>
      <w:r w:rsidRPr="00893DAB">
        <w:rPr>
          <w:rFonts w:ascii="Times New Roman" w:hAnsi="Times New Roman" w:cs="Times New Roman"/>
        </w:rPr>
        <w:t xml:space="preserve">Once </w:t>
      </w:r>
      <w:r w:rsidR="009418D5">
        <w:rPr>
          <w:rFonts w:ascii="Times New Roman" w:hAnsi="Times New Roman" w:cs="Times New Roman"/>
        </w:rPr>
        <w:t>a matter has been set down for</w:t>
      </w:r>
      <w:r w:rsidRPr="00893DAB">
        <w:rPr>
          <w:rFonts w:ascii="Times New Roman" w:hAnsi="Times New Roman" w:cs="Times New Roman"/>
        </w:rPr>
        <w:t xml:space="preserve"> hearing it is not competent for a party who has instituted such proceedings to withdraw them without the consent of all the parties or the leave of court.  In the absence of such leave a purported notice of withdrawal will be invalid.”</w:t>
      </w:r>
    </w:p>
    <w:p w:rsidR="00893DAB" w:rsidRPr="00893DAB" w:rsidRDefault="00893DAB" w:rsidP="00893DAB">
      <w:pPr>
        <w:spacing w:after="0" w:line="240" w:lineRule="auto"/>
        <w:ind w:left="720"/>
        <w:jc w:val="both"/>
        <w:rPr>
          <w:rFonts w:ascii="Times New Roman" w:hAnsi="Times New Roman" w:cs="Times New Roman"/>
        </w:rPr>
      </w:pPr>
    </w:p>
    <w:p w:rsidR="00893DAB" w:rsidRDefault="00893DAB"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need not say more, the Apex </w:t>
      </w:r>
      <w:r w:rsidR="00583F64">
        <w:rPr>
          <w:rFonts w:ascii="Times New Roman" w:hAnsi="Times New Roman" w:cs="Times New Roman"/>
          <w:sz w:val="24"/>
          <w:szCs w:val="24"/>
        </w:rPr>
        <w:t>court of this land clearly</w:t>
      </w:r>
      <w:r w:rsidR="009418D5">
        <w:rPr>
          <w:rFonts w:ascii="Times New Roman" w:hAnsi="Times New Roman" w:cs="Times New Roman"/>
          <w:sz w:val="24"/>
          <w:szCs w:val="24"/>
        </w:rPr>
        <w:t xml:space="preserve"> pronounced itself on that point</w:t>
      </w:r>
      <w:r w:rsidR="00583F64">
        <w:rPr>
          <w:rFonts w:ascii="Times New Roman" w:hAnsi="Times New Roman" w:cs="Times New Roman"/>
          <w:sz w:val="24"/>
          <w:szCs w:val="24"/>
        </w:rPr>
        <w:t>.  All</w:t>
      </w:r>
      <w:r w:rsidR="009418D5">
        <w:rPr>
          <w:rFonts w:ascii="Times New Roman" w:hAnsi="Times New Roman" w:cs="Times New Roman"/>
          <w:sz w:val="24"/>
          <w:szCs w:val="24"/>
        </w:rPr>
        <w:t xml:space="preserve"> what</w:t>
      </w:r>
      <w:r w:rsidR="00583F64">
        <w:rPr>
          <w:rFonts w:ascii="Times New Roman" w:hAnsi="Times New Roman" w:cs="Times New Roman"/>
          <w:sz w:val="24"/>
          <w:szCs w:val="24"/>
        </w:rPr>
        <w:t xml:space="preserve"> the applicants are </w:t>
      </w:r>
      <w:r w:rsidR="009418D5">
        <w:rPr>
          <w:rFonts w:ascii="Times New Roman" w:hAnsi="Times New Roman" w:cs="Times New Roman"/>
          <w:sz w:val="24"/>
          <w:szCs w:val="24"/>
        </w:rPr>
        <w:t xml:space="preserve">saying </w:t>
      </w:r>
      <w:r w:rsidR="00AD6752">
        <w:rPr>
          <w:rFonts w:ascii="Times New Roman" w:hAnsi="Times New Roman" w:cs="Times New Roman"/>
          <w:sz w:val="24"/>
          <w:szCs w:val="24"/>
        </w:rPr>
        <w:t xml:space="preserve">is </w:t>
      </w:r>
      <w:r w:rsidR="009418D5">
        <w:rPr>
          <w:rFonts w:ascii="Times New Roman" w:hAnsi="Times New Roman" w:cs="Times New Roman"/>
          <w:sz w:val="24"/>
          <w:szCs w:val="24"/>
        </w:rPr>
        <w:t>that they have an arguable case which they want to test on Appeal</w:t>
      </w:r>
      <w:r w:rsidR="00583F64">
        <w:rPr>
          <w:rFonts w:ascii="Times New Roman" w:hAnsi="Times New Roman" w:cs="Times New Roman"/>
          <w:sz w:val="24"/>
          <w:szCs w:val="24"/>
        </w:rPr>
        <w:t>.  I fail to find a sound rational basis for the conclusion that there are reasonable prospects of success on appeal.</w:t>
      </w:r>
      <w:r w:rsidR="009418D5">
        <w:rPr>
          <w:rFonts w:ascii="Times New Roman" w:hAnsi="Times New Roman" w:cs="Times New Roman"/>
          <w:sz w:val="24"/>
          <w:szCs w:val="24"/>
        </w:rPr>
        <w:t xml:space="preserve">  In that regard I am of the view that there are no prospects of success on Appeal.</w:t>
      </w:r>
    </w:p>
    <w:p w:rsidR="00583F64" w:rsidRDefault="00583F64"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moot argument was not motivated in the or</w:t>
      </w:r>
      <w:r w:rsidR="009418D5">
        <w:rPr>
          <w:rFonts w:ascii="Times New Roman" w:hAnsi="Times New Roman" w:cs="Times New Roman"/>
          <w:sz w:val="24"/>
          <w:szCs w:val="24"/>
        </w:rPr>
        <w:t xml:space="preserve">al argument.  For that reason nothing </w:t>
      </w:r>
      <w:r>
        <w:rPr>
          <w:rFonts w:ascii="Times New Roman" w:hAnsi="Times New Roman" w:cs="Times New Roman"/>
          <w:sz w:val="24"/>
          <w:szCs w:val="24"/>
        </w:rPr>
        <w:t>turns on the point.</w:t>
      </w:r>
    </w:p>
    <w:p w:rsidR="00583F64" w:rsidRDefault="00583F64"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 would have granted costs at a higher scale as prayed for by respondents.  However I am of the view that this is not a case where such costs are</w:t>
      </w:r>
      <w:r w:rsidR="00AD6752">
        <w:rPr>
          <w:rFonts w:ascii="Times New Roman" w:hAnsi="Times New Roman" w:cs="Times New Roman"/>
          <w:sz w:val="24"/>
          <w:szCs w:val="24"/>
        </w:rPr>
        <w:t xml:space="preserve"> </w:t>
      </w:r>
      <w:r>
        <w:rPr>
          <w:rFonts w:ascii="Times New Roman" w:hAnsi="Times New Roman" w:cs="Times New Roman"/>
          <w:sz w:val="24"/>
          <w:szCs w:val="24"/>
        </w:rPr>
        <w:t>justified.</w:t>
      </w:r>
    </w:p>
    <w:p w:rsidR="00583F64" w:rsidRDefault="00AD6752" w:rsidP="00750696">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Accordingly, the application</w:t>
      </w:r>
      <w:r w:rsidR="00583F64">
        <w:rPr>
          <w:rFonts w:ascii="Times New Roman" w:hAnsi="Times New Roman" w:cs="Times New Roman"/>
          <w:sz w:val="24"/>
          <w:szCs w:val="24"/>
        </w:rPr>
        <w:t xml:space="preserve"> is dismissed with costs.</w:t>
      </w:r>
    </w:p>
    <w:p w:rsidR="00583F64" w:rsidRDefault="00583F64" w:rsidP="00750696">
      <w:pPr>
        <w:spacing w:after="0" w:line="360" w:lineRule="auto"/>
        <w:ind w:left="360" w:firstLine="360"/>
        <w:jc w:val="both"/>
        <w:rPr>
          <w:rFonts w:ascii="Times New Roman" w:hAnsi="Times New Roman" w:cs="Times New Roman"/>
          <w:sz w:val="24"/>
          <w:szCs w:val="24"/>
        </w:rPr>
      </w:pPr>
    </w:p>
    <w:p w:rsidR="00583F64" w:rsidRDefault="00583F64" w:rsidP="00750696">
      <w:pPr>
        <w:spacing w:after="0" w:line="360" w:lineRule="auto"/>
        <w:ind w:left="360" w:firstLine="360"/>
        <w:jc w:val="both"/>
        <w:rPr>
          <w:rFonts w:ascii="Times New Roman" w:hAnsi="Times New Roman" w:cs="Times New Roman"/>
          <w:sz w:val="24"/>
          <w:szCs w:val="24"/>
        </w:rPr>
      </w:pPr>
    </w:p>
    <w:p w:rsidR="00982899" w:rsidRDefault="00AD6752" w:rsidP="0098289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Trust Law Chambers,</w:t>
      </w:r>
      <w:r w:rsidR="00982899">
        <w:rPr>
          <w:rFonts w:ascii="Times New Roman" w:hAnsi="Times New Roman" w:cs="Times New Roman"/>
          <w:sz w:val="24"/>
          <w:szCs w:val="24"/>
        </w:rPr>
        <w:t xml:space="preserve"> applicants’ legal practitioners</w:t>
      </w:r>
    </w:p>
    <w:p w:rsidR="00982899" w:rsidRDefault="00AD6752" w:rsidP="00982899">
      <w:pPr>
        <w:spacing w:after="0" w:line="240" w:lineRule="auto"/>
        <w:jc w:val="both"/>
        <w:rPr>
          <w:sz w:val="24"/>
          <w:szCs w:val="24"/>
        </w:rPr>
      </w:pPr>
      <w:r>
        <w:rPr>
          <w:rFonts w:ascii="Times New Roman" w:hAnsi="Times New Roman" w:cs="Times New Roman"/>
          <w:i/>
          <w:iCs/>
          <w:sz w:val="24"/>
          <w:szCs w:val="24"/>
        </w:rPr>
        <w:t xml:space="preserve">Matsikidze Attorney s at law, </w:t>
      </w:r>
      <w:r w:rsidR="00982899">
        <w:rPr>
          <w:rFonts w:ascii="Times New Roman" w:hAnsi="Times New Roman" w:cs="Times New Roman"/>
          <w:sz w:val="24"/>
          <w:szCs w:val="24"/>
        </w:rPr>
        <w:t>first and second respondents’ legal practitioners</w:t>
      </w:r>
    </w:p>
    <w:p w:rsidR="00583F64" w:rsidRDefault="00583F64" w:rsidP="00750696">
      <w:pPr>
        <w:spacing w:after="0" w:line="360" w:lineRule="auto"/>
        <w:ind w:left="360" w:firstLine="360"/>
        <w:jc w:val="both"/>
        <w:rPr>
          <w:rFonts w:ascii="Times New Roman" w:hAnsi="Times New Roman" w:cs="Times New Roman"/>
          <w:sz w:val="24"/>
          <w:szCs w:val="24"/>
        </w:rPr>
      </w:pPr>
    </w:p>
    <w:p w:rsidR="00893DAB" w:rsidRPr="00750696" w:rsidRDefault="00893DAB" w:rsidP="00750696">
      <w:pPr>
        <w:spacing w:after="0" w:line="360" w:lineRule="auto"/>
        <w:ind w:left="360" w:firstLine="360"/>
        <w:jc w:val="both"/>
        <w:rPr>
          <w:rFonts w:ascii="Times New Roman" w:hAnsi="Times New Roman" w:cs="Times New Roman"/>
          <w:sz w:val="24"/>
          <w:szCs w:val="24"/>
        </w:rPr>
      </w:pPr>
    </w:p>
    <w:p w:rsidR="002948FD" w:rsidRPr="008F4479" w:rsidRDefault="002948FD" w:rsidP="000458CE">
      <w:pPr>
        <w:spacing w:line="360" w:lineRule="auto"/>
        <w:ind w:firstLine="720"/>
        <w:jc w:val="both"/>
        <w:rPr>
          <w:rFonts w:ascii="Times New Roman" w:hAnsi="Times New Roman" w:cs="Times New Roman"/>
        </w:rPr>
      </w:pPr>
      <w:r w:rsidRPr="008F4479">
        <w:rPr>
          <w:rFonts w:ascii="Times New Roman" w:hAnsi="Times New Roman" w:cs="Times New Roman"/>
        </w:rPr>
        <w:tab/>
      </w:r>
    </w:p>
    <w:p w:rsidR="000458CE" w:rsidRPr="00000DBE" w:rsidRDefault="000458CE" w:rsidP="00000DBE">
      <w:pPr>
        <w:spacing w:line="360" w:lineRule="auto"/>
        <w:jc w:val="both"/>
        <w:rPr>
          <w:rFonts w:ascii="Times New Roman" w:hAnsi="Times New Roman" w:cs="Times New Roman"/>
          <w:sz w:val="24"/>
          <w:szCs w:val="24"/>
        </w:rPr>
      </w:pPr>
    </w:p>
    <w:sectPr w:rsidR="000458CE" w:rsidRPr="00000D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6F" w:rsidRDefault="007E276F" w:rsidP="00000DBE">
      <w:pPr>
        <w:spacing w:after="0" w:line="240" w:lineRule="auto"/>
      </w:pPr>
      <w:r>
        <w:separator/>
      </w:r>
    </w:p>
  </w:endnote>
  <w:endnote w:type="continuationSeparator" w:id="0">
    <w:p w:rsidR="007E276F" w:rsidRDefault="007E276F" w:rsidP="0000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6F" w:rsidRDefault="007E276F" w:rsidP="00000DBE">
      <w:pPr>
        <w:spacing w:after="0" w:line="240" w:lineRule="auto"/>
      </w:pPr>
      <w:r>
        <w:separator/>
      </w:r>
    </w:p>
  </w:footnote>
  <w:footnote w:type="continuationSeparator" w:id="0">
    <w:p w:rsidR="007E276F" w:rsidRDefault="007E276F" w:rsidP="00000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254121"/>
      <w:docPartObj>
        <w:docPartGallery w:val="Page Numbers (Top of Page)"/>
        <w:docPartUnique/>
      </w:docPartObj>
    </w:sdtPr>
    <w:sdtEndPr>
      <w:rPr>
        <w:noProof/>
      </w:rPr>
    </w:sdtEndPr>
    <w:sdtContent>
      <w:p w:rsidR="00000DBE" w:rsidRDefault="00000DBE">
        <w:pPr>
          <w:pStyle w:val="Header"/>
          <w:jc w:val="right"/>
          <w:rPr>
            <w:noProof/>
          </w:rPr>
        </w:pPr>
        <w:r>
          <w:fldChar w:fldCharType="begin"/>
        </w:r>
        <w:r>
          <w:instrText xml:space="preserve"> PAGE   \* MERGEFORMAT </w:instrText>
        </w:r>
        <w:r>
          <w:fldChar w:fldCharType="separate"/>
        </w:r>
        <w:r w:rsidR="005E1008">
          <w:rPr>
            <w:noProof/>
          </w:rPr>
          <w:t>1</w:t>
        </w:r>
        <w:r>
          <w:rPr>
            <w:noProof/>
          </w:rPr>
          <w:fldChar w:fldCharType="end"/>
        </w:r>
      </w:p>
      <w:p w:rsidR="00000DBE" w:rsidRDefault="00CE2862">
        <w:pPr>
          <w:pStyle w:val="Header"/>
          <w:jc w:val="right"/>
          <w:rPr>
            <w:noProof/>
          </w:rPr>
        </w:pPr>
        <w:r>
          <w:rPr>
            <w:noProof/>
          </w:rPr>
          <w:t xml:space="preserve">HH </w:t>
        </w:r>
        <w:r w:rsidR="00182A72">
          <w:rPr>
            <w:noProof/>
          </w:rPr>
          <w:t>704-22</w:t>
        </w:r>
      </w:p>
      <w:p w:rsidR="00000DBE" w:rsidRDefault="00000DBE">
        <w:pPr>
          <w:pStyle w:val="Header"/>
          <w:jc w:val="right"/>
        </w:pPr>
        <w:r>
          <w:rPr>
            <w:noProof/>
          </w:rPr>
          <w:t>HC 3984/21</w:t>
        </w:r>
      </w:p>
    </w:sdtContent>
  </w:sdt>
  <w:p w:rsidR="00000DBE" w:rsidRDefault="00000D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62168"/>
    <w:multiLevelType w:val="hybridMultilevel"/>
    <w:tmpl w:val="71FA1186"/>
    <w:lvl w:ilvl="0" w:tplc="3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BE"/>
    <w:rsid w:val="00000DBE"/>
    <w:rsid w:val="00022F1A"/>
    <w:rsid w:val="000458CE"/>
    <w:rsid w:val="000840AB"/>
    <w:rsid w:val="000C47CC"/>
    <w:rsid w:val="000D516D"/>
    <w:rsid w:val="0010574D"/>
    <w:rsid w:val="00157A86"/>
    <w:rsid w:val="001603BD"/>
    <w:rsid w:val="001809BA"/>
    <w:rsid w:val="00182A72"/>
    <w:rsid w:val="0019410F"/>
    <w:rsid w:val="001C11D5"/>
    <w:rsid w:val="002030A3"/>
    <w:rsid w:val="00235FE0"/>
    <w:rsid w:val="0026236C"/>
    <w:rsid w:val="00274CA1"/>
    <w:rsid w:val="002948FD"/>
    <w:rsid w:val="002C7C9E"/>
    <w:rsid w:val="00385E93"/>
    <w:rsid w:val="003A3BCF"/>
    <w:rsid w:val="003B53CC"/>
    <w:rsid w:val="004934CE"/>
    <w:rsid w:val="004B6347"/>
    <w:rsid w:val="00561EAA"/>
    <w:rsid w:val="00583F64"/>
    <w:rsid w:val="005E1008"/>
    <w:rsid w:val="005F3576"/>
    <w:rsid w:val="00624224"/>
    <w:rsid w:val="006B4025"/>
    <w:rsid w:val="006D5D0F"/>
    <w:rsid w:val="00750696"/>
    <w:rsid w:val="00760958"/>
    <w:rsid w:val="00765329"/>
    <w:rsid w:val="007D38F1"/>
    <w:rsid w:val="007E22A0"/>
    <w:rsid w:val="007E276F"/>
    <w:rsid w:val="00893DAB"/>
    <w:rsid w:val="008E4F06"/>
    <w:rsid w:val="008F4479"/>
    <w:rsid w:val="009418D5"/>
    <w:rsid w:val="00946E7E"/>
    <w:rsid w:val="00963591"/>
    <w:rsid w:val="00965644"/>
    <w:rsid w:val="00982899"/>
    <w:rsid w:val="009A2CA3"/>
    <w:rsid w:val="009C2B62"/>
    <w:rsid w:val="00AD4781"/>
    <w:rsid w:val="00AD6752"/>
    <w:rsid w:val="00AE6EAC"/>
    <w:rsid w:val="00B36FCE"/>
    <w:rsid w:val="00B61755"/>
    <w:rsid w:val="00B87950"/>
    <w:rsid w:val="00BA5B0D"/>
    <w:rsid w:val="00C71A94"/>
    <w:rsid w:val="00C90F8E"/>
    <w:rsid w:val="00CE2862"/>
    <w:rsid w:val="00CF453C"/>
    <w:rsid w:val="00D833D0"/>
    <w:rsid w:val="00D866E6"/>
    <w:rsid w:val="00DC38F1"/>
    <w:rsid w:val="00DF4B1C"/>
    <w:rsid w:val="00E8278E"/>
    <w:rsid w:val="00E96C85"/>
    <w:rsid w:val="00EA249E"/>
    <w:rsid w:val="00EC046B"/>
    <w:rsid w:val="00ED357A"/>
    <w:rsid w:val="00ED3C14"/>
    <w:rsid w:val="00F55D0E"/>
    <w:rsid w:val="00FC4529"/>
    <w:rsid w:val="00FD4A04"/>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466FB-2AD1-4C04-8971-3FC597C6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DBE"/>
  </w:style>
  <w:style w:type="paragraph" w:styleId="Footer">
    <w:name w:val="footer"/>
    <w:basedOn w:val="Normal"/>
    <w:link w:val="FooterChar"/>
    <w:uiPriority w:val="99"/>
    <w:unhideWhenUsed/>
    <w:rsid w:val="0000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DBE"/>
  </w:style>
  <w:style w:type="paragraph" w:styleId="ListParagraph">
    <w:name w:val="List Paragraph"/>
    <w:basedOn w:val="Normal"/>
    <w:uiPriority w:val="34"/>
    <w:qFormat/>
    <w:rsid w:val="00ED357A"/>
    <w:pPr>
      <w:ind w:left="720"/>
      <w:contextualSpacing/>
    </w:pPr>
  </w:style>
  <w:style w:type="paragraph" w:styleId="BalloonText">
    <w:name w:val="Balloon Text"/>
    <w:basedOn w:val="Normal"/>
    <w:link w:val="BalloonTextChar"/>
    <w:uiPriority w:val="99"/>
    <w:semiHidden/>
    <w:unhideWhenUsed/>
    <w:rsid w:val="00262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2022-10-12T07:14:00Z</cp:lastPrinted>
  <dcterms:created xsi:type="dcterms:W3CDTF">2022-10-14T08:00:00Z</dcterms:created>
  <dcterms:modified xsi:type="dcterms:W3CDTF">2022-10-14T08:00:00Z</dcterms:modified>
</cp:coreProperties>
</file>