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0E" w:rsidRDefault="00F522B0" w:rsidP="00504AF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STANLEY FARMS (PVT) LIMITED </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522B0" w:rsidRDefault="00F522B0" w:rsidP="00F522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MAVINGTON CHIDONGO</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 KUNJE</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GARIKAI MAFA</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COSMAS SHUMBAIMWE</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04AFD"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 TARUONA</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TAKESURE CHIDONGO</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NETSAI MAKONYE</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MATHEW MANDLALELA </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MOSES MUGARI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RAVIOUS MUSHAYANGONI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TAVENGWA NYIKA</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NCELE PAUL </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PHILIMON PAUL</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CLEOPAS PHIRI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WALLAS PHIRI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COLLEN TAVENGWA</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WASTING TIME</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TSOKA</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TARUVINGA ZIVANAI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BWITITI</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522B0" w:rsidRDefault="00F522B0"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LIVINGSTONE NYAMADZAWO </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04AFD" w:rsidRDefault="00504AFD" w:rsidP="00504A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064E4">
        <w:rPr>
          <w:rFonts w:ascii="Times New Roman" w:hAnsi="Times New Roman" w:cs="Times New Roman"/>
          <w:sz w:val="24"/>
          <w:szCs w:val="24"/>
        </w:rPr>
        <w:t xml:space="preserve">18 May, 2021 and </w:t>
      </w:r>
      <w:r w:rsidR="00357069">
        <w:rPr>
          <w:rFonts w:ascii="Times New Roman" w:hAnsi="Times New Roman" w:cs="Times New Roman"/>
          <w:sz w:val="24"/>
          <w:szCs w:val="24"/>
        </w:rPr>
        <w:t xml:space="preserve"> 13 </w:t>
      </w:r>
      <w:r w:rsidR="006064E4">
        <w:rPr>
          <w:rFonts w:ascii="Times New Roman" w:hAnsi="Times New Roman" w:cs="Times New Roman"/>
          <w:sz w:val="24"/>
          <w:szCs w:val="24"/>
        </w:rPr>
        <w:t>January, 2022</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504AFD" w:rsidRPr="006064E4" w:rsidRDefault="006064E4" w:rsidP="00504AFD">
      <w:pPr>
        <w:spacing w:after="0" w:line="240" w:lineRule="auto"/>
        <w:jc w:val="both"/>
        <w:rPr>
          <w:rFonts w:ascii="Times New Roman" w:hAnsi="Times New Roman" w:cs="Times New Roman"/>
          <w:b/>
          <w:sz w:val="24"/>
          <w:szCs w:val="24"/>
        </w:rPr>
      </w:pPr>
      <w:r w:rsidRPr="006064E4">
        <w:rPr>
          <w:rFonts w:ascii="Times New Roman" w:hAnsi="Times New Roman" w:cs="Times New Roman"/>
          <w:b/>
          <w:sz w:val="24"/>
          <w:szCs w:val="24"/>
        </w:rPr>
        <w:t>OPPOSED MATTER</w:t>
      </w:r>
    </w:p>
    <w:p w:rsidR="00504AFD" w:rsidRDefault="00504AFD" w:rsidP="00504AFD">
      <w:pPr>
        <w:spacing w:after="0" w:line="240" w:lineRule="auto"/>
        <w:jc w:val="both"/>
        <w:rPr>
          <w:rFonts w:ascii="Times New Roman" w:hAnsi="Times New Roman" w:cs="Times New Roman"/>
          <w:b/>
          <w:sz w:val="24"/>
          <w:szCs w:val="24"/>
        </w:rPr>
      </w:pPr>
    </w:p>
    <w:p w:rsidR="00504AFD" w:rsidRDefault="00504AFD" w:rsidP="00504AFD">
      <w:pPr>
        <w:spacing w:after="0" w:line="240" w:lineRule="auto"/>
        <w:jc w:val="both"/>
        <w:rPr>
          <w:rFonts w:ascii="Times New Roman" w:hAnsi="Times New Roman" w:cs="Times New Roman"/>
          <w:b/>
          <w:sz w:val="24"/>
          <w:szCs w:val="24"/>
        </w:rPr>
      </w:pPr>
    </w:p>
    <w:p w:rsidR="00504AFD" w:rsidRDefault="00A83E5B" w:rsidP="00504AFD">
      <w:pPr>
        <w:spacing w:after="0" w:line="240" w:lineRule="auto"/>
        <w:jc w:val="both"/>
        <w:rPr>
          <w:rFonts w:ascii="Times New Roman" w:hAnsi="Times New Roman" w:cs="Times New Roman"/>
          <w:sz w:val="24"/>
          <w:szCs w:val="24"/>
        </w:rPr>
      </w:pPr>
      <w:r w:rsidRPr="00A83E5B">
        <w:rPr>
          <w:rFonts w:ascii="Times New Roman" w:hAnsi="Times New Roman" w:cs="Times New Roman"/>
          <w:i/>
          <w:sz w:val="24"/>
          <w:szCs w:val="24"/>
        </w:rPr>
        <w:t>K Tundu</w:t>
      </w:r>
      <w:r w:rsidR="000C1F49">
        <w:rPr>
          <w:rFonts w:ascii="Times New Roman" w:hAnsi="Times New Roman" w:cs="Times New Roman"/>
          <w:i/>
          <w:sz w:val="24"/>
          <w:szCs w:val="24"/>
        </w:rPr>
        <w:t>,</w:t>
      </w:r>
      <w:r w:rsidR="00E64B07">
        <w:rPr>
          <w:rFonts w:ascii="Times New Roman" w:hAnsi="Times New Roman" w:cs="Times New Roman"/>
          <w:sz w:val="24"/>
          <w:szCs w:val="24"/>
        </w:rPr>
        <w:t xml:space="preserve"> for the applicant</w:t>
      </w:r>
    </w:p>
    <w:p w:rsidR="00504AFD" w:rsidRDefault="00A83E5B" w:rsidP="00504A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 Mataka,</w:t>
      </w:r>
      <w:r w:rsidR="000C1F49">
        <w:rPr>
          <w:rFonts w:ascii="Times New Roman" w:hAnsi="Times New Roman" w:cs="Times New Roman"/>
          <w:i/>
          <w:sz w:val="24"/>
          <w:szCs w:val="24"/>
        </w:rPr>
        <w:t xml:space="preserve"> </w:t>
      </w:r>
      <w:r w:rsidR="00504AFD">
        <w:rPr>
          <w:rFonts w:ascii="Times New Roman" w:hAnsi="Times New Roman" w:cs="Times New Roman"/>
          <w:sz w:val="24"/>
          <w:szCs w:val="24"/>
        </w:rPr>
        <w:t xml:space="preserve">for </w:t>
      </w:r>
      <w:r w:rsidR="00ED5C6B">
        <w:rPr>
          <w:rFonts w:ascii="Times New Roman" w:hAnsi="Times New Roman" w:cs="Times New Roman"/>
          <w:sz w:val="24"/>
          <w:szCs w:val="24"/>
        </w:rPr>
        <w:t xml:space="preserve">the </w:t>
      </w:r>
      <w:r w:rsidR="00E64B07">
        <w:rPr>
          <w:rFonts w:ascii="Times New Roman" w:hAnsi="Times New Roman" w:cs="Times New Roman"/>
          <w:sz w:val="24"/>
          <w:szCs w:val="24"/>
        </w:rPr>
        <w:t>respondents</w:t>
      </w:r>
    </w:p>
    <w:p w:rsidR="00504AFD" w:rsidRDefault="00504AFD" w:rsidP="00504AFD">
      <w:pPr>
        <w:spacing w:after="0" w:line="240" w:lineRule="auto"/>
        <w:jc w:val="both"/>
        <w:rPr>
          <w:rFonts w:ascii="Times New Roman" w:hAnsi="Times New Roman" w:cs="Times New Roman"/>
          <w:sz w:val="24"/>
          <w:szCs w:val="24"/>
        </w:rPr>
      </w:pPr>
    </w:p>
    <w:p w:rsidR="00504AFD" w:rsidRDefault="00504AFD" w:rsidP="00504AFD">
      <w:pPr>
        <w:spacing w:after="0" w:line="240" w:lineRule="auto"/>
        <w:jc w:val="both"/>
        <w:rPr>
          <w:rFonts w:ascii="Times New Roman" w:hAnsi="Times New Roman" w:cs="Times New Roman"/>
          <w:sz w:val="24"/>
          <w:szCs w:val="24"/>
        </w:rPr>
      </w:pPr>
    </w:p>
    <w:p w:rsidR="00170521" w:rsidRDefault="00504AFD" w:rsidP="00E64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E64B07">
        <w:rPr>
          <w:rFonts w:ascii="Times New Roman" w:hAnsi="Times New Roman" w:cs="Times New Roman"/>
          <w:sz w:val="24"/>
          <w:szCs w:val="24"/>
        </w:rPr>
        <w:t xml:space="preserve">   I heard this matter on 18 May 2021, I delivered an </w:t>
      </w:r>
      <w:r w:rsidR="00E64B07" w:rsidRPr="00A86DCE">
        <w:rPr>
          <w:rFonts w:ascii="Times New Roman" w:hAnsi="Times New Roman" w:cs="Times New Roman"/>
          <w:i/>
          <w:sz w:val="24"/>
          <w:szCs w:val="24"/>
        </w:rPr>
        <w:t>ex tempore</w:t>
      </w:r>
      <w:r w:rsidR="00E64B07">
        <w:rPr>
          <w:rFonts w:ascii="Times New Roman" w:hAnsi="Times New Roman" w:cs="Times New Roman"/>
          <w:sz w:val="24"/>
          <w:szCs w:val="24"/>
        </w:rPr>
        <w:t xml:space="preserve"> judgment in terms of which I granted the applicant’s prayer with costs.</w:t>
      </w:r>
    </w:p>
    <w:p w:rsidR="00E64B07" w:rsidRDefault="00E64B07" w:rsidP="00E64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October 2021, the High Co</w:t>
      </w:r>
      <w:r w:rsidR="00A86DCE">
        <w:rPr>
          <w:rFonts w:ascii="Times New Roman" w:hAnsi="Times New Roman" w:cs="Times New Roman"/>
          <w:sz w:val="24"/>
          <w:szCs w:val="24"/>
        </w:rPr>
        <w:t>urt R</w:t>
      </w:r>
      <w:r>
        <w:rPr>
          <w:rFonts w:ascii="Times New Roman" w:hAnsi="Times New Roman" w:cs="Times New Roman"/>
          <w:sz w:val="24"/>
          <w:szCs w:val="24"/>
        </w:rPr>
        <w:t>egistrar wrote advising</w:t>
      </w:r>
      <w:r w:rsidR="00790B14">
        <w:rPr>
          <w:rFonts w:ascii="Times New Roman" w:hAnsi="Times New Roman" w:cs="Times New Roman"/>
          <w:sz w:val="24"/>
          <w:szCs w:val="24"/>
        </w:rPr>
        <w:t xml:space="preserve"> me</w:t>
      </w:r>
      <w:r>
        <w:rPr>
          <w:rFonts w:ascii="Times New Roman" w:hAnsi="Times New Roman" w:cs="Times New Roman"/>
          <w:sz w:val="24"/>
          <w:szCs w:val="24"/>
        </w:rPr>
        <w:t xml:space="preserve"> that my decision had been appealed. He requested reasons for the same. These are they:</w:t>
      </w:r>
    </w:p>
    <w:p w:rsidR="00E64B07" w:rsidRDefault="00E64B07" w:rsidP="00E64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a legal entity. It is the owner and lawful occupier of two pieces of land (“the farm”) which are in the District of Hartley which is now known as Chegutu. The pieces or the farm</w:t>
      </w:r>
      <w:r w:rsidR="00A86DCE">
        <w:rPr>
          <w:rFonts w:ascii="Times New Roman" w:hAnsi="Times New Roman" w:cs="Times New Roman"/>
          <w:sz w:val="24"/>
          <w:szCs w:val="24"/>
        </w:rPr>
        <w:t xml:space="preserve"> </w:t>
      </w:r>
      <w:r>
        <w:rPr>
          <w:rFonts w:ascii="Times New Roman" w:hAnsi="Times New Roman" w:cs="Times New Roman"/>
          <w:sz w:val="24"/>
          <w:szCs w:val="24"/>
        </w:rPr>
        <w:t>comprise(s):</w:t>
      </w:r>
    </w:p>
    <w:p w:rsidR="00E64B07" w:rsidRDefault="00E64B07" w:rsidP="00E64B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Dorith More which is 341,9506 hectares in extent</w:t>
      </w:r>
      <w:r w:rsidR="00A86DCE">
        <w:rPr>
          <w:rFonts w:ascii="Times New Roman" w:hAnsi="Times New Roman" w:cs="Times New Roman"/>
          <w:sz w:val="24"/>
          <w:szCs w:val="24"/>
        </w:rPr>
        <w:t xml:space="preserve"> </w:t>
      </w:r>
      <w:r>
        <w:rPr>
          <w:rFonts w:ascii="Times New Roman" w:hAnsi="Times New Roman" w:cs="Times New Roman"/>
          <w:sz w:val="24"/>
          <w:szCs w:val="24"/>
        </w:rPr>
        <w:t>-</w:t>
      </w:r>
      <w:r w:rsidR="00A86DCE">
        <w:rPr>
          <w:rFonts w:ascii="Times New Roman" w:hAnsi="Times New Roman" w:cs="Times New Roman"/>
          <w:sz w:val="24"/>
          <w:szCs w:val="24"/>
        </w:rPr>
        <w:t xml:space="preserve"> </w:t>
      </w:r>
      <w:r>
        <w:rPr>
          <w:rFonts w:ascii="Times New Roman" w:hAnsi="Times New Roman" w:cs="Times New Roman"/>
          <w:sz w:val="24"/>
          <w:szCs w:val="24"/>
        </w:rPr>
        <w:t xml:space="preserve">and </w:t>
      </w:r>
    </w:p>
    <w:p w:rsidR="00E64B07" w:rsidRDefault="00E64B07" w:rsidP="00E64B0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Stanley which is 563,1007 hectares in size.</w:t>
      </w:r>
    </w:p>
    <w:p w:rsidR="00E64B07" w:rsidRDefault="00E64B07" w:rsidP="00A8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been engaged in running battles with the respondents from as far back as 2015</w:t>
      </w:r>
      <w:r w:rsidR="00790B14">
        <w:rPr>
          <w:rFonts w:ascii="Times New Roman" w:hAnsi="Times New Roman" w:cs="Times New Roman"/>
          <w:sz w:val="24"/>
          <w:szCs w:val="24"/>
        </w:rPr>
        <w:t xml:space="preserve"> </w:t>
      </w:r>
      <w:r>
        <w:rPr>
          <w:rFonts w:ascii="Times New Roman" w:hAnsi="Times New Roman" w:cs="Times New Roman"/>
          <w:sz w:val="24"/>
          <w:szCs w:val="24"/>
        </w:rPr>
        <w:t>when it successfully sued to evict them from the farm which they had invaded. It, accordingly, asserted its right to the farm. Reference is made in the mentioned regard to the order which the court issued in its favour under HC 12326/15. The order is dated 16 May, 2021. Its effect was to:</w:t>
      </w:r>
    </w:p>
    <w:p w:rsidR="00E64B07" w:rsidRDefault="00790B14" w:rsidP="00E64B0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E64B07">
        <w:rPr>
          <w:rFonts w:ascii="Times New Roman" w:hAnsi="Times New Roman" w:cs="Times New Roman"/>
          <w:sz w:val="24"/>
          <w:szCs w:val="24"/>
        </w:rPr>
        <w:t>vict the respondents  from the farm</w:t>
      </w:r>
      <w:r w:rsidR="00A86DCE">
        <w:rPr>
          <w:rFonts w:ascii="Times New Roman" w:hAnsi="Times New Roman" w:cs="Times New Roman"/>
          <w:sz w:val="24"/>
          <w:szCs w:val="24"/>
        </w:rPr>
        <w:t xml:space="preserve"> </w:t>
      </w:r>
      <w:r w:rsidR="00E64B07">
        <w:rPr>
          <w:rFonts w:ascii="Times New Roman" w:hAnsi="Times New Roman" w:cs="Times New Roman"/>
          <w:sz w:val="24"/>
          <w:szCs w:val="24"/>
        </w:rPr>
        <w:t>-</w:t>
      </w:r>
      <w:r w:rsidR="00A86DCE">
        <w:rPr>
          <w:rFonts w:ascii="Times New Roman" w:hAnsi="Times New Roman" w:cs="Times New Roman"/>
          <w:sz w:val="24"/>
          <w:szCs w:val="24"/>
        </w:rPr>
        <w:t xml:space="preserve"> </w:t>
      </w:r>
      <w:r w:rsidR="00E64B07">
        <w:rPr>
          <w:rFonts w:ascii="Times New Roman" w:hAnsi="Times New Roman" w:cs="Times New Roman"/>
          <w:sz w:val="24"/>
          <w:szCs w:val="24"/>
        </w:rPr>
        <w:t>and</w:t>
      </w:r>
    </w:p>
    <w:p w:rsidR="0084177D" w:rsidRDefault="00790B14" w:rsidP="00E64B0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84177D">
        <w:rPr>
          <w:rFonts w:ascii="Times New Roman" w:hAnsi="Times New Roman" w:cs="Times New Roman"/>
          <w:sz w:val="24"/>
          <w:szCs w:val="24"/>
        </w:rPr>
        <w:t>nterdict them from entering the farm</w:t>
      </w:r>
      <w:r>
        <w:rPr>
          <w:rFonts w:ascii="Times New Roman" w:hAnsi="Times New Roman" w:cs="Times New Roman"/>
          <w:sz w:val="24"/>
          <w:szCs w:val="24"/>
        </w:rPr>
        <w:t>.</w:t>
      </w:r>
    </w:p>
    <w:p w:rsidR="0084177D" w:rsidRDefault="0084177D" w:rsidP="00A8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the context of HC 12326/15 that the applicant filed this application. It moved me to declare the 1</w:t>
      </w:r>
      <w:r w:rsidRPr="0084177D">
        <w:rPr>
          <w:rFonts w:ascii="Times New Roman" w:hAnsi="Times New Roman" w:cs="Times New Roman"/>
          <w:sz w:val="24"/>
          <w:szCs w:val="24"/>
          <w:vertAlign w:val="superscript"/>
        </w:rPr>
        <w:t>st</w:t>
      </w:r>
      <w:r>
        <w:rPr>
          <w:rFonts w:ascii="Times New Roman" w:hAnsi="Times New Roman" w:cs="Times New Roman"/>
          <w:sz w:val="24"/>
          <w:szCs w:val="24"/>
        </w:rPr>
        <w:t>, 4</w:t>
      </w:r>
      <w:r w:rsidRPr="0084177D">
        <w:rPr>
          <w:rFonts w:ascii="Times New Roman" w:hAnsi="Times New Roman" w:cs="Times New Roman"/>
          <w:sz w:val="24"/>
          <w:szCs w:val="24"/>
          <w:vertAlign w:val="superscript"/>
        </w:rPr>
        <w:t>th</w:t>
      </w:r>
      <w:r>
        <w:rPr>
          <w:rFonts w:ascii="Times New Roman" w:hAnsi="Times New Roman" w:cs="Times New Roman"/>
          <w:sz w:val="24"/>
          <w:szCs w:val="24"/>
        </w:rPr>
        <w:t>, -21</w:t>
      </w:r>
      <w:r w:rsidRPr="0084177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to be in contempt of court for failure to abide by the order which the court issued under HC 12326/15. It prayed that each respondent be committed to prison for a period of ninety (90) days.</w:t>
      </w:r>
    </w:p>
    <w:p w:rsidR="0084177D" w:rsidRDefault="0084177D"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Contempt of court proceeding are provided for under r 79 of the High Court Rules, 2021. Sub</w:t>
      </w:r>
      <w:r w:rsidR="008E447B">
        <w:rPr>
          <w:rFonts w:ascii="Times New Roman" w:hAnsi="Times New Roman" w:cs="Times New Roman"/>
          <w:sz w:val="24"/>
          <w:szCs w:val="24"/>
        </w:rPr>
        <w:t xml:space="preserve"> para</w:t>
      </w:r>
      <w:r>
        <w:rPr>
          <w:rFonts w:ascii="Times New Roman" w:hAnsi="Times New Roman" w:cs="Times New Roman"/>
          <w:sz w:val="24"/>
          <w:szCs w:val="24"/>
        </w:rPr>
        <w:t>(</w:t>
      </w:r>
      <w:r w:rsidR="008E447B">
        <w:rPr>
          <w:rFonts w:ascii="Times New Roman" w:hAnsi="Times New Roman" w:cs="Times New Roman"/>
          <w:sz w:val="24"/>
          <w:szCs w:val="24"/>
        </w:rPr>
        <w:t>s</w:t>
      </w:r>
      <w:r>
        <w:rPr>
          <w:rFonts w:ascii="Times New Roman" w:hAnsi="Times New Roman" w:cs="Times New Roman"/>
          <w:sz w:val="24"/>
          <w:szCs w:val="24"/>
        </w:rPr>
        <w:t xml:space="preserve">) </w:t>
      </w:r>
      <w:r w:rsidR="008E447B">
        <w:rPr>
          <w:rFonts w:ascii="Times New Roman" w:hAnsi="Times New Roman" w:cs="Times New Roman"/>
          <w:sz w:val="24"/>
          <w:szCs w:val="24"/>
        </w:rPr>
        <w:t xml:space="preserve">1 </w:t>
      </w:r>
      <w:r>
        <w:rPr>
          <w:rFonts w:ascii="Times New Roman" w:hAnsi="Times New Roman" w:cs="Times New Roman"/>
          <w:sz w:val="24"/>
          <w:szCs w:val="24"/>
        </w:rPr>
        <w:t>and 2 of t</w:t>
      </w:r>
      <w:r w:rsidR="00790B14">
        <w:rPr>
          <w:rFonts w:ascii="Times New Roman" w:hAnsi="Times New Roman" w:cs="Times New Roman"/>
          <w:sz w:val="24"/>
          <w:szCs w:val="24"/>
        </w:rPr>
        <w:t>he same are relevant. They state as follows:</w:t>
      </w:r>
    </w:p>
    <w:p w:rsidR="0084177D" w:rsidRPr="008E447B" w:rsidRDefault="0084177D" w:rsidP="008E447B">
      <w:pPr>
        <w:spacing w:after="0" w:line="240" w:lineRule="auto"/>
        <w:ind w:left="360"/>
        <w:jc w:val="both"/>
        <w:rPr>
          <w:rFonts w:ascii="Times New Roman" w:hAnsi="Times New Roman" w:cs="Times New Roman"/>
        </w:rPr>
      </w:pPr>
      <w:r w:rsidRPr="008E447B">
        <w:rPr>
          <w:rFonts w:ascii="Times New Roman" w:hAnsi="Times New Roman" w:cs="Times New Roman"/>
        </w:rPr>
        <w:t>“(1) The institution by a party of proceedings for contempt of court shall be made by chamber application.</w:t>
      </w:r>
    </w:p>
    <w:p w:rsidR="0084177D" w:rsidRDefault="0084177D" w:rsidP="008E447B">
      <w:pPr>
        <w:spacing w:after="0" w:line="240" w:lineRule="auto"/>
        <w:ind w:left="360"/>
        <w:jc w:val="both"/>
        <w:rPr>
          <w:rFonts w:ascii="Times New Roman" w:hAnsi="Times New Roman" w:cs="Times New Roman"/>
        </w:rPr>
      </w:pPr>
      <w:r w:rsidRPr="008E447B">
        <w:rPr>
          <w:rFonts w:ascii="Times New Roman" w:hAnsi="Times New Roman" w:cs="Times New Roman"/>
        </w:rPr>
        <w:t>(2) Such chamber application shall set forth distinctly the grounds of the complaint and shall be supported by an affidavit of the facts.”</w:t>
      </w:r>
    </w:p>
    <w:p w:rsidR="008E447B" w:rsidRPr="008E447B" w:rsidRDefault="008E447B" w:rsidP="008E447B">
      <w:pPr>
        <w:spacing w:after="0" w:line="240" w:lineRule="auto"/>
        <w:ind w:left="360"/>
        <w:jc w:val="both"/>
        <w:rPr>
          <w:rFonts w:ascii="Times New Roman" w:hAnsi="Times New Roman" w:cs="Times New Roman"/>
        </w:rPr>
      </w:pPr>
    </w:p>
    <w:p w:rsidR="0084177D" w:rsidRDefault="0084177D"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it is evident, set forth in a clear and unambiguous language its ground of complaint. The ground is that the respondents invaded its farm and their conduct, therefore, constitutes a thorn in its flesh. They, </w:t>
      </w:r>
      <w:r w:rsidR="008E447B">
        <w:rPr>
          <w:rFonts w:ascii="Times New Roman" w:hAnsi="Times New Roman" w:cs="Times New Roman"/>
          <w:sz w:val="24"/>
          <w:szCs w:val="24"/>
        </w:rPr>
        <w:t xml:space="preserve">it </w:t>
      </w:r>
      <w:r>
        <w:rPr>
          <w:rFonts w:ascii="Times New Roman" w:hAnsi="Times New Roman" w:cs="Times New Roman"/>
          <w:sz w:val="24"/>
          <w:szCs w:val="24"/>
        </w:rPr>
        <w:t xml:space="preserve">asserts, continue to interfere with its operations at the farm. They, it insists, are interfering </w:t>
      </w:r>
      <w:r w:rsidR="00924308">
        <w:rPr>
          <w:rFonts w:ascii="Times New Roman" w:hAnsi="Times New Roman" w:cs="Times New Roman"/>
          <w:sz w:val="24"/>
          <w:szCs w:val="24"/>
        </w:rPr>
        <w:t>with its rights at the farm in violation of the order which the court entered in its favour on 16 May, 2017 and under HC 12326/15. They are, it submits, in contempt of the court order.</w:t>
      </w:r>
    </w:p>
    <w:p w:rsidR="00924308" w:rsidRDefault="00924308"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Civil contempt, in simple terms, refers to a situation where the plaintiff or the applicant obtains a court order against the defendant or the respondent which the latter becomes aware of and refuses or neglects to obey or comply with for no particular reason other than that he has decided to defy the court order. It places the court and the administration of justice into dis</w:t>
      </w:r>
      <w:r w:rsidR="008E447B">
        <w:rPr>
          <w:rFonts w:ascii="Times New Roman" w:hAnsi="Times New Roman" w:cs="Times New Roman"/>
          <w:sz w:val="24"/>
          <w:szCs w:val="24"/>
        </w:rPr>
        <w:t>re</w:t>
      </w:r>
      <w:r>
        <w:rPr>
          <w:rFonts w:ascii="Times New Roman" w:hAnsi="Times New Roman" w:cs="Times New Roman"/>
          <w:sz w:val="24"/>
          <w:szCs w:val="24"/>
        </w:rPr>
        <w:t>pute. It renders the court a toothless bull dog, if a comparison may be favoured.</w:t>
      </w:r>
    </w:p>
    <w:p w:rsidR="00924308" w:rsidRDefault="00924308"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Rome L.J defines the meaning and import of the concept of civil contempt of court. The learned Lord </w:t>
      </w:r>
      <w:r w:rsidR="008E447B">
        <w:rPr>
          <w:rFonts w:ascii="Times New Roman" w:hAnsi="Times New Roman" w:cs="Times New Roman"/>
          <w:sz w:val="24"/>
          <w:szCs w:val="24"/>
        </w:rPr>
        <w:t>Justice</w:t>
      </w:r>
      <w:r>
        <w:rPr>
          <w:rFonts w:ascii="Times New Roman" w:hAnsi="Times New Roman" w:cs="Times New Roman"/>
          <w:sz w:val="24"/>
          <w:szCs w:val="24"/>
        </w:rPr>
        <w:t xml:space="preserve"> states in </w:t>
      </w:r>
      <w:r w:rsidRPr="008E447B">
        <w:rPr>
          <w:rFonts w:ascii="Times New Roman" w:hAnsi="Times New Roman" w:cs="Times New Roman"/>
          <w:i/>
          <w:sz w:val="24"/>
          <w:szCs w:val="24"/>
        </w:rPr>
        <w:t>Hadkinson</w:t>
      </w:r>
      <w:r>
        <w:rPr>
          <w:rFonts w:ascii="Times New Roman" w:hAnsi="Times New Roman" w:cs="Times New Roman"/>
          <w:sz w:val="24"/>
          <w:szCs w:val="24"/>
        </w:rPr>
        <w:t xml:space="preserve"> v </w:t>
      </w:r>
      <w:r w:rsidRPr="008E447B">
        <w:rPr>
          <w:rFonts w:ascii="Times New Roman" w:hAnsi="Times New Roman" w:cs="Times New Roman"/>
          <w:i/>
          <w:sz w:val="24"/>
          <w:szCs w:val="24"/>
        </w:rPr>
        <w:t>Hadkinson</w:t>
      </w:r>
      <w:r>
        <w:rPr>
          <w:rFonts w:ascii="Times New Roman" w:hAnsi="Times New Roman" w:cs="Times New Roman"/>
          <w:sz w:val="24"/>
          <w:szCs w:val="24"/>
        </w:rPr>
        <w:t xml:space="preserve"> (1952) 2 ALL R 567 (CA) that:</w:t>
      </w:r>
    </w:p>
    <w:p w:rsidR="00924308" w:rsidRDefault="00924308" w:rsidP="008E447B">
      <w:pPr>
        <w:spacing w:after="0" w:line="240" w:lineRule="auto"/>
        <w:ind w:left="720"/>
        <w:jc w:val="both"/>
        <w:rPr>
          <w:rFonts w:ascii="Times New Roman" w:hAnsi="Times New Roman" w:cs="Times New Roman"/>
        </w:rPr>
      </w:pPr>
      <w:r w:rsidRPr="008E447B">
        <w:rPr>
          <w:rFonts w:ascii="Times New Roman" w:hAnsi="Times New Roman" w:cs="Times New Roman"/>
        </w:rPr>
        <w:t>“It is the plain and unqualified obligation of every person against or in respect of whom an order is made by a court of competent jurisdiction to obey it unless and until that order is discharged ….. the fact is that anyone who disobeys an order of the court is in contempt and may be punished by committal or attachment or otherwise.”</w:t>
      </w:r>
    </w:p>
    <w:p w:rsidR="008E447B" w:rsidRPr="008E447B" w:rsidRDefault="008E447B" w:rsidP="008E447B">
      <w:pPr>
        <w:spacing w:after="0" w:line="240" w:lineRule="auto"/>
        <w:ind w:left="720"/>
        <w:jc w:val="both"/>
        <w:rPr>
          <w:rFonts w:ascii="Times New Roman" w:hAnsi="Times New Roman" w:cs="Times New Roman"/>
        </w:rPr>
      </w:pPr>
    </w:p>
    <w:p w:rsidR="00924308" w:rsidRDefault="00924308"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Nearer home,</w:t>
      </w:r>
      <w:r w:rsidR="008C2F86">
        <w:rPr>
          <w:rFonts w:ascii="Times New Roman" w:hAnsi="Times New Roman" w:cs="Times New Roman"/>
          <w:sz w:val="24"/>
          <w:szCs w:val="24"/>
        </w:rPr>
        <w:t xml:space="preserve"> civil contempt of court was aptly defined in </w:t>
      </w:r>
      <w:r w:rsidR="008C2F86" w:rsidRPr="008E447B">
        <w:rPr>
          <w:rFonts w:ascii="Times New Roman" w:hAnsi="Times New Roman" w:cs="Times New Roman"/>
          <w:i/>
          <w:sz w:val="24"/>
          <w:szCs w:val="24"/>
        </w:rPr>
        <w:t>John Strong (Pvt) Ltd</w:t>
      </w:r>
      <w:r w:rsidR="008C2F86">
        <w:rPr>
          <w:rFonts w:ascii="Times New Roman" w:hAnsi="Times New Roman" w:cs="Times New Roman"/>
          <w:sz w:val="24"/>
          <w:szCs w:val="24"/>
        </w:rPr>
        <w:t xml:space="preserve"> v </w:t>
      </w:r>
      <w:r w:rsidR="008C2F86" w:rsidRPr="008E447B">
        <w:rPr>
          <w:rFonts w:ascii="Times New Roman" w:hAnsi="Times New Roman" w:cs="Times New Roman"/>
          <w:i/>
          <w:sz w:val="24"/>
          <w:szCs w:val="24"/>
        </w:rPr>
        <w:t>Wachenuka</w:t>
      </w:r>
      <w:r w:rsidR="008C2F86">
        <w:rPr>
          <w:rFonts w:ascii="Times New Roman" w:hAnsi="Times New Roman" w:cs="Times New Roman"/>
          <w:sz w:val="24"/>
          <w:szCs w:val="24"/>
        </w:rPr>
        <w:t>, HH 44/10 wherein it was stated that:</w:t>
      </w:r>
    </w:p>
    <w:p w:rsidR="008C2F86" w:rsidRPr="008E447B" w:rsidRDefault="008C2F86" w:rsidP="008E447B">
      <w:pPr>
        <w:spacing w:after="0" w:line="240" w:lineRule="auto"/>
        <w:ind w:left="720"/>
        <w:jc w:val="both"/>
        <w:rPr>
          <w:rFonts w:ascii="Times New Roman" w:hAnsi="Times New Roman" w:cs="Times New Roman"/>
        </w:rPr>
      </w:pPr>
      <w:r w:rsidRPr="008E447B">
        <w:rPr>
          <w:rFonts w:ascii="Times New Roman" w:hAnsi="Times New Roman" w:cs="Times New Roman"/>
        </w:rPr>
        <w:t xml:space="preserve">“…..civil contempt is the wilful and </w:t>
      </w:r>
      <w:r w:rsidRPr="008E447B">
        <w:rPr>
          <w:rFonts w:ascii="Times New Roman" w:hAnsi="Times New Roman" w:cs="Times New Roman"/>
          <w:i/>
        </w:rPr>
        <w:t>mala fide</w:t>
      </w:r>
      <w:r w:rsidRPr="008E447B">
        <w:rPr>
          <w:rFonts w:ascii="Times New Roman" w:hAnsi="Times New Roman" w:cs="Times New Roman"/>
        </w:rPr>
        <w:t xml:space="preserve"> refusal or failure to comply with an order of court. Before holding the respondent to have been in contempt of court, it is necessary for the court to be satisfied both that the order was not complied with and that the non-compliance was wilful on the respondent’s part… once the applicant has established that the respondent has failed to comply with the order, the </w:t>
      </w:r>
      <w:r w:rsidRPr="008E447B">
        <w:rPr>
          <w:rFonts w:ascii="Times New Roman" w:hAnsi="Times New Roman" w:cs="Times New Roman"/>
          <w:i/>
        </w:rPr>
        <w:t xml:space="preserve">onus </w:t>
      </w:r>
      <w:r w:rsidRPr="008E447B">
        <w:rPr>
          <w:rFonts w:ascii="Times New Roman" w:hAnsi="Times New Roman" w:cs="Times New Roman"/>
        </w:rPr>
        <w:t xml:space="preserve">shifts to the respondent to establish that he or she was not wilful and </w:t>
      </w:r>
      <w:r w:rsidRPr="008E447B">
        <w:rPr>
          <w:rFonts w:ascii="Times New Roman" w:hAnsi="Times New Roman" w:cs="Times New Roman"/>
          <w:i/>
        </w:rPr>
        <w:t>mala fide</w:t>
      </w:r>
      <w:r w:rsidRPr="008E447B">
        <w:rPr>
          <w:rFonts w:ascii="Times New Roman" w:hAnsi="Times New Roman" w:cs="Times New Roman"/>
        </w:rPr>
        <w:t>.”</w:t>
      </w:r>
    </w:p>
    <w:p w:rsidR="008E447B" w:rsidRDefault="008E447B" w:rsidP="00924308">
      <w:pPr>
        <w:spacing w:after="0" w:line="360" w:lineRule="auto"/>
        <w:ind w:firstLine="720"/>
        <w:jc w:val="both"/>
        <w:rPr>
          <w:rFonts w:ascii="Times New Roman" w:hAnsi="Times New Roman" w:cs="Times New Roman"/>
          <w:sz w:val="24"/>
          <w:szCs w:val="24"/>
        </w:rPr>
      </w:pPr>
    </w:p>
    <w:p w:rsidR="008C2F86" w:rsidRDefault="008C2F86"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reasoning which </w:t>
      </w:r>
      <w:r w:rsidRPr="008E447B">
        <w:rPr>
          <w:rFonts w:ascii="Times New Roman" w:hAnsi="Times New Roman" w:cs="Times New Roman"/>
          <w:smallCaps/>
          <w:sz w:val="24"/>
          <w:szCs w:val="24"/>
        </w:rPr>
        <w:t>Ndou J</w:t>
      </w:r>
      <w:r>
        <w:rPr>
          <w:rFonts w:ascii="Times New Roman" w:hAnsi="Times New Roman" w:cs="Times New Roman"/>
          <w:sz w:val="24"/>
          <w:szCs w:val="24"/>
        </w:rPr>
        <w:t xml:space="preserve"> was pleased to enunciate in </w:t>
      </w:r>
      <w:r w:rsidRPr="008E447B">
        <w:rPr>
          <w:rFonts w:ascii="Times New Roman" w:hAnsi="Times New Roman" w:cs="Times New Roman"/>
          <w:i/>
          <w:sz w:val="24"/>
          <w:szCs w:val="24"/>
        </w:rPr>
        <w:t>Wachenuka</w:t>
      </w:r>
      <w:r>
        <w:rPr>
          <w:rFonts w:ascii="Times New Roman" w:hAnsi="Times New Roman" w:cs="Times New Roman"/>
          <w:sz w:val="24"/>
          <w:szCs w:val="24"/>
        </w:rPr>
        <w:t xml:space="preserve"> v </w:t>
      </w:r>
      <w:r w:rsidRPr="008E447B">
        <w:rPr>
          <w:rFonts w:ascii="Times New Roman" w:hAnsi="Times New Roman" w:cs="Times New Roman"/>
          <w:i/>
          <w:sz w:val="24"/>
          <w:szCs w:val="24"/>
        </w:rPr>
        <w:t>Moyo,</w:t>
      </w:r>
      <w:r>
        <w:rPr>
          <w:rFonts w:ascii="Times New Roman" w:hAnsi="Times New Roman" w:cs="Times New Roman"/>
          <w:sz w:val="24"/>
          <w:szCs w:val="24"/>
        </w:rPr>
        <w:t xml:space="preserve"> HB 78/03, I remain satisfied that the requisite for granting of an order for committal exists in this case. First, an order to move out of the applicant’s farm and never to return to the same was granted against the respondents. Second, the respondents became aware of the order which the court issued in the presence of</w:t>
      </w:r>
      <w:r w:rsidR="00EF6986">
        <w:rPr>
          <w:rFonts w:ascii="Times New Roman" w:hAnsi="Times New Roman" w:cs="Times New Roman"/>
          <w:sz w:val="24"/>
          <w:szCs w:val="24"/>
        </w:rPr>
        <w:t xml:space="preserve"> their legal representative one</w:t>
      </w:r>
      <w:r>
        <w:rPr>
          <w:rFonts w:ascii="Times New Roman" w:hAnsi="Times New Roman" w:cs="Times New Roman"/>
          <w:sz w:val="24"/>
          <w:szCs w:val="24"/>
        </w:rPr>
        <w:t xml:space="preserve"> </w:t>
      </w:r>
      <w:r w:rsidRPr="00EF6986">
        <w:rPr>
          <w:rFonts w:ascii="Times New Roman" w:hAnsi="Times New Roman" w:cs="Times New Roman"/>
          <w:i/>
          <w:sz w:val="24"/>
          <w:szCs w:val="24"/>
        </w:rPr>
        <w:t>S Chihuri</w:t>
      </w:r>
      <w:r>
        <w:rPr>
          <w:rFonts w:ascii="Times New Roman" w:hAnsi="Times New Roman" w:cs="Times New Roman"/>
          <w:sz w:val="24"/>
          <w:szCs w:val="24"/>
        </w:rPr>
        <w:t>. Third, the respondents disobeyed the court order as they remained at the farm after its issuance.</w:t>
      </w:r>
    </w:p>
    <w:p w:rsidR="008C2F86" w:rsidRDefault="008C2F86"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Pr="00EF6986">
        <w:rPr>
          <w:rFonts w:ascii="Times New Roman" w:hAnsi="Times New Roman" w:cs="Times New Roman"/>
          <w:smallCaps/>
          <w:sz w:val="24"/>
          <w:szCs w:val="24"/>
        </w:rPr>
        <w:t>Ndou J</w:t>
      </w:r>
      <w:r>
        <w:rPr>
          <w:rFonts w:ascii="Times New Roman" w:hAnsi="Times New Roman" w:cs="Times New Roman"/>
          <w:sz w:val="24"/>
          <w:szCs w:val="24"/>
        </w:rPr>
        <w:t xml:space="preserve"> correctly observed, all orders of court, whether correctly or incorrectly granted, have to be obeyed </w:t>
      </w:r>
      <w:r w:rsidR="00DA4D2B">
        <w:rPr>
          <w:rFonts w:ascii="Times New Roman" w:hAnsi="Times New Roman" w:cs="Times New Roman"/>
          <w:sz w:val="24"/>
          <w:szCs w:val="24"/>
        </w:rPr>
        <w:t xml:space="preserve">until they are properly set aside. The applicant was able to show that it obtained a court order and that the same is extant. It also showed that the order was </w:t>
      </w:r>
      <w:r w:rsidR="00DA4D2B">
        <w:rPr>
          <w:rFonts w:ascii="Times New Roman" w:hAnsi="Times New Roman" w:cs="Times New Roman"/>
          <w:sz w:val="24"/>
          <w:szCs w:val="24"/>
        </w:rPr>
        <w:lastRenderedPageBreak/>
        <w:t xml:space="preserve">issued against the respondents and that these continued to remain on its farm their knowledge of the court order notwithstanding. It, accordingly, discharged the </w:t>
      </w:r>
      <w:r w:rsidR="00DA4D2B" w:rsidRPr="00790B14">
        <w:rPr>
          <w:rFonts w:ascii="Times New Roman" w:hAnsi="Times New Roman" w:cs="Times New Roman"/>
          <w:i/>
          <w:sz w:val="24"/>
          <w:szCs w:val="24"/>
        </w:rPr>
        <w:t>onus</w:t>
      </w:r>
      <w:r w:rsidR="00DA4D2B">
        <w:rPr>
          <w:rFonts w:ascii="Times New Roman" w:hAnsi="Times New Roman" w:cs="Times New Roman"/>
          <w:sz w:val="24"/>
          <w:szCs w:val="24"/>
        </w:rPr>
        <w:t xml:space="preserve"> which rested upon it to prove disobedience of the order of court. That being the case, wilfulness is, in such circumstances, inferred and the </w:t>
      </w:r>
      <w:r w:rsidR="00DA4D2B" w:rsidRPr="00790B14">
        <w:rPr>
          <w:rFonts w:ascii="Times New Roman" w:hAnsi="Times New Roman" w:cs="Times New Roman"/>
          <w:i/>
          <w:sz w:val="24"/>
          <w:szCs w:val="24"/>
        </w:rPr>
        <w:t>onus</w:t>
      </w:r>
      <w:r w:rsidR="00DA4D2B">
        <w:rPr>
          <w:rFonts w:ascii="Times New Roman" w:hAnsi="Times New Roman" w:cs="Times New Roman"/>
          <w:sz w:val="24"/>
          <w:szCs w:val="24"/>
        </w:rPr>
        <w:t xml:space="preserve"> shifts onto the respondents who should rebut, on a balance of probabilities, the inference of wilfulness.  </w:t>
      </w:r>
    </w:p>
    <w:p w:rsidR="00DA4D2B" w:rsidRDefault="00DA4D2B"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cannot be said to have rebutted the </w:t>
      </w:r>
      <w:r w:rsidRPr="00EF6986">
        <w:rPr>
          <w:rFonts w:ascii="Times New Roman" w:hAnsi="Times New Roman" w:cs="Times New Roman"/>
          <w:i/>
          <w:sz w:val="24"/>
          <w:szCs w:val="24"/>
        </w:rPr>
        <w:t>onus</w:t>
      </w:r>
      <w:r>
        <w:rPr>
          <w:rFonts w:ascii="Times New Roman" w:hAnsi="Times New Roman" w:cs="Times New Roman"/>
          <w:sz w:val="24"/>
          <w:szCs w:val="24"/>
        </w:rPr>
        <w:t xml:space="preserve"> which shifted onto themselves. Their knowledge of the order which the court entered against them on 16 May, 2017 should have persuaded them to leave the farm on the date of the order or so soon thereafter. They did not have to wait for the applicant to enforce the same by way of a writ.</w:t>
      </w:r>
    </w:p>
    <w:p w:rsidR="00DA4D2B" w:rsidRDefault="00DA4D2B"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writ of ejectment which the applicant issued on 30 May 2017 shows that the respondents chose to stay put </w:t>
      </w:r>
      <w:r w:rsidR="00A20DC4">
        <w:rPr>
          <w:rFonts w:ascii="Times New Roman" w:hAnsi="Times New Roman" w:cs="Times New Roman"/>
          <w:sz w:val="24"/>
          <w:szCs w:val="24"/>
        </w:rPr>
        <w:t>at the farm. Indeed, the statement of the deponent to their opposing affidavit which they filed on 14 February 2019 does but confirm their continued violation of the court order. The statement reads:</w:t>
      </w:r>
    </w:p>
    <w:p w:rsidR="00A20DC4" w:rsidRDefault="00A20DC4" w:rsidP="00EF6986">
      <w:pPr>
        <w:spacing w:after="0" w:line="240" w:lineRule="auto"/>
        <w:ind w:left="720"/>
        <w:jc w:val="both"/>
        <w:rPr>
          <w:rFonts w:ascii="Times New Roman" w:hAnsi="Times New Roman" w:cs="Times New Roman"/>
        </w:rPr>
      </w:pPr>
      <w:r w:rsidRPr="00EF6986">
        <w:rPr>
          <w:rFonts w:ascii="Times New Roman" w:hAnsi="Times New Roman" w:cs="Times New Roman"/>
        </w:rPr>
        <w:t>“The few times that we send people to the farm is to check if our property is still there and safe.”</w:t>
      </w:r>
    </w:p>
    <w:p w:rsidR="00EF6986" w:rsidRPr="00EF6986" w:rsidRDefault="00EF6986" w:rsidP="00EF6986">
      <w:pPr>
        <w:spacing w:after="0" w:line="240" w:lineRule="auto"/>
        <w:ind w:left="720"/>
        <w:jc w:val="both"/>
        <w:rPr>
          <w:rFonts w:ascii="Times New Roman" w:hAnsi="Times New Roman" w:cs="Times New Roman"/>
        </w:rPr>
      </w:pPr>
    </w:p>
    <w:p w:rsidR="00A20DC4" w:rsidRDefault="00A20DC4"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serves little, if any, purpose for the respondents to assert, as they are doing, that they left the applicant’s farm but they left their property behind at the farm. Eviction, being what it is</w:t>
      </w:r>
      <w:r w:rsidR="00A83E5B">
        <w:rPr>
          <w:rFonts w:ascii="Times New Roman" w:hAnsi="Times New Roman" w:cs="Times New Roman"/>
          <w:sz w:val="24"/>
          <w:szCs w:val="24"/>
        </w:rPr>
        <w:t>,</w:t>
      </w:r>
      <w:r>
        <w:rPr>
          <w:rFonts w:ascii="Times New Roman" w:hAnsi="Times New Roman" w:cs="Times New Roman"/>
          <w:sz w:val="24"/>
          <w:szCs w:val="24"/>
        </w:rPr>
        <w:t xml:space="preserve"> does not </w:t>
      </w:r>
      <w:r w:rsidR="00067C99">
        <w:rPr>
          <w:rFonts w:ascii="Times New Roman" w:hAnsi="Times New Roman" w:cs="Times New Roman"/>
          <w:sz w:val="24"/>
          <w:szCs w:val="24"/>
        </w:rPr>
        <w:t xml:space="preserve">allow any person who is claiming occupation through the evicted person to remain on the place where the eviction has occurred. Nor does it allow </w:t>
      </w:r>
      <w:r w:rsidR="00A86DCE">
        <w:rPr>
          <w:rFonts w:ascii="Times New Roman" w:hAnsi="Times New Roman" w:cs="Times New Roman"/>
          <w:sz w:val="24"/>
          <w:szCs w:val="24"/>
        </w:rPr>
        <w:t>the evicted</w:t>
      </w:r>
      <w:r w:rsidR="00067C99">
        <w:rPr>
          <w:rFonts w:ascii="Times New Roman" w:hAnsi="Times New Roman" w:cs="Times New Roman"/>
          <w:sz w:val="24"/>
          <w:szCs w:val="24"/>
        </w:rPr>
        <w:t xml:space="preserve"> person to leave his goods at the place from where he has been evicted. The evictee, if the word may be properly employed, must move from the place where the court directed him to move with all his dependants as well as all his goods. He cannot, as the respondents are suggesting, leave any of his dependants or his goods behind. Whatever he leaves behind has the effect of interfering with the operations of the applicant who wants every space of his farm without having to worry about the safety of the goods of the respondents.</w:t>
      </w:r>
    </w:p>
    <w:p w:rsidR="00067C99" w:rsidRDefault="00067C99"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cannot escape the natural consequences of t</w:t>
      </w:r>
      <w:r w:rsidR="00790B14">
        <w:rPr>
          <w:rFonts w:ascii="Times New Roman" w:hAnsi="Times New Roman" w:cs="Times New Roman"/>
          <w:sz w:val="24"/>
          <w:szCs w:val="24"/>
        </w:rPr>
        <w:t>heir unlawful conduct. They beca</w:t>
      </w:r>
      <w:r>
        <w:rPr>
          <w:rFonts w:ascii="Times New Roman" w:hAnsi="Times New Roman" w:cs="Times New Roman"/>
          <w:sz w:val="24"/>
          <w:szCs w:val="24"/>
        </w:rPr>
        <w:t xml:space="preserve">me aware of the court order from as far back </w:t>
      </w:r>
      <w:r w:rsidR="00790B14">
        <w:rPr>
          <w:rFonts w:ascii="Times New Roman" w:hAnsi="Times New Roman" w:cs="Times New Roman"/>
          <w:sz w:val="24"/>
          <w:szCs w:val="24"/>
        </w:rPr>
        <w:t>as May 2017. They did not appeal</w:t>
      </w:r>
      <w:r>
        <w:rPr>
          <w:rFonts w:ascii="Times New Roman" w:hAnsi="Times New Roman" w:cs="Times New Roman"/>
          <w:sz w:val="24"/>
          <w:szCs w:val="24"/>
        </w:rPr>
        <w:t xml:space="preserve"> or review it. The order is therefore extant. They did not comply with it from its date of issue to date. They have no valid reason for disobeying it. They have brought the administration of justice into contempt. They have resorted to un</w:t>
      </w:r>
      <w:r w:rsidR="00FB3B3D">
        <w:rPr>
          <w:rFonts w:ascii="Times New Roman" w:hAnsi="Times New Roman" w:cs="Times New Roman"/>
          <w:sz w:val="24"/>
          <w:szCs w:val="24"/>
        </w:rPr>
        <w:t xml:space="preserve">explained self-help. Their conduct cannot be condoned </w:t>
      </w:r>
      <w:r w:rsidR="008D2284">
        <w:rPr>
          <w:rFonts w:ascii="Times New Roman" w:hAnsi="Times New Roman" w:cs="Times New Roman"/>
          <w:sz w:val="24"/>
          <w:szCs w:val="24"/>
        </w:rPr>
        <w:t>let alone accepted. They have virtually no defence which is available to them.</w:t>
      </w:r>
    </w:p>
    <w:p w:rsidR="008D2284" w:rsidRDefault="008D2284" w:rsidP="009243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proved its case on a balance of probabilities. The application is, accordingly, granted as prayed.</w:t>
      </w:r>
    </w:p>
    <w:p w:rsidR="008C2F86" w:rsidRDefault="008C2F86" w:rsidP="00924308">
      <w:pPr>
        <w:spacing w:after="0" w:line="360" w:lineRule="auto"/>
        <w:ind w:firstLine="720"/>
        <w:jc w:val="both"/>
        <w:rPr>
          <w:rFonts w:ascii="Times New Roman" w:hAnsi="Times New Roman" w:cs="Times New Roman"/>
          <w:sz w:val="24"/>
          <w:szCs w:val="24"/>
        </w:rPr>
      </w:pPr>
    </w:p>
    <w:p w:rsidR="00924308" w:rsidRDefault="00924308" w:rsidP="0084177D">
      <w:pPr>
        <w:spacing w:after="0" w:line="360" w:lineRule="auto"/>
        <w:ind w:left="360"/>
        <w:jc w:val="both"/>
        <w:rPr>
          <w:rFonts w:ascii="Times New Roman" w:hAnsi="Times New Roman" w:cs="Times New Roman"/>
          <w:sz w:val="24"/>
          <w:szCs w:val="24"/>
        </w:rPr>
      </w:pPr>
    </w:p>
    <w:p w:rsidR="00C25D60" w:rsidRDefault="00C25D60" w:rsidP="0084177D">
      <w:pPr>
        <w:spacing w:after="0" w:line="360" w:lineRule="auto"/>
        <w:ind w:left="360"/>
        <w:jc w:val="both"/>
        <w:rPr>
          <w:rFonts w:ascii="Times New Roman" w:hAnsi="Times New Roman" w:cs="Times New Roman"/>
          <w:sz w:val="24"/>
          <w:szCs w:val="24"/>
        </w:rPr>
      </w:pPr>
    </w:p>
    <w:p w:rsidR="00C25D60" w:rsidRPr="0084177D" w:rsidRDefault="00C25D60" w:rsidP="0084177D">
      <w:pPr>
        <w:spacing w:after="0" w:line="360" w:lineRule="auto"/>
        <w:ind w:left="360"/>
        <w:jc w:val="both"/>
        <w:rPr>
          <w:rFonts w:ascii="Times New Roman" w:hAnsi="Times New Roman" w:cs="Times New Roman"/>
          <w:sz w:val="24"/>
          <w:szCs w:val="24"/>
        </w:rPr>
      </w:pPr>
    </w:p>
    <w:p w:rsidR="00170521" w:rsidRDefault="00170521" w:rsidP="000F5DE3">
      <w:pPr>
        <w:spacing w:after="0" w:line="360" w:lineRule="auto"/>
        <w:jc w:val="both"/>
        <w:rPr>
          <w:rFonts w:ascii="Times New Roman" w:hAnsi="Times New Roman" w:cs="Times New Roman"/>
          <w:sz w:val="24"/>
          <w:szCs w:val="24"/>
        </w:rPr>
      </w:pPr>
    </w:p>
    <w:p w:rsidR="00170521" w:rsidRDefault="00DC47DE" w:rsidP="001705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 Partners,</w:t>
      </w:r>
      <w:r w:rsidR="00170521">
        <w:rPr>
          <w:rFonts w:ascii="Times New Roman" w:hAnsi="Times New Roman" w:cs="Times New Roman"/>
          <w:i/>
          <w:sz w:val="24"/>
          <w:szCs w:val="24"/>
        </w:rPr>
        <w:t xml:space="preserve"> </w:t>
      </w:r>
      <w:r w:rsidR="00EF6986">
        <w:rPr>
          <w:rFonts w:ascii="Times New Roman" w:hAnsi="Times New Roman" w:cs="Times New Roman"/>
          <w:sz w:val="24"/>
          <w:szCs w:val="24"/>
        </w:rPr>
        <w:t>applicant’s</w:t>
      </w:r>
      <w:r w:rsidR="00170521">
        <w:rPr>
          <w:rFonts w:ascii="Times New Roman" w:hAnsi="Times New Roman" w:cs="Times New Roman"/>
          <w:sz w:val="24"/>
          <w:szCs w:val="24"/>
        </w:rPr>
        <w:t>’ legal practitioners</w:t>
      </w:r>
    </w:p>
    <w:p w:rsidR="00170521" w:rsidRPr="00170521" w:rsidRDefault="00DC47DE" w:rsidP="001705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Chambati Mataka &amp; Makonese</w:t>
      </w:r>
      <w:r w:rsidR="00EF6986">
        <w:rPr>
          <w:rFonts w:ascii="Times New Roman" w:hAnsi="Times New Roman" w:cs="Times New Roman"/>
          <w:i/>
          <w:sz w:val="24"/>
          <w:szCs w:val="24"/>
        </w:rPr>
        <w:t xml:space="preserve">, </w:t>
      </w:r>
      <w:r w:rsidR="00EF6986" w:rsidRPr="00EF6986">
        <w:rPr>
          <w:rFonts w:ascii="Times New Roman" w:hAnsi="Times New Roman" w:cs="Times New Roman"/>
          <w:sz w:val="24"/>
          <w:szCs w:val="24"/>
        </w:rPr>
        <w:t>respondents’</w:t>
      </w:r>
      <w:r w:rsidR="00170521" w:rsidRPr="00EF6986">
        <w:rPr>
          <w:rFonts w:ascii="Times New Roman" w:hAnsi="Times New Roman" w:cs="Times New Roman"/>
          <w:sz w:val="24"/>
          <w:szCs w:val="24"/>
        </w:rPr>
        <w:t xml:space="preserve"> </w:t>
      </w:r>
      <w:r w:rsidR="00170521">
        <w:rPr>
          <w:rFonts w:ascii="Times New Roman" w:hAnsi="Times New Roman" w:cs="Times New Roman"/>
          <w:sz w:val="24"/>
          <w:szCs w:val="24"/>
        </w:rPr>
        <w:t>legal practitioners</w:t>
      </w:r>
    </w:p>
    <w:p w:rsidR="000F5DE3" w:rsidRPr="00504AFD" w:rsidRDefault="000F5DE3" w:rsidP="00692BB2">
      <w:pPr>
        <w:spacing w:after="0" w:line="360" w:lineRule="auto"/>
        <w:jc w:val="both"/>
        <w:rPr>
          <w:rFonts w:ascii="Times New Roman" w:hAnsi="Times New Roman" w:cs="Times New Roman"/>
          <w:sz w:val="24"/>
          <w:szCs w:val="24"/>
        </w:rPr>
      </w:pPr>
    </w:p>
    <w:sectPr w:rsidR="000F5DE3" w:rsidRPr="00504A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46" w:rsidRDefault="00741746" w:rsidP="00A24D34">
      <w:pPr>
        <w:spacing w:after="0" w:line="240" w:lineRule="auto"/>
      </w:pPr>
      <w:r>
        <w:separator/>
      </w:r>
    </w:p>
  </w:endnote>
  <w:endnote w:type="continuationSeparator" w:id="0">
    <w:p w:rsidR="00741746" w:rsidRDefault="00741746" w:rsidP="00A2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46" w:rsidRDefault="00741746" w:rsidP="00A24D34">
      <w:pPr>
        <w:spacing w:after="0" w:line="240" w:lineRule="auto"/>
      </w:pPr>
      <w:r>
        <w:separator/>
      </w:r>
    </w:p>
  </w:footnote>
  <w:footnote w:type="continuationSeparator" w:id="0">
    <w:p w:rsidR="00741746" w:rsidRDefault="00741746" w:rsidP="00A24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24515"/>
      <w:docPartObj>
        <w:docPartGallery w:val="Page Numbers (Top of Page)"/>
        <w:docPartUnique/>
      </w:docPartObj>
    </w:sdtPr>
    <w:sdtEndPr>
      <w:rPr>
        <w:noProof/>
      </w:rPr>
    </w:sdtEndPr>
    <w:sdtContent>
      <w:p w:rsidR="00A24D34" w:rsidRDefault="00A24D34">
        <w:pPr>
          <w:pStyle w:val="Header"/>
          <w:jc w:val="right"/>
          <w:rPr>
            <w:noProof/>
          </w:rPr>
        </w:pPr>
        <w:r>
          <w:fldChar w:fldCharType="begin"/>
        </w:r>
        <w:r>
          <w:instrText xml:space="preserve"> PAGE   \* MERGEFORMAT </w:instrText>
        </w:r>
        <w:r>
          <w:fldChar w:fldCharType="separate"/>
        </w:r>
        <w:r w:rsidR="003E5A82">
          <w:rPr>
            <w:noProof/>
          </w:rPr>
          <w:t>1</w:t>
        </w:r>
        <w:r>
          <w:rPr>
            <w:noProof/>
          </w:rPr>
          <w:fldChar w:fldCharType="end"/>
        </w:r>
      </w:p>
      <w:p w:rsidR="00A24D34" w:rsidRDefault="00A24D34">
        <w:pPr>
          <w:pStyle w:val="Header"/>
          <w:jc w:val="right"/>
          <w:rPr>
            <w:noProof/>
          </w:rPr>
        </w:pPr>
        <w:r>
          <w:rPr>
            <w:noProof/>
          </w:rPr>
          <w:t>HH</w:t>
        </w:r>
        <w:r w:rsidR="00357069">
          <w:rPr>
            <w:noProof/>
          </w:rPr>
          <w:t xml:space="preserve"> 27-22</w:t>
        </w:r>
        <w:r w:rsidR="00F522B0">
          <w:rPr>
            <w:noProof/>
          </w:rPr>
          <w:t xml:space="preserve"> </w:t>
        </w:r>
      </w:p>
      <w:p w:rsidR="00F522B0" w:rsidRDefault="00F522B0">
        <w:pPr>
          <w:pStyle w:val="Header"/>
          <w:jc w:val="right"/>
          <w:rPr>
            <w:noProof/>
          </w:rPr>
        </w:pPr>
        <w:r>
          <w:rPr>
            <w:noProof/>
          </w:rPr>
          <w:t>HC 502/19</w:t>
        </w:r>
      </w:p>
      <w:p w:rsidR="00A24D34" w:rsidRDefault="00F522B0">
        <w:pPr>
          <w:pStyle w:val="Header"/>
          <w:jc w:val="right"/>
        </w:pPr>
        <w:r>
          <w:rPr>
            <w:noProof/>
          </w:rPr>
          <w:t>Ref Case No. HC 12326/15</w:t>
        </w:r>
      </w:p>
    </w:sdtContent>
  </w:sdt>
  <w:p w:rsidR="00A24D34" w:rsidRDefault="00A24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27933"/>
    <w:multiLevelType w:val="hybridMultilevel"/>
    <w:tmpl w:val="1B70FFEA"/>
    <w:lvl w:ilvl="0" w:tplc="163653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EE02F6A"/>
    <w:multiLevelType w:val="hybridMultilevel"/>
    <w:tmpl w:val="6E62416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FD"/>
    <w:rsid w:val="00017998"/>
    <w:rsid w:val="00067C99"/>
    <w:rsid w:val="000C1F49"/>
    <w:rsid w:val="000E100B"/>
    <w:rsid w:val="000F5DE3"/>
    <w:rsid w:val="0014234D"/>
    <w:rsid w:val="00151BA9"/>
    <w:rsid w:val="00170521"/>
    <w:rsid w:val="001E26D6"/>
    <w:rsid w:val="002128A1"/>
    <w:rsid w:val="002B3C70"/>
    <w:rsid w:val="003401E9"/>
    <w:rsid w:val="00357069"/>
    <w:rsid w:val="003E4480"/>
    <w:rsid w:val="003E5A82"/>
    <w:rsid w:val="004F51AB"/>
    <w:rsid w:val="00504AFD"/>
    <w:rsid w:val="0054304F"/>
    <w:rsid w:val="00555D96"/>
    <w:rsid w:val="0055612E"/>
    <w:rsid w:val="005646D1"/>
    <w:rsid w:val="006064E4"/>
    <w:rsid w:val="00692BB2"/>
    <w:rsid w:val="00741746"/>
    <w:rsid w:val="0074381F"/>
    <w:rsid w:val="00790B14"/>
    <w:rsid w:val="0083286E"/>
    <w:rsid w:val="0084177D"/>
    <w:rsid w:val="00890FF2"/>
    <w:rsid w:val="008C2F86"/>
    <w:rsid w:val="008D2284"/>
    <w:rsid w:val="008E447B"/>
    <w:rsid w:val="008F72E7"/>
    <w:rsid w:val="00924308"/>
    <w:rsid w:val="00925495"/>
    <w:rsid w:val="009B5A82"/>
    <w:rsid w:val="009B66C0"/>
    <w:rsid w:val="00A20DC4"/>
    <w:rsid w:val="00A24D34"/>
    <w:rsid w:val="00A326C3"/>
    <w:rsid w:val="00A63E79"/>
    <w:rsid w:val="00A83E5B"/>
    <w:rsid w:val="00A86DCE"/>
    <w:rsid w:val="00B34E5D"/>
    <w:rsid w:val="00B441CE"/>
    <w:rsid w:val="00B55587"/>
    <w:rsid w:val="00B90BB2"/>
    <w:rsid w:val="00BC34E2"/>
    <w:rsid w:val="00BC6FEE"/>
    <w:rsid w:val="00C25D60"/>
    <w:rsid w:val="00C33CA4"/>
    <w:rsid w:val="00CA3E08"/>
    <w:rsid w:val="00DA4D2B"/>
    <w:rsid w:val="00DC47DE"/>
    <w:rsid w:val="00DE06E5"/>
    <w:rsid w:val="00E64B07"/>
    <w:rsid w:val="00EA04C1"/>
    <w:rsid w:val="00EC58D6"/>
    <w:rsid w:val="00ED5C6B"/>
    <w:rsid w:val="00EF6986"/>
    <w:rsid w:val="00F522B0"/>
    <w:rsid w:val="00F97722"/>
    <w:rsid w:val="00FB12E1"/>
    <w:rsid w:val="00FB326A"/>
    <w:rsid w:val="00FB3B3D"/>
    <w:rsid w:val="00FF11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1FBB0-A311-45F2-8419-96E6FE2A2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D34"/>
  </w:style>
  <w:style w:type="paragraph" w:styleId="Footer">
    <w:name w:val="footer"/>
    <w:basedOn w:val="Normal"/>
    <w:link w:val="FooterChar"/>
    <w:uiPriority w:val="99"/>
    <w:unhideWhenUsed/>
    <w:rsid w:val="00A24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D34"/>
  </w:style>
  <w:style w:type="paragraph" w:styleId="BalloonText">
    <w:name w:val="Balloon Text"/>
    <w:basedOn w:val="Normal"/>
    <w:link w:val="BalloonTextChar"/>
    <w:uiPriority w:val="99"/>
    <w:semiHidden/>
    <w:unhideWhenUsed/>
    <w:rsid w:val="00564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D1"/>
    <w:rPr>
      <w:rFonts w:ascii="Segoe UI" w:hAnsi="Segoe UI" w:cs="Segoe UI"/>
      <w:sz w:val="18"/>
      <w:szCs w:val="18"/>
    </w:rPr>
  </w:style>
  <w:style w:type="paragraph" w:styleId="ListParagraph">
    <w:name w:val="List Paragraph"/>
    <w:basedOn w:val="Normal"/>
    <w:uiPriority w:val="34"/>
    <w:qFormat/>
    <w:rsid w:val="00E64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High Court  Tea Room</cp:lastModifiedBy>
  <cp:revision>2</cp:revision>
  <cp:lastPrinted>2020-12-30T12:20:00Z</cp:lastPrinted>
  <dcterms:created xsi:type="dcterms:W3CDTF">2022-01-14T09:22:00Z</dcterms:created>
  <dcterms:modified xsi:type="dcterms:W3CDTF">2022-01-14T09:22:00Z</dcterms:modified>
</cp:coreProperties>
</file>