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29A98" w14:textId="5B5ABDB8" w:rsidR="00111C7B" w:rsidRPr="00D10188" w:rsidRDefault="00111C7B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SPENCER’S CREEK (PRIVATE) LTD</w:t>
      </w:r>
      <w:bookmarkStart w:id="0" w:name="_GoBack"/>
      <w:bookmarkEnd w:id="0"/>
    </w:p>
    <w:p w14:paraId="1E11BA06" w14:textId="77777777" w:rsidR="00111C7B" w:rsidRPr="00D10188" w:rsidRDefault="00111C7B" w:rsidP="00111C7B">
      <w:pPr>
        <w:pStyle w:val="NoSpacing"/>
        <w:jc w:val="both"/>
        <w:rPr>
          <w:b/>
          <w:szCs w:val="24"/>
        </w:rPr>
      </w:pPr>
    </w:p>
    <w:p w14:paraId="291A34E0" w14:textId="77777777" w:rsidR="00111C7B" w:rsidRPr="00D10188" w:rsidRDefault="00111C7B" w:rsidP="003D0E06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14:paraId="6D6B2DCB" w14:textId="77777777" w:rsidR="00111C7B" w:rsidRPr="00D10188" w:rsidRDefault="00111C7B" w:rsidP="00111C7B">
      <w:pPr>
        <w:pStyle w:val="NoSpacing"/>
        <w:jc w:val="both"/>
        <w:rPr>
          <w:b/>
          <w:szCs w:val="24"/>
        </w:rPr>
      </w:pPr>
    </w:p>
    <w:p w14:paraId="43C8BC55" w14:textId="63432A13" w:rsidR="00111C7B" w:rsidRDefault="00111C7B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ZIMNAT GENERAL INSURANCE </w:t>
      </w:r>
    </w:p>
    <w:p w14:paraId="52BC0544" w14:textId="77777777" w:rsidR="003D0E06" w:rsidRDefault="003D0E06" w:rsidP="00111C7B">
      <w:pPr>
        <w:pStyle w:val="NoSpacing"/>
        <w:jc w:val="both"/>
        <w:rPr>
          <w:b/>
          <w:szCs w:val="24"/>
        </w:rPr>
      </w:pPr>
    </w:p>
    <w:p w14:paraId="617AB091" w14:textId="74F6C6D1" w:rsidR="003D0E06" w:rsidRDefault="003D0E06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AFRICA ALBIDA TOURISM (PRIVATE) LIMITED  </w:t>
      </w:r>
    </w:p>
    <w:p w14:paraId="62D09D4E" w14:textId="77777777" w:rsidR="003D0E06" w:rsidRDefault="003D0E06" w:rsidP="00111C7B">
      <w:pPr>
        <w:pStyle w:val="NoSpacing"/>
        <w:jc w:val="both"/>
        <w:rPr>
          <w:b/>
          <w:szCs w:val="24"/>
        </w:rPr>
      </w:pPr>
    </w:p>
    <w:p w14:paraId="577DF0DE" w14:textId="7738AA64" w:rsidR="003D0E06" w:rsidRDefault="003D0E06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And </w:t>
      </w:r>
    </w:p>
    <w:p w14:paraId="6209A0B5" w14:textId="77777777" w:rsidR="003D0E06" w:rsidRDefault="003D0E06" w:rsidP="00111C7B">
      <w:pPr>
        <w:pStyle w:val="NoSpacing"/>
        <w:jc w:val="both"/>
        <w:rPr>
          <w:b/>
          <w:szCs w:val="24"/>
        </w:rPr>
      </w:pPr>
    </w:p>
    <w:p w14:paraId="5E2DB84B" w14:textId="13FAA625" w:rsidR="003D0E06" w:rsidRDefault="003D0E06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VICTORIA FALLS SAFARI LODGE HOTEL (PRIVATE) LTD </w:t>
      </w:r>
    </w:p>
    <w:p w14:paraId="3C02E92F" w14:textId="77777777" w:rsidR="003D0E06" w:rsidRDefault="003D0E06" w:rsidP="00111C7B">
      <w:pPr>
        <w:pStyle w:val="NoSpacing"/>
        <w:jc w:val="both"/>
        <w:rPr>
          <w:b/>
          <w:szCs w:val="24"/>
        </w:rPr>
      </w:pPr>
    </w:p>
    <w:p w14:paraId="7D428DB3" w14:textId="5F90B620" w:rsidR="003D0E06" w:rsidRDefault="003D0E06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Versus </w:t>
      </w:r>
    </w:p>
    <w:p w14:paraId="3BB4335B" w14:textId="77777777" w:rsidR="003D0E06" w:rsidRDefault="003D0E06" w:rsidP="00111C7B">
      <w:pPr>
        <w:pStyle w:val="NoSpacing"/>
        <w:jc w:val="both"/>
        <w:rPr>
          <w:b/>
          <w:szCs w:val="24"/>
        </w:rPr>
      </w:pPr>
    </w:p>
    <w:p w14:paraId="575117A2" w14:textId="5F776AED" w:rsidR="003D0E06" w:rsidRPr="00D10188" w:rsidRDefault="003D0E06" w:rsidP="003D0E0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ZIMNAT GENERAL INSURANCE </w:t>
      </w:r>
    </w:p>
    <w:p w14:paraId="06EDDED3" w14:textId="77777777" w:rsidR="00111C7B" w:rsidRPr="00D10188" w:rsidRDefault="00111C7B" w:rsidP="00111C7B">
      <w:pPr>
        <w:pStyle w:val="NoSpacing"/>
        <w:jc w:val="both"/>
        <w:rPr>
          <w:b/>
          <w:szCs w:val="24"/>
        </w:rPr>
      </w:pPr>
    </w:p>
    <w:p w14:paraId="6E8A053D" w14:textId="77777777" w:rsidR="00111C7B" w:rsidRPr="00D10188" w:rsidRDefault="00111C7B" w:rsidP="00111C7B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14:paraId="3FF7E507" w14:textId="19883283" w:rsidR="00111C7B" w:rsidRPr="00D10188" w:rsidRDefault="00111C7B" w:rsidP="00111C7B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Pr="00D10188">
        <w:rPr>
          <w:szCs w:val="24"/>
        </w:rPr>
        <w:t xml:space="preserve"> J</w:t>
      </w:r>
    </w:p>
    <w:p w14:paraId="241A1EBA" w14:textId="606C0005" w:rsidR="00111C7B" w:rsidRPr="00D10188" w:rsidRDefault="00111C7B" w:rsidP="00111C7B">
      <w:pPr>
        <w:pStyle w:val="NoSpacing"/>
        <w:jc w:val="both"/>
        <w:rPr>
          <w:szCs w:val="24"/>
        </w:rPr>
      </w:pPr>
      <w:r w:rsidRPr="00D10188">
        <w:rPr>
          <w:szCs w:val="24"/>
        </w:rPr>
        <w:t xml:space="preserve">BULAWAYO </w:t>
      </w:r>
      <w:r>
        <w:rPr>
          <w:szCs w:val="24"/>
        </w:rPr>
        <w:t>13 February 2024 &amp; 22 February 2024</w:t>
      </w:r>
    </w:p>
    <w:p w14:paraId="19198F9A" w14:textId="77777777" w:rsidR="00111C7B" w:rsidRPr="00D10188" w:rsidRDefault="00111C7B" w:rsidP="00111C7B">
      <w:pPr>
        <w:pStyle w:val="NoSpacing"/>
        <w:jc w:val="both"/>
        <w:rPr>
          <w:szCs w:val="24"/>
        </w:rPr>
      </w:pPr>
    </w:p>
    <w:p w14:paraId="04A6CC1C" w14:textId="0885B108" w:rsidR="00111C7B" w:rsidRPr="00D10188" w:rsidRDefault="00111C7B" w:rsidP="00111C7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Consolidation of matters for trials </w:t>
      </w:r>
    </w:p>
    <w:p w14:paraId="0DF0F464" w14:textId="77777777" w:rsidR="00111C7B" w:rsidRPr="00D10188" w:rsidRDefault="00111C7B" w:rsidP="00111C7B">
      <w:pPr>
        <w:pStyle w:val="NoSpacing"/>
        <w:jc w:val="both"/>
        <w:rPr>
          <w:szCs w:val="24"/>
        </w:rPr>
      </w:pPr>
    </w:p>
    <w:p w14:paraId="6FDC45DD" w14:textId="63759CB2" w:rsidR="00111C7B" w:rsidRPr="00D10188" w:rsidRDefault="00111C7B" w:rsidP="00111C7B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D. </w:t>
      </w:r>
      <w:r w:rsidRPr="00D10188">
        <w:rPr>
          <w:szCs w:val="24"/>
        </w:rPr>
        <w:t xml:space="preserve"> </w:t>
      </w:r>
      <w:proofErr w:type="spellStart"/>
      <w:r w:rsidRPr="004B6194">
        <w:rPr>
          <w:rFonts w:cs="Times New Roman"/>
          <w:i/>
          <w:iCs/>
          <w:szCs w:val="24"/>
        </w:rPr>
        <w:t>T</w:t>
      </w:r>
      <w:r>
        <w:rPr>
          <w:rFonts w:cs="Times New Roman"/>
          <w:i/>
          <w:iCs/>
          <w:szCs w:val="24"/>
        </w:rPr>
        <w:t>ivadar</w:t>
      </w:r>
      <w:proofErr w:type="spellEnd"/>
      <w:r w:rsidR="005F4E16">
        <w:rPr>
          <w:rFonts w:cs="Times New Roman"/>
          <w:i/>
          <w:iCs/>
          <w:szCs w:val="24"/>
        </w:rPr>
        <w:t xml:space="preserve"> with D. </w:t>
      </w:r>
      <w:proofErr w:type="spellStart"/>
      <w:r w:rsidR="005F4E16">
        <w:rPr>
          <w:rFonts w:cs="Times New Roman"/>
          <w:i/>
          <w:iCs/>
          <w:szCs w:val="24"/>
        </w:rPr>
        <w:t>Coltart</w:t>
      </w:r>
      <w:proofErr w:type="spellEnd"/>
      <w:r w:rsidR="005F4E16">
        <w:rPr>
          <w:rFonts w:cs="Times New Roman"/>
          <w:i/>
          <w:iCs/>
          <w:szCs w:val="24"/>
        </w:rPr>
        <w:t xml:space="preserve"> &amp; Ms. K. </w:t>
      </w:r>
      <w:proofErr w:type="spellStart"/>
      <w:r w:rsidR="005F4E16">
        <w:rPr>
          <w:rFonts w:cs="Times New Roman"/>
          <w:i/>
          <w:iCs/>
          <w:szCs w:val="24"/>
        </w:rPr>
        <w:t>Mpofu</w:t>
      </w:r>
      <w:proofErr w:type="spellEnd"/>
      <w:r w:rsidR="005F4E16">
        <w:rPr>
          <w:rFonts w:cs="Times New Roman"/>
          <w:i/>
          <w:iCs/>
          <w:szCs w:val="24"/>
        </w:rPr>
        <w:t xml:space="preserve"> </w:t>
      </w:r>
      <w:r w:rsidRPr="00D10188">
        <w:rPr>
          <w:szCs w:val="24"/>
        </w:rPr>
        <w:t xml:space="preserve">for the </w:t>
      </w:r>
      <w:r>
        <w:rPr>
          <w:szCs w:val="24"/>
        </w:rPr>
        <w:t xml:space="preserve">plaintiffs </w:t>
      </w:r>
    </w:p>
    <w:p w14:paraId="70712F8F" w14:textId="7C1CCDBE" w:rsidR="00111C7B" w:rsidRDefault="00111C7B" w:rsidP="00111C7B">
      <w:pPr>
        <w:pStyle w:val="NoSpacing"/>
        <w:jc w:val="both"/>
        <w:rPr>
          <w:iCs/>
          <w:szCs w:val="24"/>
        </w:rPr>
      </w:pPr>
      <w:r>
        <w:rPr>
          <w:i/>
          <w:szCs w:val="24"/>
        </w:rPr>
        <w:t xml:space="preserve">J. </w:t>
      </w:r>
      <w:proofErr w:type="spellStart"/>
      <w:r>
        <w:rPr>
          <w:i/>
          <w:szCs w:val="24"/>
        </w:rPr>
        <w:t>Moyo</w:t>
      </w:r>
      <w:proofErr w:type="spellEnd"/>
      <w:r>
        <w:rPr>
          <w:i/>
          <w:szCs w:val="24"/>
        </w:rPr>
        <w:t xml:space="preserve"> </w:t>
      </w:r>
      <w:r>
        <w:rPr>
          <w:iCs/>
          <w:szCs w:val="24"/>
        </w:rPr>
        <w:t xml:space="preserve">for the defendant </w:t>
      </w:r>
    </w:p>
    <w:p w14:paraId="6FD31ECB" w14:textId="77777777" w:rsidR="00CE4997" w:rsidRPr="00CE4997" w:rsidRDefault="00CE4997" w:rsidP="00111C7B">
      <w:pPr>
        <w:pStyle w:val="NoSpacing"/>
        <w:jc w:val="both"/>
        <w:rPr>
          <w:b/>
          <w:bCs/>
          <w:iCs/>
          <w:szCs w:val="24"/>
        </w:rPr>
      </w:pPr>
    </w:p>
    <w:p w14:paraId="537CBAD1" w14:textId="1CE01F90" w:rsidR="00394C7B" w:rsidRPr="003D0E06" w:rsidRDefault="00CE4997" w:rsidP="003D0E06">
      <w:pPr>
        <w:pStyle w:val="NoSpacing"/>
        <w:jc w:val="both"/>
        <w:rPr>
          <w:b/>
          <w:bCs/>
          <w:iCs/>
          <w:szCs w:val="24"/>
        </w:rPr>
      </w:pPr>
      <w:r w:rsidRPr="00CE4997">
        <w:rPr>
          <w:b/>
          <w:bCs/>
          <w:iCs/>
          <w:szCs w:val="24"/>
        </w:rPr>
        <w:t>DUBE-BANDA J:</w:t>
      </w:r>
    </w:p>
    <w:p w14:paraId="40C7FB77" w14:textId="6C606132" w:rsidR="00A71991" w:rsidRDefault="00394C7B" w:rsidP="0039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="00B86AD9">
        <w:rPr>
          <w:rFonts w:ascii="Times New Roman" w:hAnsi="Times New Roman" w:cs="Times New Roman"/>
          <w:sz w:val="24"/>
          <w:szCs w:val="24"/>
        </w:rPr>
        <w:t xml:space="preserve">The two matters </w:t>
      </w:r>
      <w:r w:rsidR="00C93150" w:rsidRPr="002A684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86AD9" w:rsidRPr="002A6841">
        <w:rPr>
          <w:rFonts w:ascii="Times New Roman" w:hAnsi="Times New Roman" w:cs="Times New Roman"/>
          <w:i/>
          <w:iCs/>
          <w:sz w:val="24"/>
          <w:szCs w:val="24"/>
        </w:rPr>
        <w:t>pencer’s</w:t>
      </w:r>
      <w:r w:rsidR="00B86AD9">
        <w:rPr>
          <w:rFonts w:ascii="Times New Roman" w:hAnsi="Times New Roman" w:cs="Times New Roman"/>
          <w:sz w:val="24"/>
          <w:szCs w:val="24"/>
        </w:rPr>
        <w:t xml:space="preserve"> </w:t>
      </w:r>
      <w:r w:rsidR="00B86AD9" w:rsidRPr="00A71991">
        <w:rPr>
          <w:rFonts w:ascii="Times New Roman" w:hAnsi="Times New Roman" w:cs="Times New Roman"/>
          <w:i/>
          <w:iCs/>
          <w:sz w:val="24"/>
          <w:szCs w:val="24"/>
        </w:rPr>
        <w:t>Creek (Private) Ltd v ZIMNAT General Insurance</w:t>
      </w:r>
      <w:r w:rsidR="00B86AD9">
        <w:rPr>
          <w:rFonts w:ascii="Times New Roman" w:hAnsi="Times New Roman" w:cs="Times New Roman"/>
          <w:sz w:val="24"/>
          <w:szCs w:val="24"/>
        </w:rPr>
        <w:t xml:space="preserve"> HC 1801/22 </w:t>
      </w:r>
      <w:r w:rsidR="000C4906">
        <w:rPr>
          <w:rFonts w:ascii="Times New Roman" w:hAnsi="Times New Roman" w:cs="Times New Roman"/>
          <w:sz w:val="24"/>
          <w:szCs w:val="24"/>
        </w:rPr>
        <w:t xml:space="preserve">(“HC 1801/22”) </w:t>
      </w:r>
      <w:r w:rsidR="00B86AD9">
        <w:rPr>
          <w:rFonts w:ascii="Times New Roman" w:hAnsi="Times New Roman" w:cs="Times New Roman"/>
          <w:sz w:val="24"/>
          <w:szCs w:val="24"/>
        </w:rPr>
        <w:t xml:space="preserve">and </w:t>
      </w:r>
      <w:r w:rsidR="00B86AD9" w:rsidRPr="00A71991">
        <w:rPr>
          <w:rFonts w:ascii="Times New Roman" w:hAnsi="Times New Roman" w:cs="Times New Roman"/>
          <w:i/>
          <w:iCs/>
          <w:sz w:val="24"/>
          <w:szCs w:val="24"/>
        </w:rPr>
        <w:t xml:space="preserve">Africa </w:t>
      </w:r>
      <w:proofErr w:type="spellStart"/>
      <w:r w:rsidR="00B86AD9" w:rsidRPr="00A71991">
        <w:rPr>
          <w:rFonts w:ascii="Times New Roman" w:hAnsi="Times New Roman" w:cs="Times New Roman"/>
          <w:i/>
          <w:iCs/>
          <w:sz w:val="24"/>
          <w:szCs w:val="24"/>
        </w:rPr>
        <w:t>Albida</w:t>
      </w:r>
      <w:proofErr w:type="spellEnd"/>
      <w:r w:rsidR="00B86AD9" w:rsidRPr="00A71991">
        <w:rPr>
          <w:rFonts w:ascii="Times New Roman" w:hAnsi="Times New Roman" w:cs="Times New Roman"/>
          <w:i/>
          <w:iCs/>
          <w:sz w:val="24"/>
          <w:szCs w:val="24"/>
        </w:rPr>
        <w:t xml:space="preserve"> Tourism (Private) Limited and Victoria Falls Safari Lodge Hotel (Private) Limited v ZIMNAT General Insurance</w:t>
      </w:r>
      <w:r w:rsidR="00B86AD9">
        <w:rPr>
          <w:rFonts w:ascii="Times New Roman" w:hAnsi="Times New Roman" w:cs="Times New Roman"/>
          <w:sz w:val="24"/>
          <w:szCs w:val="24"/>
        </w:rPr>
        <w:t xml:space="preserve"> HC 1800/22 </w:t>
      </w:r>
      <w:r w:rsidR="000C4906">
        <w:rPr>
          <w:rFonts w:ascii="Times New Roman" w:hAnsi="Times New Roman" w:cs="Times New Roman"/>
          <w:sz w:val="24"/>
          <w:szCs w:val="24"/>
        </w:rPr>
        <w:t xml:space="preserve">(“HC 1800/22”) </w:t>
      </w:r>
      <w:r w:rsidR="00B86AD9">
        <w:rPr>
          <w:rFonts w:ascii="Times New Roman" w:hAnsi="Times New Roman" w:cs="Times New Roman"/>
          <w:sz w:val="24"/>
          <w:szCs w:val="24"/>
        </w:rPr>
        <w:t xml:space="preserve">were placed before </w:t>
      </w:r>
      <w:r w:rsidR="002B7EFC">
        <w:rPr>
          <w:rFonts w:ascii="Times New Roman" w:hAnsi="Times New Roman" w:cs="Times New Roman"/>
          <w:sz w:val="24"/>
          <w:szCs w:val="24"/>
        </w:rPr>
        <w:t>me</w:t>
      </w:r>
      <w:r w:rsidR="00A71991">
        <w:rPr>
          <w:rFonts w:ascii="Times New Roman" w:hAnsi="Times New Roman" w:cs="Times New Roman"/>
          <w:sz w:val="24"/>
          <w:szCs w:val="24"/>
        </w:rPr>
        <w:t xml:space="preserve"> one after the other </w:t>
      </w:r>
      <w:r w:rsidR="002B7EFC">
        <w:rPr>
          <w:rFonts w:ascii="Times New Roman" w:hAnsi="Times New Roman" w:cs="Times New Roman"/>
          <w:sz w:val="24"/>
          <w:szCs w:val="24"/>
        </w:rPr>
        <w:t>for a further</w:t>
      </w:r>
      <w:r w:rsidR="00B86AD9">
        <w:rPr>
          <w:rFonts w:ascii="Times New Roman" w:hAnsi="Times New Roman" w:cs="Times New Roman"/>
          <w:sz w:val="24"/>
          <w:szCs w:val="24"/>
        </w:rPr>
        <w:t xml:space="preserve"> </w:t>
      </w:r>
      <w:r w:rsidR="00D06349">
        <w:rPr>
          <w:rFonts w:ascii="Times New Roman" w:hAnsi="Times New Roman" w:cs="Times New Roman"/>
          <w:sz w:val="24"/>
          <w:szCs w:val="24"/>
        </w:rPr>
        <w:t>pre-trial conference</w:t>
      </w:r>
      <w:r w:rsidR="00B86AD9">
        <w:rPr>
          <w:rFonts w:ascii="Times New Roman" w:hAnsi="Times New Roman" w:cs="Times New Roman"/>
          <w:sz w:val="24"/>
          <w:szCs w:val="24"/>
        </w:rPr>
        <w:t xml:space="preserve"> in terms of</w:t>
      </w:r>
      <w:r>
        <w:rPr>
          <w:rFonts w:ascii="Times New Roman" w:hAnsi="Times New Roman" w:cs="Times New Roman"/>
          <w:sz w:val="24"/>
          <w:szCs w:val="24"/>
        </w:rPr>
        <w:t xml:space="preserve"> r 49(5) of the High Court Rules, 202</w:t>
      </w:r>
      <w:r w:rsidR="00A71991">
        <w:rPr>
          <w:rFonts w:ascii="Times New Roman" w:hAnsi="Times New Roman" w:cs="Times New Roman"/>
          <w:sz w:val="24"/>
          <w:szCs w:val="24"/>
        </w:rPr>
        <w:t>1</w:t>
      </w:r>
      <w:r w:rsidR="00B86AD9">
        <w:rPr>
          <w:rFonts w:ascii="Times New Roman" w:hAnsi="Times New Roman" w:cs="Times New Roman"/>
          <w:sz w:val="24"/>
          <w:szCs w:val="24"/>
        </w:rPr>
        <w:t xml:space="preserve">. </w:t>
      </w:r>
      <w:r w:rsidR="00A71991">
        <w:rPr>
          <w:rFonts w:ascii="Times New Roman" w:hAnsi="Times New Roman" w:cs="Times New Roman"/>
          <w:sz w:val="24"/>
          <w:szCs w:val="24"/>
        </w:rPr>
        <w:t xml:space="preserve"> In</w:t>
      </w:r>
      <w:r w:rsidR="000C4906">
        <w:rPr>
          <w:rFonts w:ascii="Times New Roman" w:hAnsi="Times New Roman" w:cs="Times New Roman"/>
          <w:sz w:val="24"/>
          <w:szCs w:val="24"/>
        </w:rPr>
        <w:t xml:space="preserve"> </w:t>
      </w:r>
      <w:r w:rsidR="007E00DF">
        <w:rPr>
          <w:rFonts w:ascii="Times New Roman" w:hAnsi="Times New Roman" w:cs="Times New Roman"/>
          <w:sz w:val="24"/>
          <w:szCs w:val="24"/>
        </w:rPr>
        <w:t xml:space="preserve">both matters </w:t>
      </w:r>
      <w:r w:rsidR="000C4906">
        <w:rPr>
          <w:rFonts w:ascii="Times New Roman" w:hAnsi="Times New Roman" w:cs="Times New Roman"/>
          <w:sz w:val="24"/>
          <w:szCs w:val="24"/>
        </w:rPr>
        <w:t>the plaintiff</w:t>
      </w:r>
      <w:r w:rsidR="007E00DF">
        <w:rPr>
          <w:rFonts w:ascii="Times New Roman" w:hAnsi="Times New Roman" w:cs="Times New Roman"/>
          <w:sz w:val="24"/>
          <w:szCs w:val="24"/>
        </w:rPr>
        <w:t>s</w:t>
      </w:r>
      <w:r w:rsidR="000C4906">
        <w:rPr>
          <w:rFonts w:ascii="Times New Roman" w:hAnsi="Times New Roman" w:cs="Times New Roman"/>
          <w:sz w:val="24"/>
          <w:szCs w:val="24"/>
        </w:rPr>
        <w:t xml:space="preserve"> claim payment allegedly due to the plaintiff in terms of the insurance contract between the plaintiff</w:t>
      </w:r>
      <w:r w:rsidR="007E00DF">
        <w:rPr>
          <w:rFonts w:ascii="Times New Roman" w:hAnsi="Times New Roman" w:cs="Times New Roman"/>
          <w:sz w:val="24"/>
          <w:szCs w:val="24"/>
        </w:rPr>
        <w:t>s</w:t>
      </w:r>
      <w:r w:rsidR="000C4906">
        <w:rPr>
          <w:rFonts w:ascii="Times New Roman" w:hAnsi="Times New Roman" w:cs="Times New Roman"/>
          <w:sz w:val="24"/>
          <w:szCs w:val="24"/>
        </w:rPr>
        <w:t xml:space="preserve"> and the defendant. </w:t>
      </w:r>
      <w:r w:rsidR="007E00DF">
        <w:rPr>
          <w:rFonts w:ascii="Times New Roman" w:hAnsi="Times New Roman" w:cs="Times New Roman"/>
          <w:sz w:val="24"/>
          <w:szCs w:val="24"/>
        </w:rPr>
        <w:t>The difference only relates to the amount claimed in that in</w:t>
      </w:r>
      <w:r w:rsidR="000C4906">
        <w:rPr>
          <w:rFonts w:ascii="Times New Roman" w:hAnsi="Times New Roman" w:cs="Times New Roman"/>
          <w:sz w:val="24"/>
          <w:szCs w:val="24"/>
        </w:rPr>
        <w:t xml:space="preserve"> HC 1801/22 </w:t>
      </w:r>
      <w:r w:rsidR="007E00DF">
        <w:rPr>
          <w:rFonts w:ascii="Times New Roman" w:hAnsi="Times New Roman" w:cs="Times New Roman"/>
          <w:sz w:val="24"/>
          <w:szCs w:val="24"/>
        </w:rPr>
        <w:t xml:space="preserve">the amount claimed is USD$ 1 400.000.00 and in HC 1800/22 the amount claimed is USD$ 1 066 239.00. In both matters the pleadings are identical. </w:t>
      </w:r>
    </w:p>
    <w:p w14:paraId="01B301A7" w14:textId="77777777" w:rsidR="00B86AD9" w:rsidRDefault="00B86AD9" w:rsidP="00394C7B">
      <w:pPr>
        <w:rPr>
          <w:rFonts w:ascii="Times New Roman" w:hAnsi="Times New Roman" w:cs="Times New Roman"/>
          <w:sz w:val="24"/>
          <w:szCs w:val="24"/>
        </w:rPr>
      </w:pPr>
    </w:p>
    <w:p w14:paraId="32EADE90" w14:textId="6330DC08" w:rsidR="004717FB" w:rsidRDefault="00B86AD9" w:rsidP="0039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In both matters </w:t>
      </w:r>
      <w:r w:rsidR="004C67B0">
        <w:rPr>
          <w:rFonts w:ascii="Times New Roman" w:hAnsi="Times New Roman" w:cs="Times New Roman"/>
          <w:sz w:val="24"/>
          <w:szCs w:val="24"/>
        </w:rPr>
        <w:t>the parties attended a pre-trial conference in terms of r 49(1) of the Rules. Upon the conclusion of each pre-trial conference the parties</w:t>
      </w:r>
      <w:r w:rsidR="002B7EFC">
        <w:rPr>
          <w:rFonts w:ascii="Times New Roman" w:hAnsi="Times New Roman" w:cs="Times New Roman"/>
          <w:sz w:val="24"/>
          <w:szCs w:val="24"/>
        </w:rPr>
        <w:t xml:space="preserve">, in terms of r 49(3) of the Rules </w:t>
      </w:r>
      <w:r w:rsidR="004C67B0">
        <w:rPr>
          <w:rFonts w:ascii="Times New Roman" w:hAnsi="Times New Roman" w:cs="Times New Roman"/>
          <w:sz w:val="24"/>
          <w:szCs w:val="24"/>
        </w:rPr>
        <w:t xml:space="preserve">drew a </w:t>
      </w:r>
      <w:r w:rsidR="00623B05">
        <w:rPr>
          <w:rFonts w:ascii="Times New Roman" w:hAnsi="Times New Roman" w:cs="Times New Roman"/>
          <w:sz w:val="24"/>
          <w:szCs w:val="24"/>
        </w:rPr>
        <w:t xml:space="preserve">joint pre-trial </w:t>
      </w:r>
      <w:r w:rsidR="002B7EFC">
        <w:rPr>
          <w:rFonts w:ascii="Times New Roman" w:hAnsi="Times New Roman" w:cs="Times New Roman"/>
          <w:sz w:val="24"/>
          <w:szCs w:val="24"/>
        </w:rPr>
        <w:t xml:space="preserve">minute which was signed by their legal practitioners. In each matter the </w:t>
      </w:r>
      <w:r w:rsidR="002B7EFC">
        <w:rPr>
          <w:rFonts w:ascii="Times New Roman" w:hAnsi="Times New Roman" w:cs="Times New Roman"/>
          <w:sz w:val="24"/>
          <w:szCs w:val="24"/>
        </w:rPr>
        <w:lastRenderedPageBreak/>
        <w:t>parties agreed on the issues for trial, and</w:t>
      </w:r>
      <w:r w:rsidR="00623B05">
        <w:rPr>
          <w:rFonts w:ascii="Times New Roman" w:hAnsi="Times New Roman" w:cs="Times New Roman"/>
          <w:sz w:val="24"/>
          <w:szCs w:val="24"/>
        </w:rPr>
        <w:t xml:space="preserve"> the issues are identical word for word</w:t>
      </w:r>
      <w:r w:rsidR="002A6841">
        <w:rPr>
          <w:rFonts w:ascii="Times New Roman" w:hAnsi="Times New Roman" w:cs="Times New Roman"/>
          <w:sz w:val="24"/>
          <w:szCs w:val="24"/>
        </w:rPr>
        <w:t xml:space="preserve"> for the two matters</w:t>
      </w:r>
      <w:r w:rsidR="00623B05">
        <w:rPr>
          <w:rFonts w:ascii="Times New Roman" w:hAnsi="Times New Roman" w:cs="Times New Roman"/>
          <w:sz w:val="24"/>
          <w:szCs w:val="24"/>
        </w:rPr>
        <w:t xml:space="preserve">. </w:t>
      </w:r>
      <w:r w:rsidR="004717FB">
        <w:rPr>
          <w:rFonts w:ascii="Times New Roman" w:hAnsi="Times New Roman" w:cs="Times New Roman"/>
          <w:sz w:val="24"/>
          <w:szCs w:val="24"/>
        </w:rPr>
        <w:t xml:space="preserve">In both matters the parties agreed that the issues for trial are these: </w:t>
      </w:r>
    </w:p>
    <w:p w14:paraId="1622A33D" w14:textId="77777777" w:rsidR="004717FB" w:rsidRDefault="004717FB" w:rsidP="00394C7B">
      <w:pPr>
        <w:rPr>
          <w:rFonts w:ascii="Times New Roman" w:hAnsi="Times New Roman" w:cs="Times New Roman"/>
          <w:sz w:val="24"/>
          <w:szCs w:val="24"/>
        </w:rPr>
      </w:pPr>
    </w:p>
    <w:p w14:paraId="46778215" w14:textId="4176BE60" w:rsidR="004717FB" w:rsidRDefault="00C93150" w:rsidP="004717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717FB" w:rsidRPr="004717FB">
        <w:rPr>
          <w:rFonts w:ascii="Times New Roman" w:hAnsi="Times New Roman" w:cs="Times New Roman"/>
          <w:sz w:val="24"/>
          <w:szCs w:val="24"/>
        </w:rPr>
        <w:t xml:space="preserve">hether the statement of claim was submitted out of time, </w:t>
      </w:r>
      <w:r w:rsidR="004717FB">
        <w:rPr>
          <w:rFonts w:ascii="Times New Roman" w:hAnsi="Times New Roman" w:cs="Times New Roman"/>
          <w:sz w:val="24"/>
          <w:szCs w:val="24"/>
        </w:rPr>
        <w:t>i</w:t>
      </w:r>
      <w:r w:rsidR="004717FB" w:rsidRPr="004717FB">
        <w:rPr>
          <w:rFonts w:ascii="Times New Roman" w:hAnsi="Times New Roman" w:cs="Times New Roman"/>
          <w:sz w:val="24"/>
          <w:szCs w:val="24"/>
        </w:rPr>
        <w:t>f yes, whether the defendant granted an extension for the submission of the statement of claim</w:t>
      </w:r>
      <w:r w:rsidR="004717FB">
        <w:rPr>
          <w:rFonts w:ascii="Times New Roman" w:hAnsi="Times New Roman" w:cs="Times New Roman"/>
          <w:sz w:val="24"/>
          <w:szCs w:val="24"/>
        </w:rPr>
        <w:t>.</w:t>
      </w:r>
    </w:p>
    <w:p w14:paraId="4571374C" w14:textId="63635121" w:rsidR="004717FB" w:rsidRDefault="004717FB" w:rsidP="004717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COVID 19 arose at plaintiff’s premises, Victoria Falls Safari Lodge? </w:t>
      </w:r>
    </w:p>
    <w:p w14:paraId="701452AB" w14:textId="73AB0C79" w:rsidR="004717FB" w:rsidRDefault="004717FB" w:rsidP="004717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what is the quantum of damages suffered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plaintiff.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10A9C" w14:textId="77777777" w:rsidR="004717FB" w:rsidRDefault="004717FB" w:rsidP="004717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C91F30" w14:textId="2089B5AF" w:rsidR="004717FB" w:rsidRPr="004717FB" w:rsidRDefault="004717FB" w:rsidP="00471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only difference being that in HC 1800/22 </w:t>
      </w:r>
      <w:r w:rsidR="004D1873">
        <w:rPr>
          <w:rFonts w:ascii="Times New Roman" w:hAnsi="Times New Roman" w:cs="Times New Roman"/>
          <w:sz w:val="24"/>
          <w:szCs w:val="24"/>
        </w:rPr>
        <w:t xml:space="preserve">item </w:t>
      </w:r>
      <w:r w:rsidR="001546FE">
        <w:rPr>
          <w:rFonts w:ascii="Times New Roman" w:hAnsi="Times New Roman" w:cs="Times New Roman"/>
          <w:sz w:val="24"/>
          <w:szCs w:val="24"/>
        </w:rPr>
        <w:t>(ii)</w:t>
      </w:r>
      <w:r w:rsidR="004D1873">
        <w:rPr>
          <w:rFonts w:ascii="Times New Roman" w:hAnsi="Times New Roman" w:cs="Times New Roman"/>
          <w:sz w:val="24"/>
          <w:szCs w:val="24"/>
        </w:rPr>
        <w:t xml:space="preserve"> refers to Victoria Falls Safari Lodge and in HC 1800/22 item </w:t>
      </w:r>
      <w:r w:rsidR="001546FE">
        <w:rPr>
          <w:rFonts w:ascii="Times New Roman" w:hAnsi="Times New Roman" w:cs="Times New Roman"/>
          <w:sz w:val="24"/>
          <w:szCs w:val="24"/>
        </w:rPr>
        <w:t>(ii)</w:t>
      </w:r>
      <w:r w:rsidR="004D1873">
        <w:rPr>
          <w:rFonts w:ascii="Times New Roman" w:hAnsi="Times New Roman" w:cs="Times New Roman"/>
          <w:sz w:val="24"/>
          <w:szCs w:val="24"/>
        </w:rPr>
        <w:t xml:space="preserve"> refers to </w:t>
      </w:r>
      <w:proofErr w:type="spellStart"/>
      <w:r w:rsidR="004D1873">
        <w:rPr>
          <w:rFonts w:ascii="Times New Roman" w:hAnsi="Times New Roman" w:cs="Times New Roman"/>
          <w:sz w:val="24"/>
          <w:szCs w:val="24"/>
        </w:rPr>
        <w:t>IIaIa</w:t>
      </w:r>
      <w:proofErr w:type="spellEnd"/>
      <w:r w:rsidR="004D1873">
        <w:rPr>
          <w:rFonts w:ascii="Times New Roman" w:hAnsi="Times New Roman" w:cs="Times New Roman"/>
          <w:sz w:val="24"/>
          <w:szCs w:val="24"/>
        </w:rPr>
        <w:t xml:space="preserve"> Lodge. </w:t>
      </w:r>
    </w:p>
    <w:p w14:paraId="16600E88" w14:textId="77777777" w:rsidR="00623B05" w:rsidRDefault="00623B05" w:rsidP="00394C7B">
      <w:pPr>
        <w:rPr>
          <w:rFonts w:ascii="Times New Roman" w:hAnsi="Times New Roman" w:cs="Times New Roman"/>
          <w:sz w:val="24"/>
          <w:szCs w:val="24"/>
        </w:rPr>
      </w:pPr>
    </w:p>
    <w:p w14:paraId="5E092FB0" w14:textId="64760D0D" w:rsidR="00203155" w:rsidRDefault="00623B05" w:rsidP="0039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 w:rsidR="004D1873">
        <w:rPr>
          <w:rFonts w:ascii="Times New Roman" w:hAnsi="Times New Roman" w:cs="Times New Roman"/>
          <w:sz w:val="24"/>
          <w:szCs w:val="24"/>
        </w:rPr>
        <w:t>Prior to attending the pre-trial conference in terms of r 49 (1)</w:t>
      </w:r>
      <w:r w:rsidR="00C93150">
        <w:rPr>
          <w:rFonts w:ascii="Times New Roman" w:hAnsi="Times New Roman" w:cs="Times New Roman"/>
          <w:sz w:val="24"/>
          <w:szCs w:val="24"/>
        </w:rPr>
        <w:t xml:space="preserve">, </w:t>
      </w:r>
      <w:r w:rsidR="004D187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plaintiff</w:t>
      </w:r>
      <w:r w:rsidR="00A71991">
        <w:rPr>
          <w:rFonts w:ascii="Times New Roman" w:hAnsi="Times New Roman" w:cs="Times New Roman"/>
          <w:sz w:val="24"/>
          <w:szCs w:val="24"/>
        </w:rPr>
        <w:t xml:space="preserve">s </w:t>
      </w:r>
      <w:r w:rsidR="004D1873">
        <w:rPr>
          <w:rFonts w:ascii="Times New Roman" w:hAnsi="Times New Roman" w:cs="Times New Roman"/>
          <w:sz w:val="24"/>
          <w:szCs w:val="24"/>
        </w:rPr>
        <w:t xml:space="preserve">on 12 October 2023 </w:t>
      </w:r>
      <w:r w:rsidR="00A71991">
        <w:rPr>
          <w:rFonts w:ascii="Times New Roman" w:hAnsi="Times New Roman" w:cs="Times New Roman"/>
          <w:sz w:val="24"/>
          <w:szCs w:val="24"/>
        </w:rPr>
        <w:t xml:space="preserve">in both matters </w:t>
      </w:r>
      <w:r w:rsidR="004D1873">
        <w:rPr>
          <w:rFonts w:ascii="Times New Roman" w:hAnsi="Times New Roman" w:cs="Times New Roman"/>
          <w:sz w:val="24"/>
          <w:szCs w:val="24"/>
        </w:rPr>
        <w:t>filed a</w:t>
      </w:r>
      <w:r>
        <w:rPr>
          <w:rFonts w:ascii="Times New Roman" w:hAnsi="Times New Roman" w:cs="Times New Roman"/>
          <w:sz w:val="24"/>
          <w:szCs w:val="24"/>
        </w:rPr>
        <w:t xml:space="preserve"> draft pre-trial minute</w:t>
      </w:r>
      <w:r w:rsidR="004D1873">
        <w:rPr>
          <w:rFonts w:ascii="Times New Roman" w:hAnsi="Times New Roman" w:cs="Times New Roman"/>
          <w:sz w:val="24"/>
          <w:szCs w:val="24"/>
        </w:rPr>
        <w:t xml:space="preserve"> and stated that it will seek that t</w:t>
      </w:r>
      <w:r>
        <w:rPr>
          <w:rFonts w:ascii="Times New Roman" w:hAnsi="Times New Roman" w:cs="Times New Roman"/>
          <w:sz w:val="24"/>
          <w:szCs w:val="24"/>
        </w:rPr>
        <w:t xml:space="preserve">he trials of the </w:t>
      </w:r>
      <w:r w:rsidR="00A71991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matters be consolidated as the cases involve the same defendant, the same legal practitioners and identical issues. The issue of consolidation does not appear in the joint pre-trial minute. </w:t>
      </w:r>
      <w:r w:rsidR="00203155">
        <w:rPr>
          <w:rFonts w:ascii="Times New Roman" w:hAnsi="Times New Roman" w:cs="Times New Roman"/>
          <w:sz w:val="24"/>
          <w:szCs w:val="24"/>
        </w:rPr>
        <w:t xml:space="preserve">At the pre-trial conference before me </w:t>
      </w:r>
      <w:r w:rsidR="004D1873">
        <w:rPr>
          <w:rFonts w:ascii="Times New Roman" w:hAnsi="Times New Roman" w:cs="Times New Roman"/>
          <w:sz w:val="24"/>
          <w:szCs w:val="24"/>
        </w:rPr>
        <w:t xml:space="preserve">the plaintiff took up the issue of consolidation and </w:t>
      </w:r>
      <w:r w:rsidR="00D06349">
        <w:rPr>
          <w:rFonts w:ascii="Times New Roman" w:hAnsi="Times New Roman" w:cs="Times New Roman"/>
          <w:sz w:val="24"/>
          <w:szCs w:val="24"/>
        </w:rPr>
        <w:t>the parties were unable to agree on th</w:t>
      </w:r>
      <w:r w:rsidR="004D1873">
        <w:rPr>
          <w:rFonts w:ascii="Times New Roman" w:hAnsi="Times New Roman" w:cs="Times New Roman"/>
          <w:sz w:val="24"/>
          <w:szCs w:val="24"/>
        </w:rPr>
        <w:t>is issue</w:t>
      </w:r>
      <w:r w:rsidR="00D06349">
        <w:rPr>
          <w:rFonts w:ascii="Times New Roman" w:hAnsi="Times New Roman" w:cs="Times New Roman"/>
          <w:sz w:val="24"/>
          <w:szCs w:val="24"/>
        </w:rPr>
        <w:t xml:space="preserve">. The plaintiffs’ counsel sought </w:t>
      </w:r>
      <w:r w:rsidR="004D1873">
        <w:rPr>
          <w:rFonts w:ascii="Times New Roman" w:hAnsi="Times New Roman" w:cs="Times New Roman"/>
          <w:sz w:val="24"/>
          <w:szCs w:val="24"/>
        </w:rPr>
        <w:t>that I direct that the</w:t>
      </w:r>
      <w:r w:rsidR="00D06349">
        <w:rPr>
          <w:rFonts w:ascii="Times New Roman" w:hAnsi="Times New Roman" w:cs="Times New Roman"/>
          <w:sz w:val="24"/>
          <w:szCs w:val="24"/>
        </w:rPr>
        <w:t xml:space="preserve"> two matters be consolidated for trial. The defendant opposed that the matter</w:t>
      </w:r>
      <w:r w:rsidR="004D1873">
        <w:rPr>
          <w:rFonts w:ascii="Times New Roman" w:hAnsi="Times New Roman" w:cs="Times New Roman"/>
          <w:sz w:val="24"/>
          <w:szCs w:val="24"/>
        </w:rPr>
        <w:t>s</w:t>
      </w:r>
      <w:r w:rsidR="00D06349">
        <w:rPr>
          <w:rFonts w:ascii="Times New Roman" w:hAnsi="Times New Roman" w:cs="Times New Roman"/>
          <w:sz w:val="24"/>
          <w:szCs w:val="24"/>
        </w:rPr>
        <w:t xml:space="preserve"> be consolidated. At the conclusion of each pre-trial </w:t>
      </w:r>
      <w:r w:rsidR="00C83444">
        <w:rPr>
          <w:rFonts w:ascii="Times New Roman" w:hAnsi="Times New Roman" w:cs="Times New Roman"/>
          <w:sz w:val="24"/>
          <w:szCs w:val="24"/>
        </w:rPr>
        <w:t>conference,</w:t>
      </w:r>
      <w:r w:rsidR="00D06349">
        <w:rPr>
          <w:rFonts w:ascii="Times New Roman" w:hAnsi="Times New Roman" w:cs="Times New Roman"/>
          <w:sz w:val="24"/>
          <w:szCs w:val="24"/>
        </w:rPr>
        <w:t xml:space="preserve"> I </w:t>
      </w:r>
      <w:r w:rsidR="00203155">
        <w:rPr>
          <w:rFonts w:ascii="Times New Roman" w:hAnsi="Times New Roman" w:cs="Times New Roman"/>
          <w:sz w:val="24"/>
          <w:szCs w:val="24"/>
        </w:rPr>
        <w:t xml:space="preserve">referred each matter to trial in terms of the joint pre-trial minute drawn and filed of record by the parties. </w:t>
      </w:r>
      <w:r w:rsidR="00D06349">
        <w:rPr>
          <w:rFonts w:ascii="Times New Roman" w:hAnsi="Times New Roman" w:cs="Times New Roman"/>
          <w:sz w:val="24"/>
          <w:szCs w:val="24"/>
        </w:rPr>
        <w:t xml:space="preserve"> I </w:t>
      </w:r>
      <w:r w:rsidR="00203155">
        <w:rPr>
          <w:rFonts w:ascii="Times New Roman" w:hAnsi="Times New Roman" w:cs="Times New Roman"/>
          <w:sz w:val="24"/>
          <w:szCs w:val="24"/>
        </w:rPr>
        <w:t>reserved judgment in respect</w:t>
      </w:r>
      <w:r w:rsidR="00D06349">
        <w:rPr>
          <w:rFonts w:ascii="Times New Roman" w:hAnsi="Times New Roman" w:cs="Times New Roman"/>
          <w:sz w:val="24"/>
          <w:szCs w:val="24"/>
        </w:rPr>
        <w:t xml:space="preserve"> of the issue for consolidation of the matters for trial</w:t>
      </w:r>
      <w:r w:rsidR="002031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87A35" w14:textId="77777777" w:rsidR="00B86AD9" w:rsidRDefault="00B86AD9" w:rsidP="00394C7B">
      <w:pPr>
        <w:rPr>
          <w:rFonts w:ascii="Times New Roman" w:hAnsi="Times New Roman" w:cs="Times New Roman"/>
          <w:sz w:val="24"/>
          <w:szCs w:val="24"/>
        </w:rPr>
      </w:pPr>
    </w:p>
    <w:p w14:paraId="75A2D6D4" w14:textId="365255A0" w:rsidR="00E13BE1" w:rsidRDefault="004B6194" w:rsidP="0039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D0E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1546FE">
        <w:rPr>
          <w:rFonts w:ascii="Times New Roman" w:hAnsi="Times New Roman" w:cs="Times New Roman"/>
          <w:sz w:val="24"/>
          <w:szCs w:val="24"/>
        </w:rPr>
        <w:t xml:space="preserve">I now turn to the issue of consolidation of trials. </w:t>
      </w: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4B61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06349">
        <w:rPr>
          <w:rFonts w:ascii="Times New Roman" w:hAnsi="Times New Roman" w:cs="Times New Roman"/>
          <w:i/>
          <w:iCs/>
          <w:sz w:val="24"/>
          <w:szCs w:val="24"/>
        </w:rPr>
        <w:t>ivadar</w:t>
      </w:r>
      <w:proofErr w:type="spellEnd"/>
      <w:r w:rsidRPr="004B61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counsel for the plaintiff</w:t>
      </w:r>
      <w:r w:rsidR="00C8344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in both matters </w:t>
      </w:r>
      <w:r w:rsidR="00394C7B">
        <w:rPr>
          <w:rFonts w:ascii="Times New Roman" w:hAnsi="Times New Roman" w:cs="Times New Roman"/>
          <w:sz w:val="24"/>
          <w:szCs w:val="24"/>
        </w:rPr>
        <w:t xml:space="preserve">made an application for a consolidation of the two matters.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194">
        <w:rPr>
          <w:rFonts w:ascii="Times New Roman" w:hAnsi="Times New Roman" w:cs="Times New Roman"/>
          <w:i/>
          <w:iCs/>
          <w:sz w:val="24"/>
          <w:szCs w:val="24"/>
        </w:rPr>
        <w:t>Moyo</w:t>
      </w:r>
      <w:proofErr w:type="spellEnd"/>
      <w:r w:rsidRPr="004B61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counsel for the defendant in both matters opposed the application. </w:t>
      </w:r>
      <w:proofErr w:type="spellStart"/>
      <w:r w:rsidR="00EF7607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EF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607" w:rsidRPr="00EF760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717FB">
        <w:rPr>
          <w:rFonts w:ascii="Times New Roman" w:hAnsi="Times New Roman" w:cs="Times New Roman"/>
          <w:i/>
          <w:iCs/>
          <w:sz w:val="24"/>
          <w:szCs w:val="24"/>
        </w:rPr>
        <w:t>iva</w:t>
      </w:r>
      <w:r w:rsidR="00EF7607" w:rsidRPr="00EF7607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="004717FB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 w:rsidR="00471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7607">
        <w:rPr>
          <w:rFonts w:ascii="Times New Roman" w:hAnsi="Times New Roman" w:cs="Times New Roman"/>
          <w:sz w:val="24"/>
          <w:szCs w:val="24"/>
        </w:rPr>
        <w:t>submitted</w:t>
      </w:r>
      <w:r w:rsidR="00E43E0A">
        <w:rPr>
          <w:rFonts w:ascii="Times New Roman" w:hAnsi="Times New Roman" w:cs="Times New Roman"/>
          <w:sz w:val="24"/>
          <w:szCs w:val="24"/>
        </w:rPr>
        <w:t xml:space="preserve"> that</w:t>
      </w:r>
      <w:r w:rsidR="00EF7607">
        <w:rPr>
          <w:rFonts w:ascii="Times New Roman" w:hAnsi="Times New Roman" w:cs="Times New Roman"/>
          <w:sz w:val="24"/>
          <w:szCs w:val="24"/>
        </w:rPr>
        <w:t xml:space="preserve"> because the parties have failed to agree on the issue of consolidation of trials, </w:t>
      </w:r>
      <w:r w:rsidR="00E43E0A">
        <w:rPr>
          <w:rFonts w:ascii="Times New Roman" w:hAnsi="Times New Roman" w:cs="Times New Roman"/>
          <w:sz w:val="24"/>
          <w:szCs w:val="24"/>
        </w:rPr>
        <w:t>as the presiding judge I have</w:t>
      </w:r>
      <w:r w:rsidR="005F4E16">
        <w:rPr>
          <w:rFonts w:ascii="Times New Roman" w:hAnsi="Times New Roman" w:cs="Times New Roman"/>
          <w:sz w:val="24"/>
          <w:szCs w:val="24"/>
        </w:rPr>
        <w:t xml:space="preserve"> the competence and</w:t>
      </w:r>
      <w:r w:rsidR="00E43E0A">
        <w:rPr>
          <w:rFonts w:ascii="Times New Roman" w:hAnsi="Times New Roman" w:cs="Times New Roman"/>
          <w:sz w:val="24"/>
          <w:szCs w:val="24"/>
        </w:rPr>
        <w:t xml:space="preserve"> jurisdiction to</w:t>
      </w:r>
      <w:r w:rsidR="00EF7607">
        <w:rPr>
          <w:rFonts w:ascii="Times New Roman" w:hAnsi="Times New Roman" w:cs="Times New Roman"/>
          <w:sz w:val="24"/>
          <w:szCs w:val="24"/>
        </w:rPr>
        <w:t xml:space="preserve"> </w:t>
      </w:r>
      <w:r w:rsidR="002A6841">
        <w:rPr>
          <w:rFonts w:ascii="Times New Roman" w:hAnsi="Times New Roman" w:cs="Times New Roman"/>
          <w:sz w:val="24"/>
          <w:szCs w:val="24"/>
        </w:rPr>
        <w:t xml:space="preserve">give </w:t>
      </w:r>
      <w:r w:rsidR="00EF7607">
        <w:rPr>
          <w:rFonts w:ascii="Times New Roman" w:hAnsi="Times New Roman" w:cs="Times New Roman"/>
          <w:sz w:val="24"/>
          <w:szCs w:val="24"/>
        </w:rPr>
        <w:t xml:space="preserve">directions in terms of r 49(10)(c) of the Rules. </w:t>
      </w:r>
      <w:r w:rsidR="008D445D">
        <w:rPr>
          <w:rFonts w:ascii="Times New Roman" w:hAnsi="Times New Roman" w:cs="Times New Roman"/>
          <w:sz w:val="24"/>
          <w:szCs w:val="24"/>
        </w:rPr>
        <w:t xml:space="preserve">Counsel submitted that I must direct that the trial be consolidated in </w:t>
      </w:r>
      <w:proofErr w:type="spellStart"/>
      <w:r w:rsidR="008D445D">
        <w:rPr>
          <w:rFonts w:ascii="Times New Roman" w:hAnsi="Times New Roman" w:cs="Times New Roman"/>
          <w:sz w:val="24"/>
          <w:szCs w:val="24"/>
        </w:rPr>
        <w:t>terns</w:t>
      </w:r>
      <w:proofErr w:type="spellEnd"/>
      <w:r w:rsidR="008D445D">
        <w:rPr>
          <w:rFonts w:ascii="Times New Roman" w:hAnsi="Times New Roman" w:cs="Times New Roman"/>
          <w:sz w:val="24"/>
          <w:szCs w:val="24"/>
        </w:rPr>
        <w:t xml:space="preserve"> of r 34. </w:t>
      </w:r>
    </w:p>
    <w:p w14:paraId="5DA59624" w14:textId="77777777" w:rsidR="00E13BE1" w:rsidRDefault="00E13BE1" w:rsidP="00394C7B">
      <w:pPr>
        <w:rPr>
          <w:rFonts w:ascii="Times New Roman" w:hAnsi="Times New Roman" w:cs="Times New Roman"/>
          <w:sz w:val="24"/>
          <w:szCs w:val="24"/>
        </w:rPr>
      </w:pPr>
    </w:p>
    <w:p w14:paraId="22AA638D" w14:textId="6C8B594D" w:rsidR="00EF7607" w:rsidRPr="005F4E16" w:rsidRDefault="008D445D" w:rsidP="005F4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D0E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] The starting point is to determine whether a judge presiding </w:t>
      </w:r>
      <w:r w:rsidR="00A113E8">
        <w:rPr>
          <w:rFonts w:ascii="Times New Roman" w:hAnsi="Times New Roman" w:cs="Times New Roman"/>
          <w:sz w:val="24"/>
          <w:szCs w:val="24"/>
        </w:rPr>
        <w:t xml:space="preserve">over a pre-trial conference </w:t>
      </w:r>
      <w:r w:rsidR="00C83444">
        <w:rPr>
          <w:rFonts w:ascii="Times New Roman" w:hAnsi="Times New Roman" w:cs="Times New Roman"/>
          <w:sz w:val="24"/>
          <w:szCs w:val="24"/>
        </w:rPr>
        <w:t xml:space="preserve">can </w:t>
      </w:r>
      <w:r w:rsidR="00A113E8">
        <w:rPr>
          <w:rFonts w:ascii="Times New Roman" w:hAnsi="Times New Roman" w:cs="Times New Roman"/>
          <w:sz w:val="24"/>
          <w:szCs w:val="24"/>
        </w:rPr>
        <w:t>direct the parties in</w:t>
      </w:r>
      <w:r w:rsidR="00C83444">
        <w:rPr>
          <w:rFonts w:ascii="Times New Roman" w:hAnsi="Times New Roman" w:cs="Times New Roman"/>
          <w:sz w:val="24"/>
          <w:szCs w:val="24"/>
        </w:rPr>
        <w:t xml:space="preserve"> the</w:t>
      </w:r>
      <w:r w:rsidR="00A113E8">
        <w:rPr>
          <w:rFonts w:ascii="Times New Roman" w:hAnsi="Times New Roman" w:cs="Times New Roman"/>
          <w:sz w:val="24"/>
          <w:szCs w:val="24"/>
        </w:rPr>
        <w:t xml:space="preserve"> manner sought by the plaintiff in this matter. </w:t>
      </w:r>
      <w:r w:rsidR="00EF7607">
        <w:rPr>
          <w:rFonts w:ascii="Times New Roman" w:hAnsi="Times New Roman" w:cs="Times New Roman"/>
          <w:sz w:val="24"/>
          <w:szCs w:val="24"/>
        </w:rPr>
        <w:t>Rule 49(10</w:t>
      </w:r>
      <w:proofErr w:type="gramStart"/>
      <w:r w:rsidR="00EF760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EF7607">
        <w:rPr>
          <w:rFonts w:ascii="Times New Roman" w:hAnsi="Times New Roman" w:cs="Times New Roman"/>
          <w:sz w:val="24"/>
          <w:szCs w:val="24"/>
        </w:rPr>
        <w:t xml:space="preserve">c) provides that: </w:t>
      </w:r>
    </w:p>
    <w:p w14:paraId="7C877C43" w14:textId="2BC0E8A9" w:rsidR="00EF7607" w:rsidRDefault="00EF7607" w:rsidP="00EF7607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Times-Roman" w:hAnsi="Times-Roman" w:cs="Times-Roman"/>
          <w:kern w:val="0"/>
          <w:sz w:val="21"/>
          <w:szCs w:val="21"/>
        </w:rPr>
      </w:pPr>
      <w:r>
        <w:rPr>
          <w:rFonts w:ascii="Times-Roman" w:hAnsi="Times-Roman" w:cs="Times-Roman"/>
          <w:kern w:val="0"/>
          <w:sz w:val="21"/>
          <w:szCs w:val="21"/>
        </w:rPr>
        <w:lastRenderedPageBreak/>
        <w:t>(10) Upon the conclusion of a pre-trial conference held before</w:t>
      </w:r>
    </w:p>
    <w:p w14:paraId="136FFDE3" w14:textId="74B7017C" w:rsidR="00EF7607" w:rsidRDefault="00EF7607" w:rsidP="00EF7607">
      <w:pPr>
        <w:ind w:firstLine="720"/>
        <w:rPr>
          <w:rFonts w:ascii="Times-Roman" w:hAnsi="Times-Roman" w:cs="Times-Roman"/>
          <w:kern w:val="0"/>
          <w:sz w:val="21"/>
          <w:szCs w:val="21"/>
        </w:rPr>
      </w:pPr>
      <w:proofErr w:type="gramStart"/>
      <w:r>
        <w:rPr>
          <w:rFonts w:ascii="Times-Roman" w:hAnsi="Times-Roman" w:cs="Times-Roman"/>
          <w:kern w:val="0"/>
          <w:sz w:val="21"/>
          <w:szCs w:val="21"/>
        </w:rPr>
        <w:t>a</w:t>
      </w:r>
      <w:proofErr w:type="gramEnd"/>
      <w:r>
        <w:rPr>
          <w:rFonts w:ascii="Times-Roman" w:hAnsi="Times-Roman" w:cs="Times-Roman"/>
          <w:kern w:val="0"/>
          <w:sz w:val="21"/>
          <w:szCs w:val="21"/>
        </w:rPr>
        <w:t xml:space="preserve"> judge, the judge—</w:t>
      </w:r>
    </w:p>
    <w:p w14:paraId="101AB847" w14:textId="2B6C836F" w:rsidR="00E43E0A" w:rsidRDefault="00E43E0A" w:rsidP="00E43E0A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Times-Roman" w:hAnsi="Times-Roman" w:cs="Times-Roman"/>
          <w:kern w:val="0"/>
          <w:sz w:val="21"/>
          <w:szCs w:val="21"/>
        </w:rPr>
      </w:pPr>
      <w:r>
        <w:rPr>
          <w:rFonts w:ascii="Times-Roman" w:hAnsi="Times-Roman" w:cs="Times-Roman"/>
          <w:kern w:val="0"/>
          <w:sz w:val="21"/>
          <w:szCs w:val="21"/>
        </w:rPr>
        <w:t xml:space="preserve">(c)  </w:t>
      </w:r>
      <w:proofErr w:type="gramStart"/>
      <w:r>
        <w:rPr>
          <w:rFonts w:ascii="Times-Roman" w:hAnsi="Times-Roman" w:cs="Times-Roman"/>
          <w:kern w:val="0"/>
          <w:sz w:val="21"/>
          <w:szCs w:val="21"/>
        </w:rPr>
        <w:t>may</w:t>
      </w:r>
      <w:proofErr w:type="gramEnd"/>
      <w:r>
        <w:rPr>
          <w:rFonts w:ascii="Times-Roman" w:hAnsi="Times-Roman" w:cs="Times-Roman"/>
          <w:kern w:val="0"/>
          <w:sz w:val="21"/>
          <w:szCs w:val="21"/>
        </w:rPr>
        <w:t xml:space="preserve"> give directions as to any matter referred to in </w:t>
      </w:r>
      <w:proofErr w:type="spellStart"/>
      <w:r>
        <w:rPr>
          <w:rFonts w:ascii="Times-Roman" w:hAnsi="Times-Roman" w:cs="Times-Roman"/>
          <w:kern w:val="0"/>
          <w:sz w:val="21"/>
          <w:szCs w:val="21"/>
        </w:rPr>
        <w:t>subrule</w:t>
      </w:r>
      <w:proofErr w:type="spellEnd"/>
    </w:p>
    <w:p w14:paraId="474621FD" w14:textId="6892CF48" w:rsidR="00E43E0A" w:rsidRDefault="00E43E0A" w:rsidP="00E43E0A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Times-Roman" w:hAnsi="Times-Roman" w:cs="Times-Roman"/>
          <w:kern w:val="0"/>
          <w:sz w:val="21"/>
          <w:szCs w:val="21"/>
        </w:rPr>
      </w:pPr>
      <w:r>
        <w:rPr>
          <w:rFonts w:ascii="Times-Roman" w:hAnsi="Times-Roman" w:cs="Times-Roman"/>
          <w:kern w:val="0"/>
          <w:sz w:val="21"/>
          <w:szCs w:val="21"/>
        </w:rPr>
        <w:t xml:space="preserve">(2) </w:t>
      </w:r>
      <w:proofErr w:type="gramStart"/>
      <w:r>
        <w:rPr>
          <w:rFonts w:ascii="Times-Roman" w:hAnsi="Times-Roman" w:cs="Times-Roman"/>
          <w:kern w:val="0"/>
          <w:sz w:val="21"/>
          <w:szCs w:val="21"/>
        </w:rPr>
        <w:t>upon</w:t>
      </w:r>
      <w:proofErr w:type="gramEnd"/>
      <w:r>
        <w:rPr>
          <w:rFonts w:ascii="Times-Roman" w:hAnsi="Times-Roman" w:cs="Times-Roman"/>
          <w:kern w:val="0"/>
          <w:sz w:val="21"/>
          <w:szCs w:val="21"/>
        </w:rPr>
        <w:t xml:space="preserve"> which the parties have been unable to agree. </w:t>
      </w:r>
    </w:p>
    <w:p w14:paraId="6EC56D6A" w14:textId="77777777" w:rsidR="00A113E8" w:rsidRDefault="00A113E8" w:rsidP="00E43E0A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Times-Roman" w:hAnsi="Times-Roman" w:cs="Times-Roman"/>
          <w:kern w:val="0"/>
          <w:sz w:val="21"/>
          <w:szCs w:val="21"/>
        </w:rPr>
      </w:pPr>
    </w:p>
    <w:p w14:paraId="3EC8D323" w14:textId="35C22912" w:rsidR="00DB1DEF" w:rsidRDefault="00E43E0A" w:rsidP="00DB1DE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E43E0A">
        <w:rPr>
          <w:rFonts w:ascii="Times New Roman" w:hAnsi="Times New Roman" w:cs="Times New Roman"/>
          <w:kern w:val="0"/>
          <w:sz w:val="24"/>
          <w:szCs w:val="24"/>
        </w:rPr>
        <w:t>[</w:t>
      </w:r>
      <w:r w:rsidR="003D0E06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E43E0A">
        <w:rPr>
          <w:rFonts w:ascii="Times New Roman" w:hAnsi="Times New Roman" w:cs="Times New Roman"/>
          <w:kern w:val="0"/>
          <w:sz w:val="24"/>
          <w:szCs w:val="24"/>
        </w:rPr>
        <w:t>]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83444">
        <w:rPr>
          <w:rFonts w:ascii="Times New Roman" w:hAnsi="Times New Roman" w:cs="Times New Roman"/>
          <w:kern w:val="0"/>
          <w:sz w:val="24"/>
          <w:szCs w:val="24"/>
        </w:rPr>
        <w:t xml:space="preserve">Rule 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C834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 xml:space="preserve">(c) </w:t>
      </w:r>
      <w:r w:rsidR="00C93150">
        <w:rPr>
          <w:rFonts w:ascii="Times New Roman" w:hAnsi="Times New Roman" w:cs="Times New Roman"/>
          <w:kern w:val="0"/>
          <w:sz w:val="24"/>
          <w:szCs w:val="24"/>
        </w:rPr>
        <w:t xml:space="preserve">states </w:t>
      </w:r>
      <w:r w:rsidR="00C83444">
        <w:rPr>
          <w:rFonts w:ascii="Times New Roman" w:hAnsi="Times New Roman" w:cs="Times New Roman"/>
          <w:kern w:val="0"/>
          <w:sz w:val="24"/>
          <w:szCs w:val="24"/>
        </w:rPr>
        <w:t>that a judge presiding at a pre-trial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 xml:space="preserve"> may give directions as to any matter </w:t>
      </w:r>
      <w:r w:rsidR="00C83444">
        <w:rPr>
          <w:rFonts w:ascii="Times New Roman" w:hAnsi="Times New Roman" w:cs="Times New Roman"/>
          <w:kern w:val="0"/>
          <w:sz w:val="24"/>
          <w:szCs w:val="24"/>
        </w:rPr>
        <w:t xml:space="preserve">referred to in r 49(2) 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 xml:space="preserve">upon which the parties have been unable to agree. In </w:t>
      </w:r>
      <w:r w:rsidR="00A113E8" w:rsidRPr="00A113E8">
        <w:rPr>
          <w:rFonts w:ascii="Times New Roman" w:hAnsi="Times New Roman" w:cs="Times New Roman"/>
          <w:i/>
          <w:iCs/>
          <w:kern w:val="0"/>
          <w:sz w:val="24"/>
          <w:szCs w:val="24"/>
        </w:rPr>
        <w:t>casu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 xml:space="preserve"> the parties have been unable to agree on the issue of consolidation of trials and this issue</w:t>
      </w:r>
      <w:r w:rsidRPr="00E43E0A">
        <w:rPr>
          <w:rFonts w:ascii="Times New Roman" w:hAnsi="Times New Roman" w:cs="Times New Roman"/>
          <w:kern w:val="0"/>
          <w:sz w:val="24"/>
          <w:szCs w:val="24"/>
        </w:rPr>
        <w:t xml:space="preserve"> is referred to in r 49(2) of the Rules</w:t>
      </w:r>
      <w:r w:rsidR="00A113E8">
        <w:rPr>
          <w:rFonts w:ascii="Times New Roman" w:hAnsi="Times New Roman" w:cs="Times New Roman"/>
          <w:kern w:val="0"/>
          <w:sz w:val="24"/>
          <w:szCs w:val="24"/>
        </w:rPr>
        <w:t>. I agree that it is</w:t>
      </w:r>
      <w:r w:rsidRPr="00E43E0A">
        <w:rPr>
          <w:rFonts w:ascii="Times New Roman" w:hAnsi="Times New Roman" w:cs="Times New Roman"/>
          <w:kern w:val="0"/>
          <w:sz w:val="24"/>
          <w:szCs w:val="24"/>
        </w:rPr>
        <w:t xml:space="preserve"> a matter that a judge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presiding over a pre-trial conference may give directions in terms of r 10(c). </w:t>
      </w:r>
    </w:p>
    <w:p w14:paraId="0CD21BF6" w14:textId="77777777" w:rsidR="00C93150" w:rsidRPr="00DB1DEF" w:rsidRDefault="00C93150" w:rsidP="00DB1DE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7025A1E4" w14:textId="3B33C455" w:rsidR="00394C7B" w:rsidRPr="00394C7B" w:rsidRDefault="00DB1DEF" w:rsidP="0039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D0E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4B6194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C83444">
        <w:rPr>
          <w:rFonts w:ascii="Times New Roman" w:hAnsi="Times New Roman" w:cs="Times New Roman"/>
          <w:i/>
          <w:iCs/>
          <w:sz w:val="24"/>
          <w:szCs w:val="24"/>
        </w:rPr>
        <w:t>Tivadar</w:t>
      </w:r>
      <w:proofErr w:type="spellEnd"/>
      <w:r w:rsidR="00C834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6194">
        <w:rPr>
          <w:rFonts w:ascii="Times New Roman" w:hAnsi="Times New Roman" w:cs="Times New Roman"/>
          <w:sz w:val="24"/>
          <w:szCs w:val="24"/>
        </w:rPr>
        <w:t xml:space="preserve">submitted that the defendant was given notice in the plaintiff’s draft minute filed on 12 October 2023 that a consolidation of </w:t>
      </w:r>
      <w:r>
        <w:rPr>
          <w:rFonts w:ascii="Times New Roman" w:hAnsi="Times New Roman" w:cs="Times New Roman"/>
          <w:sz w:val="24"/>
          <w:szCs w:val="24"/>
        </w:rPr>
        <w:t xml:space="preserve">trials of </w:t>
      </w:r>
      <w:r w:rsidR="004B6194">
        <w:rPr>
          <w:rFonts w:ascii="Times New Roman" w:hAnsi="Times New Roman" w:cs="Times New Roman"/>
          <w:sz w:val="24"/>
          <w:szCs w:val="24"/>
        </w:rPr>
        <w:t xml:space="preserve">the two matters was </w:t>
      </w:r>
      <w:r w:rsidR="001546FE">
        <w:rPr>
          <w:rFonts w:ascii="Times New Roman" w:hAnsi="Times New Roman" w:cs="Times New Roman"/>
          <w:sz w:val="24"/>
          <w:szCs w:val="24"/>
        </w:rPr>
        <w:t xml:space="preserve">being </w:t>
      </w:r>
      <w:r w:rsidR="004B6194">
        <w:rPr>
          <w:rFonts w:ascii="Times New Roman" w:hAnsi="Times New Roman" w:cs="Times New Roman"/>
          <w:sz w:val="24"/>
          <w:szCs w:val="24"/>
        </w:rPr>
        <w:t>sought. Counsel further submitted that</w:t>
      </w:r>
      <w:r>
        <w:rPr>
          <w:rFonts w:ascii="Times New Roman" w:hAnsi="Times New Roman" w:cs="Times New Roman"/>
          <w:sz w:val="24"/>
          <w:szCs w:val="24"/>
        </w:rPr>
        <w:t xml:space="preserve"> plaintiff</w:t>
      </w:r>
      <w:r w:rsidR="001546FE">
        <w:rPr>
          <w:rFonts w:ascii="Times New Roman" w:hAnsi="Times New Roman" w:cs="Times New Roman"/>
          <w:sz w:val="24"/>
          <w:szCs w:val="24"/>
        </w:rPr>
        <w:t>s</w:t>
      </w:r>
      <w:r w:rsidR="004B6194">
        <w:rPr>
          <w:rFonts w:ascii="Times New Roman" w:hAnsi="Times New Roman" w:cs="Times New Roman"/>
          <w:sz w:val="24"/>
          <w:szCs w:val="24"/>
        </w:rPr>
        <w:t xml:space="preserve"> w</w:t>
      </w:r>
      <w:r w:rsidR="001546FE">
        <w:rPr>
          <w:rFonts w:ascii="Times New Roman" w:hAnsi="Times New Roman" w:cs="Times New Roman"/>
          <w:sz w:val="24"/>
          <w:szCs w:val="24"/>
        </w:rPr>
        <w:t>ere</w:t>
      </w:r>
      <w:r w:rsidR="004B6194">
        <w:rPr>
          <w:rFonts w:ascii="Times New Roman" w:hAnsi="Times New Roman" w:cs="Times New Roman"/>
          <w:sz w:val="24"/>
          <w:szCs w:val="24"/>
        </w:rPr>
        <w:t xml:space="preserve"> making an application and that such application was sanctioned by r 34 of the Rules. Mr </w:t>
      </w:r>
      <w:proofErr w:type="spellStart"/>
      <w:r w:rsidR="004B6194" w:rsidRPr="004B6194">
        <w:rPr>
          <w:rFonts w:ascii="Times New Roman" w:hAnsi="Times New Roman" w:cs="Times New Roman"/>
          <w:i/>
          <w:iCs/>
          <w:sz w:val="24"/>
          <w:szCs w:val="24"/>
        </w:rPr>
        <w:t>Moyo</w:t>
      </w:r>
      <w:proofErr w:type="spellEnd"/>
      <w:r w:rsidR="004B6194">
        <w:rPr>
          <w:rFonts w:ascii="Times New Roman" w:hAnsi="Times New Roman" w:cs="Times New Roman"/>
          <w:sz w:val="24"/>
          <w:szCs w:val="24"/>
        </w:rPr>
        <w:t xml:space="preserve"> submitted that no notice was given that at the pre-trial conference before a judge an application for consolidation </w:t>
      </w:r>
      <w:r>
        <w:rPr>
          <w:rFonts w:ascii="Times New Roman" w:hAnsi="Times New Roman" w:cs="Times New Roman"/>
          <w:sz w:val="24"/>
          <w:szCs w:val="24"/>
        </w:rPr>
        <w:t xml:space="preserve">of trials </w:t>
      </w:r>
      <w:r w:rsidR="004B6194">
        <w:rPr>
          <w:rFonts w:ascii="Times New Roman" w:hAnsi="Times New Roman" w:cs="Times New Roman"/>
          <w:sz w:val="24"/>
          <w:szCs w:val="24"/>
        </w:rPr>
        <w:t xml:space="preserve">would be made. Counsel considered it an ambush, worse still in that he is a correspondent attorney for the defendant’s legal practitioners. </w:t>
      </w:r>
    </w:p>
    <w:p w14:paraId="254CBD7A" w14:textId="77777777" w:rsidR="00394C7B" w:rsidRDefault="00394C7B" w:rsidP="00394C7B">
      <w:pPr>
        <w:autoSpaceDE w:val="0"/>
        <w:autoSpaceDN w:val="0"/>
        <w:adjustRightInd w:val="0"/>
        <w:ind w:left="720" w:firstLine="720"/>
        <w:jc w:val="lef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2C2B46C" w14:textId="2DAC568E" w:rsidR="00394C7B" w:rsidRPr="00DB1DEF" w:rsidRDefault="00DB1DEF" w:rsidP="00DB1DEF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 w:rsidR="003D0E06">
        <w:rPr>
          <w:rFonts w:ascii="Times New Roman" w:hAnsi="Times New Roman" w:cs="Times New Roman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] Rule 34 of the Rules provide that: </w:t>
      </w:r>
    </w:p>
    <w:p w14:paraId="7514F8DB" w14:textId="77777777" w:rsidR="00394C7B" w:rsidRDefault="00394C7B" w:rsidP="00394C7B">
      <w:pPr>
        <w:autoSpaceDE w:val="0"/>
        <w:autoSpaceDN w:val="0"/>
        <w:adjustRightInd w:val="0"/>
        <w:spacing w:line="276" w:lineRule="auto"/>
        <w:ind w:left="720" w:firstLine="720"/>
        <w:jc w:val="lef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4713F82" w14:textId="02904E35" w:rsidR="00394C7B" w:rsidRPr="00394C7B" w:rsidRDefault="00394C7B" w:rsidP="00394C7B">
      <w:pPr>
        <w:autoSpaceDE w:val="0"/>
        <w:autoSpaceDN w:val="0"/>
        <w:adjustRightInd w:val="0"/>
        <w:spacing w:line="276" w:lineRule="auto"/>
        <w:ind w:left="720" w:firstLine="720"/>
        <w:jc w:val="lef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394C7B">
        <w:rPr>
          <w:rFonts w:ascii="Times New Roman" w:hAnsi="Times New Roman" w:cs="Times New Roman"/>
          <w:i/>
          <w:iCs/>
          <w:kern w:val="0"/>
          <w:sz w:val="24"/>
          <w:szCs w:val="24"/>
        </w:rPr>
        <w:t>Consolidation of actions</w:t>
      </w:r>
    </w:p>
    <w:p w14:paraId="379E4448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394C7B">
        <w:rPr>
          <w:rFonts w:ascii="Times New Roman" w:hAnsi="Times New Roman" w:cs="Times New Roman"/>
          <w:kern w:val="0"/>
          <w:sz w:val="24"/>
          <w:szCs w:val="24"/>
        </w:rPr>
        <w:t>34. Where separate actions have been instituted and it appears</w:t>
      </w:r>
    </w:p>
    <w:p w14:paraId="4DAE40EB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to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the court convenient to do so, it may upon the application of any</w:t>
      </w:r>
    </w:p>
    <w:p w14:paraId="30FD4B24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party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thereto and after notice to all interested parties, make an order</w:t>
      </w:r>
    </w:p>
    <w:p w14:paraId="003880C5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consolidating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such actions, whereupon—</w:t>
      </w:r>
    </w:p>
    <w:p w14:paraId="12B0AD22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(a) </w:t>
      </w: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the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said actions shall proceed as one action;</w:t>
      </w:r>
    </w:p>
    <w:p w14:paraId="1EEEA13C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(b) </w:t>
      </w: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the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provisions of rule 32(25) shall with the necessary</w:t>
      </w:r>
    </w:p>
    <w:p w14:paraId="4203CFCC" w14:textId="0B859765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changes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apply with regard to the action so consolidated; and</w:t>
      </w:r>
    </w:p>
    <w:p w14:paraId="27479283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(c) </w:t>
      </w: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the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court may make any order which it considers fit</w:t>
      </w:r>
    </w:p>
    <w:p w14:paraId="7FCC776A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with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regard to the further procedure, and may give one</w:t>
      </w:r>
    </w:p>
    <w:p w14:paraId="620E16D1" w14:textId="77777777" w:rsidR="00394C7B" w:rsidRPr="00394C7B" w:rsidRDefault="00394C7B" w:rsidP="00394C7B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judgment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 xml:space="preserve"> disposing of all matters in dispute in the said</w:t>
      </w:r>
    </w:p>
    <w:p w14:paraId="6DF5A3EE" w14:textId="518E2CC3" w:rsidR="00394C7B" w:rsidRPr="00394C7B" w:rsidRDefault="00394C7B" w:rsidP="00394C7B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94C7B">
        <w:rPr>
          <w:rFonts w:ascii="Times New Roman" w:hAnsi="Times New Roman" w:cs="Times New Roman"/>
          <w:kern w:val="0"/>
          <w:sz w:val="24"/>
          <w:szCs w:val="24"/>
        </w:rPr>
        <w:t>actions</w:t>
      </w:r>
      <w:proofErr w:type="gramEnd"/>
      <w:r w:rsidRPr="00394C7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E6FA917" w14:textId="77777777" w:rsidR="00394C7B" w:rsidRDefault="00394C7B" w:rsidP="00394C7B">
      <w:pPr>
        <w:rPr>
          <w:rFonts w:ascii="Times New Roman" w:hAnsi="Times New Roman" w:cs="Times New Roman"/>
          <w:sz w:val="24"/>
          <w:szCs w:val="24"/>
        </w:rPr>
      </w:pPr>
    </w:p>
    <w:p w14:paraId="2ED9EADD" w14:textId="52595772" w:rsidR="00394C7B" w:rsidRDefault="00DB1DEF" w:rsidP="00025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D0E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] The empowering rule is clear that upon an application </w:t>
      </w:r>
      <w:r w:rsidR="002A6841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any party and after notice to all interested parties an order for consolidation of actions may be made. </w:t>
      </w:r>
      <w:r w:rsidR="00D950CE">
        <w:rPr>
          <w:rFonts w:ascii="Times New Roman" w:hAnsi="Times New Roman" w:cs="Times New Roman"/>
          <w:sz w:val="24"/>
          <w:szCs w:val="24"/>
        </w:rPr>
        <w:t xml:space="preserve">The import of the rule is that an </w:t>
      </w:r>
      <w:r w:rsidR="00E877E0">
        <w:rPr>
          <w:rFonts w:ascii="Times New Roman" w:hAnsi="Times New Roman" w:cs="Times New Roman"/>
          <w:sz w:val="24"/>
          <w:szCs w:val="24"/>
        </w:rPr>
        <w:t xml:space="preserve">order for consolidation cannot be made by the court </w:t>
      </w:r>
      <w:proofErr w:type="spellStart"/>
      <w:r w:rsidR="00E877E0" w:rsidRPr="00E877E0">
        <w:rPr>
          <w:rFonts w:ascii="Times New Roman" w:hAnsi="Times New Roman" w:cs="Times New Roman"/>
          <w:i/>
          <w:iCs/>
          <w:sz w:val="24"/>
          <w:szCs w:val="24"/>
        </w:rPr>
        <w:t>mero</w:t>
      </w:r>
      <w:proofErr w:type="spellEnd"/>
      <w:r w:rsidR="00E877E0" w:rsidRPr="00E877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877E0" w:rsidRPr="00E877E0">
        <w:rPr>
          <w:rFonts w:ascii="Times New Roman" w:hAnsi="Times New Roman" w:cs="Times New Roman"/>
          <w:i/>
          <w:iCs/>
          <w:sz w:val="24"/>
          <w:szCs w:val="24"/>
        </w:rPr>
        <w:t>motu</w:t>
      </w:r>
      <w:proofErr w:type="spellEnd"/>
      <w:r w:rsidR="00E877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877E0">
        <w:rPr>
          <w:rFonts w:ascii="Times New Roman" w:hAnsi="Times New Roman" w:cs="Times New Roman"/>
          <w:sz w:val="24"/>
          <w:szCs w:val="24"/>
        </w:rPr>
        <w:t xml:space="preserve">it must be by </w:t>
      </w:r>
      <w:r w:rsidR="00E877E0">
        <w:rPr>
          <w:rFonts w:ascii="Times New Roman" w:hAnsi="Times New Roman" w:cs="Times New Roman"/>
          <w:sz w:val="24"/>
          <w:szCs w:val="24"/>
        </w:rPr>
        <w:lastRenderedPageBreak/>
        <w:t xml:space="preserve">application. </w:t>
      </w:r>
      <w:r>
        <w:rPr>
          <w:rFonts w:ascii="Times New Roman" w:hAnsi="Times New Roman" w:cs="Times New Roman"/>
          <w:sz w:val="24"/>
          <w:szCs w:val="24"/>
        </w:rPr>
        <w:t xml:space="preserve">The first issue for consideration is </w:t>
      </w:r>
      <w:r w:rsidR="00E877E0">
        <w:rPr>
          <w:rFonts w:ascii="Times New Roman" w:hAnsi="Times New Roman" w:cs="Times New Roman"/>
          <w:sz w:val="24"/>
          <w:szCs w:val="24"/>
        </w:rPr>
        <w:t>whether notice was given to the defendant that an application for consolidation of the two matters w</w:t>
      </w:r>
      <w:r w:rsidR="001546FE">
        <w:rPr>
          <w:rFonts w:ascii="Times New Roman" w:hAnsi="Times New Roman" w:cs="Times New Roman"/>
          <w:sz w:val="24"/>
          <w:szCs w:val="24"/>
        </w:rPr>
        <w:t>ould</w:t>
      </w:r>
      <w:r w:rsidR="00E877E0">
        <w:rPr>
          <w:rFonts w:ascii="Times New Roman" w:hAnsi="Times New Roman" w:cs="Times New Roman"/>
          <w:sz w:val="24"/>
          <w:szCs w:val="24"/>
        </w:rPr>
        <w:t xml:space="preserve"> be made at the pre-trial conference presided by a judge. The plaintiffs in both matters in their draft pre-trial minute stated as follows: </w:t>
      </w:r>
    </w:p>
    <w:p w14:paraId="30EBE81D" w14:textId="77777777" w:rsidR="00E877E0" w:rsidRDefault="00E877E0" w:rsidP="000254E3">
      <w:pPr>
        <w:rPr>
          <w:rFonts w:ascii="Times New Roman" w:hAnsi="Times New Roman" w:cs="Times New Roman"/>
          <w:sz w:val="24"/>
          <w:szCs w:val="24"/>
        </w:rPr>
      </w:pPr>
    </w:p>
    <w:p w14:paraId="64471F22" w14:textId="01B4B0C1" w:rsidR="00E877E0" w:rsidRDefault="00E877E0" w:rsidP="00E877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“Consolidation of trials</w:t>
      </w:r>
    </w:p>
    <w:p w14:paraId="6ACF89A0" w14:textId="64DB0638" w:rsidR="00E877E0" w:rsidRDefault="00E877E0" w:rsidP="00E877E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plaintiffs seek that the trials of the matters in HC 1800/22 and HC 1801/22 be consolidated as the cases involve the same defendant, the same legal practitioners and identical issues.”</w:t>
      </w:r>
    </w:p>
    <w:p w14:paraId="2B1ABA51" w14:textId="77777777" w:rsidR="004E065D" w:rsidRDefault="004E065D" w:rsidP="004E065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E69711" w14:textId="01230978" w:rsidR="00487EB9" w:rsidRDefault="004E065D" w:rsidP="004E065D">
      <w:pP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3D0E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4E065D">
        <w:rPr>
          <w:rFonts w:ascii="Times New Roman" w:hAnsi="Times New Roman" w:cs="Times New Roman"/>
          <w:sz w:val="24"/>
          <w:szCs w:val="24"/>
        </w:rPr>
        <w:t xml:space="preserve">The rule requires that </w:t>
      </w:r>
      <w:r>
        <w:rPr>
          <w:rFonts w:ascii="Times New Roman" w:hAnsi="Times New Roman" w:cs="Times New Roman"/>
          <w:sz w:val="24"/>
          <w:szCs w:val="24"/>
        </w:rPr>
        <w:t xml:space="preserve">notice be given to all interested parties. Generally giving notice means </w:t>
      </w:r>
      <w:r w:rsidR="001546F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notify or warn </w:t>
      </w:r>
      <w:r w:rsidR="001669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party that something will happen.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The 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plaintiffs stated in the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draft pre-trial conference minut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e</w:t>
      </w:r>
      <w:r w:rsidR="00921E1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s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that 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they seek </w:t>
      </w:r>
      <w:r w:rsidR="00921E1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consolidation 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of trials. The fact that this issue was stated in a draft pre-trial minute</w:t>
      </w:r>
      <w:r w:rsidR="00B8571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s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meant that the consolidation would be sought at the pre-trial conference</w:t>
      </w:r>
      <w:r w:rsidR="00B8571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. </w:t>
      </w:r>
      <w:r w:rsidR="00921E1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</w:t>
      </w:r>
      <w:r w:rsidR="00D950C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I say so because there is no suggestion that the plaintiffs abandoned the desire to seek a consolidation of the two matters. 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</w:t>
      </w:r>
      <w:r w:rsidR="00D950C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The defendant had knowledge that the plaintiff would seek a consolidation. </w:t>
      </w:r>
      <w:r w:rsidR="00166985" w:rsidRPr="004E065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I take the 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view that the defendant was notified that </w:t>
      </w:r>
      <w:r w:rsid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at the pre-trial </w:t>
      </w:r>
      <w:r w:rsidR="0016698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a consolidation of trials would be sought.</w:t>
      </w:r>
    </w:p>
    <w:p w14:paraId="5BA3B655" w14:textId="77777777" w:rsidR="00487EB9" w:rsidRDefault="00487EB9" w:rsidP="004E065D">
      <w:pP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</w:pPr>
    </w:p>
    <w:p w14:paraId="3D60DDE6" w14:textId="7312422C" w:rsidR="005D7737" w:rsidRPr="00487EB9" w:rsidRDefault="00487EB9" w:rsidP="004E065D">
      <w:pP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[11] </w:t>
      </w:r>
      <w:r w:rsidR="005D773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Further, it is trite that in terms of r 57 (1) of the Rules an application may be made 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either in writing or </w:t>
      </w:r>
      <w:r w:rsidR="005D773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orally during a hearing. </w:t>
      </w:r>
      <w:r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The rule</w:t>
      </w:r>
      <w:r w:rsidR="004E2DE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s</w:t>
      </w:r>
      <w:r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do not </w:t>
      </w:r>
      <w:r w:rsidR="004E2DE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provide </w:t>
      </w:r>
      <w:r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that an application in terms of r 34</w:t>
      </w:r>
      <w:r w:rsidRPr="00487EB9">
        <w:rPr>
          <w:rFonts w:ascii="Times New Roman" w:hAnsi="Times New Roman" w:cs="Times New Roman"/>
          <w:kern w:val="0"/>
          <w:sz w:val="24"/>
          <w:szCs w:val="24"/>
        </w:rPr>
        <w:t xml:space="preserve"> must be made in writing. The effect of this is it can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either </w:t>
      </w:r>
      <w:r w:rsidRPr="00487EB9">
        <w:rPr>
          <w:rFonts w:ascii="Times New Roman" w:hAnsi="Times New Roman" w:cs="Times New Roman"/>
          <w:kern w:val="0"/>
          <w:sz w:val="24"/>
          <w:szCs w:val="24"/>
        </w:rPr>
        <w:t xml:space="preserve">be made in writing or orally during a hearing. </w:t>
      </w:r>
      <w:r w:rsidR="005D7737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In </w:t>
      </w:r>
      <w:r w:rsidR="005D7737" w:rsidRPr="00487EB9">
        <w:rPr>
          <w:rFonts w:ascii="Times New Roman" w:eastAsia="Times New Roman" w:hAnsi="Times New Roman" w:cs="Times New Roman"/>
          <w:i/>
          <w:iCs/>
          <w:color w:val="202124"/>
          <w:kern w:val="0"/>
          <w:sz w:val="24"/>
          <w:szCs w:val="24"/>
          <w:lang w:eastAsia="en-ZW"/>
          <w14:ligatures w14:val="none"/>
        </w:rPr>
        <w:t>casu</w:t>
      </w:r>
      <w:r w:rsidR="005D7737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the application was made orally during the course of </w:t>
      </w:r>
      <w:r w:rsidR="001546FE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the hearing of a</w:t>
      </w:r>
      <w:r w:rsidR="005D7737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pre-trial conference. The</w:t>
      </w:r>
      <w:r w:rsidR="001546FE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>refore, the</w:t>
      </w:r>
      <w:r w:rsidR="005D7737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r 34 procedural requirements</w:t>
      </w:r>
      <w:r w:rsidR="001546FE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i.e., of a notice and an application</w:t>
      </w:r>
      <w:r w:rsidR="005D7737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have been complied</w:t>
      </w:r>
      <w:r w:rsidR="001546FE" w:rsidRPr="00487EB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n-ZW"/>
          <w14:ligatures w14:val="none"/>
        </w:rPr>
        <w:t xml:space="preserve"> with. </w:t>
      </w:r>
    </w:p>
    <w:p w14:paraId="3D427A63" w14:textId="77777777" w:rsidR="00DB1DEF" w:rsidRDefault="00DB1DEF" w:rsidP="00E877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0CC24F" w14:textId="50C6A8D1" w:rsidR="001815D5" w:rsidRDefault="005D7737" w:rsidP="00025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9D28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="00FC4BAF" w:rsidRPr="00025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B4B4F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5B4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4F" w:rsidRPr="005B4B4F">
        <w:rPr>
          <w:rFonts w:ascii="Times New Roman" w:hAnsi="Times New Roman" w:cs="Times New Roman"/>
          <w:i/>
          <w:iCs/>
          <w:sz w:val="24"/>
          <w:szCs w:val="24"/>
        </w:rPr>
        <w:t>Tiv</w:t>
      </w:r>
      <w:r w:rsidR="001546F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B4B4F" w:rsidRPr="005B4B4F">
        <w:rPr>
          <w:rFonts w:ascii="Times New Roman" w:hAnsi="Times New Roman" w:cs="Times New Roman"/>
          <w:i/>
          <w:iCs/>
          <w:sz w:val="24"/>
          <w:szCs w:val="24"/>
        </w:rPr>
        <w:t>dar</w:t>
      </w:r>
      <w:proofErr w:type="spellEnd"/>
      <w:r w:rsidR="005B4B4F" w:rsidRPr="005B4B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2601">
        <w:rPr>
          <w:rFonts w:ascii="Times New Roman" w:hAnsi="Times New Roman" w:cs="Times New Roman"/>
          <w:sz w:val="24"/>
          <w:szCs w:val="24"/>
        </w:rPr>
        <w:t xml:space="preserve">submitted that it is convenient to consolidate the two matters for trial, in that in the two matters the issues; the witnesses; and the legal practitioners for the parties are the same. Mr </w:t>
      </w:r>
      <w:proofErr w:type="spellStart"/>
      <w:r w:rsidR="00122601" w:rsidRPr="00122601">
        <w:rPr>
          <w:rFonts w:ascii="Times New Roman" w:hAnsi="Times New Roman" w:cs="Times New Roman"/>
          <w:i/>
          <w:iCs/>
          <w:sz w:val="24"/>
          <w:szCs w:val="24"/>
        </w:rPr>
        <w:t>Moyo</w:t>
      </w:r>
      <w:proofErr w:type="spellEnd"/>
      <w:r w:rsidR="00122601">
        <w:rPr>
          <w:rFonts w:ascii="Times New Roman" w:hAnsi="Times New Roman" w:cs="Times New Roman"/>
          <w:sz w:val="24"/>
          <w:szCs w:val="24"/>
        </w:rPr>
        <w:t xml:space="preserve"> contended that consolidating these two mat</w:t>
      </w:r>
      <w:r w:rsidR="00C93150">
        <w:rPr>
          <w:rFonts w:ascii="Times New Roman" w:hAnsi="Times New Roman" w:cs="Times New Roman"/>
          <w:sz w:val="24"/>
          <w:szCs w:val="24"/>
        </w:rPr>
        <w:t>t</w:t>
      </w:r>
      <w:r w:rsidR="00122601">
        <w:rPr>
          <w:rFonts w:ascii="Times New Roman" w:hAnsi="Times New Roman" w:cs="Times New Roman"/>
          <w:sz w:val="24"/>
          <w:szCs w:val="24"/>
        </w:rPr>
        <w:t xml:space="preserve">ers would be prejudicial to the defendant in that it might wish to brief different counsel for the two matters. </w:t>
      </w:r>
    </w:p>
    <w:p w14:paraId="0F5D34EF" w14:textId="77777777" w:rsidR="001815D5" w:rsidRDefault="001815D5" w:rsidP="000254E3">
      <w:pPr>
        <w:rPr>
          <w:rFonts w:ascii="Times New Roman" w:hAnsi="Times New Roman" w:cs="Times New Roman"/>
          <w:sz w:val="24"/>
          <w:szCs w:val="24"/>
        </w:rPr>
      </w:pPr>
    </w:p>
    <w:p w14:paraId="15974957" w14:textId="77ADAB75" w:rsidR="000758A1" w:rsidRDefault="00122601" w:rsidP="00025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C931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FC4BAF" w:rsidRPr="000254E3">
        <w:rPr>
          <w:rFonts w:ascii="Times New Roman" w:hAnsi="Times New Roman" w:cs="Times New Roman"/>
          <w:sz w:val="24"/>
          <w:szCs w:val="24"/>
        </w:rPr>
        <w:t>In an application in terms of r</w:t>
      </w:r>
      <w:r w:rsidR="00FC4BAF">
        <w:rPr>
          <w:rFonts w:ascii="Times New Roman" w:hAnsi="Times New Roman" w:cs="Times New Roman"/>
          <w:sz w:val="24"/>
          <w:szCs w:val="24"/>
        </w:rPr>
        <w:t xml:space="preserve"> 34, in the context of a pre-trial conference the judge has</w:t>
      </w:r>
      <w:r w:rsidR="00FC4BAF" w:rsidRPr="000254E3">
        <w:rPr>
          <w:rFonts w:ascii="Times New Roman" w:hAnsi="Times New Roman" w:cs="Times New Roman"/>
          <w:sz w:val="24"/>
          <w:szCs w:val="24"/>
        </w:rPr>
        <w:t> a discretion whether or not to</w:t>
      </w:r>
      <w:r w:rsidR="00FC4BAF">
        <w:rPr>
          <w:rFonts w:ascii="Times New Roman" w:hAnsi="Times New Roman" w:cs="Times New Roman"/>
          <w:sz w:val="24"/>
          <w:szCs w:val="24"/>
        </w:rPr>
        <w:t xml:space="preserve"> direct that the matters be consolidated for trial. </w:t>
      </w:r>
      <w:r w:rsidR="00FC4BAF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FC4BAF" w:rsidRPr="000254E3">
        <w:rPr>
          <w:rFonts w:ascii="Times New Roman" w:hAnsi="Times New Roman" w:cs="Times New Roman"/>
          <w:sz w:val="24"/>
          <w:szCs w:val="24"/>
        </w:rPr>
        <w:t>n exercising that discretion, the </w:t>
      </w:r>
      <w:r w:rsidR="00FC4BAF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AF">
        <w:rPr>
          <w:rFonts w:ascii="Times New Roman" w:hAnsi="Times New Roman" w:cs="Times New Roman"/>
          <w:sz w:val="24"/>
          <w:szCs w:val="24"/>
        </w:rPr>
        <w:t xml:space="preserve">should not direct </w:t>
      </w:r>
      <w:r w:rsidR="00FC4BAF" w:rsidRPr="000254E3">
        <w:rPr>
          <w:rFonts w:ascii="Times New Roman" w:hAnsi="Times New Roman" w:cs="Times New Roman"/>
          <w:sz w:val="24"/>
          <w:szCs w:val="24"/>
        </w:rPr>
        <w:t>a consolidation of</w:t>
      </w:r>
      <w:r w:rsidR="00FC4BAF">
        <w:rPr>
          <w:rFonts w:ascii="Times New Roman" w:hAnsi="Times New Roman" w:cs="Times New Roman"/>
          <w:sz w:val="24"/>
          <w:szCs w:val="24"/>
        </w:rPr>
        <w:t xml:space="preserve"> </w:t>
      </w:r>
      <w:r w:rsidR="00FC4BAF" w:rsidRPr="000254E3">
        <w:rPr>
          <w:rFonts w:ascii="Times New Roman" w:hAnsi="Times New Roman" w:cs="Times New Roman"/>
          <w:sz w:val="24"/>
          <w:szCs w:val="24"/>
        </w:rPr>
        <w:t>trials unless satisfied that the balance of convenience </w:t>
      </w:r>
      <w:r w:rsidR="003F7088">
        <w:rPr>
          <w:rFonts w:ascii="Times New Roman" w:hAnsi="Times New Roman" w:cs="Times New Roman"/>
          <w:sz w:val="24"/>
          <w:szCs w:val="24"/>
        </w:rPr>
        <w:t xml:space="preserve">favours a consolidation </w:t>
      </w:r>
      <w:r w:rsidR="00FC4BAF" w:rsidRPr="000254E3">
        <w:rPr>
          <w:rFonts w:ascii="Times New Roman" w:hAnsi="Times New Roman" w:cs="Times New Roman"/>
          <w:sz w:val="24"/>
          <w:szCs w:val="24"/>
        </w:rPr>
        <w:t>and </w:t>
      </w:r>
      <w:r w:rsidRPr="000254E3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there</w:t>
      </w:r>
      <w:r w:rsidR="00FC4BAF">
        <w:rPr>
          <w:rFonts w:ascii="Times New Roman" w:hAnsi="Times New Roman" w:cs="Times New Roman"/>
          <w:sz w:val="24"/>
          <w:szCs w:val="24"/>
        </w:rPr>
        <w:t xml:space="preserve"> </w:t>
      </w:r>
      <w:r w:rsidR="003F7088">
        <w:rPr>
          <w:rFonts w:ascii="Times New Roman" w:hAnsi="Times New Roman" w:cs="Times New Roman"/>
          <w:sz w:val="24"/>
          <w:szCs w:val="24"/>
        </w:rPr>
        <w:t>would be</w:t>
      </w:r>
      <w:r w:rsidR="00FC4BAF">
        <w:rPr>
          <w:rFonts w:ascii="Times New Roman" w:hAnsi="Times New Roman" w:cs="Times New Roman"/>
          <w:sz w:val="24"/>
          <w:szCs w:val="24"/>
        </w:rPr>
        <w:t xml:space="preserve"> no prejudice </w:t>
      </w:r>
      <w:r>
        <w:rPr>
          <w:rFonts w:ascii="Times New Roman" w:hAnsi="Times New Roman" w:cs="Times New Roman"/>
          <w:sz w:val="24"/>
          <w:szCs w:val="24"/>
        </w:rPr>
        <w:t xml:space="preserve">that would be </w:t>
      </w:r>
      <w:r w:rsidR="00FC4BAF">
        <w:rPr>
          <w:rFonts w:ascii="Times New Roman" w:hAnsi="Times New Roman" w:cs="Times New Roman"/>
          <w:sz w:val="24"/>
          <w:szCs w:val="24"/>
        </w:rPr>
        <w:t>suffered by any party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08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litigation</w:t>
      </w:r>
      <w:r w:rsidR="00FC4BAF">
        <w:rPr>
          <w:rFonts w:ascii="Times New Roman" w:hAnsi="Times New Roman" w:cs="Times New Roman"/>
          <w:sz w:val="24"/>
          <w:szCs w:val="24"/>
        </w:rPr>
        <w:t>.</w:t>
      </w:r>
      <w:r w:rsidR="00FC4BAF" w:rsidRPr="000254E3">
        <w:rPr>
          <w:rFonts w:ascii="Times New Roman" w:hAnsi="Times New Roman" w:cs="Times New Roman"/>
          <w:sz w:val="24"/>
          <w:szCs w:val="24"/>
        </w:rPr>
        <w:t> </w:t>
      </w:r>
      <w:r w:rsidR="00FC4BAF">
        <w:rPr>
          <w:rFonts w:ascii="Times New Roman" w:hAnsi="Times New Roman" w:cs="Times New Roman"/>
          <w:sz w:val="24"/>
          <w:szCs w:val="24"/>
        </w:rPr>
        <w:t>T</w:t>
      </w:r>
      <w:r w:rsidR="00FC4BAF" w:rsidRPr="000254E3">
        <w:rPr>
          <w:rFonts w:ascii="Times New Roman" w:hAnsi="Times New Roman" w:cs="Times New Roman"/>
          <w:sz w:val="24"/>
          <w:szCs w:val="24"/>
        </w:rPr>
        <w:t>he </w:t>
      </w:r>
      <w:r w:rsidR="00FC4BAF" w:rsidRPr="00D649F4">
        <w:rPr>
          <w:rFonts w:ascii="Times New Roman" w:hAnsi="Times New Roman" w:cs="Times New Roman"/>
          <w:i/>
          <w:iCs/>
          <w:sz w:val="24"/>
          <w:szCs w:val="24"/>
        </w:rPr>
        <w:t>onus</w:t>
      </w:r>
      <w:r w:rsidR="00FC4BAF" w:rsidRPr="000254E3">
        <w:rPr>
          <w:rFonts w:ascii="Times New Roman" w:hAnsi="Times New Roman" w:cs="Times New Roman"/>
          <w:sz w:val="24"/>
          <w:szCs w:val="24"/>
        </w:rPr>
        <w:t> is</w:t>
      </w:r>
      <w:r w:rsidR="00FC4BAF">
        <w:rPr>
          <w:rFonts w:ascii="Times New Roman" w:hAnsi="Times New Roman" w:cs="Times New Roman"/>
          <w:sz w:val="24"/>
          <w:szCs w:val="24"/>
        </w:rPr>
        <w:t xml:space="preserve"> on</w:t>
      </w:r>
      <w:r w:rsidR="00FC4BAF" w:rsidRPr="000254E3">
        <w:rPr>
          <w:rFonts w:ascii="Times New Roman" w:hAnsi="Times New Roman" w:cs="Times New Roman"/>
          <w:sz w:val="24"/>
          <w:szCs w:val="24"/>
        </w:rPr>
        <w:t> the party </w:t>
      </w:r>
      <w:r w:rsidR="00D649F4">
        <w:rPr>
          <w:rFonts w:ascii="Times New Roman" w:hAnsi="Times New Roman" w:cs="Times New Roman"/>
          <w:sz w:val="24"/>
          <w:szCs w:val="24"/>
        </w:rPr>
        <w:t>seeking</w:t>
      </w:r>
      <w:r w:rsidR="00FC4BAF" w:rsidRPr="000254E3">
        <w:rPr>
          <w:rFonts w:ascii="Times New Roman" w:hAnsi="Times New Roman" w:cs="Times New Roman"/>
          <w:sz w:val="24"/>
          <w:szCs w:val="24"/>
        </w:rPr>
        <w:t> a consolidation to satisfy the </w:t>
      </w:r>
      <w:r w:rsidR="00FC4BAF">
        <w:rPr>
          <w:rFonts w:ascii="Times New Roman" w:hAnsi="Times New Roman" w:cs="Times New Roman"/>
          <w:sz w:val="24"/>
          <w:szCs w:val="24"/>
        </w:rPr>
        <w:t>judge</w:t>
      </w:r>
      <w:r w:rsidR="000758A1">
        <w:rPr>
          <w:rFonts w:ascii="Times New Roman" w:hAnsi="Times New Roman" w:cs="Times New Roman"/>
          <w:sz w:val="24"/>
          <w:szCs w:val="24"/>
        </w:rPr>
        <w:t xml:space="preserve"> </w:t>
      </w:r>
      <w:r w:rsidR="00D649F4">
        <w:rPr>
          <w:rFonts w:ascii="Times New Roman" w:hAnsi="Times New Roman" w:cs="Times New Roman"/>
          <w:sz w:val="24"/>
          <w:szCs w:val="24"/>
        </w:rPr>
        <w:t xml:space="preserve">that </w:t>
      </w:r>
      <w:r w:rsidR="000758A1">
        <w:rPr>
          <w:rFonts w:ascii="Times New Roman" w:hAnsi="Times New Roman" w:cs="Times New Roman"/>
          <w:sz w:val="24"/>
          <w:szCs w:val="24"/>
        </w:rPr>
        <w:t xml:space="preserve">it is convenient to consolidate the matters for trial.  </w:t>
      </w:r>
    </w:p>
    <w:p w14:paraId="6335D981" w14:textId="77777777" w:rsidR="000758A1" w:rsidRDefault="000758A1" w:rsidP="000254E3">
      <w:pPr>
        <w:rPr>
          <w:rFonts w:ascii="Times New Roman" w:hAnsi="Times New Roman" w:cs="Times New Roman"/>
          <w:sz w:val="24"/>
          <w:szCs w:val="24"/>
        </w:rPr>
      </w:pPr>
    </w:p>
    <w:p w14:paraId="6FD19A93" w14:textId="36FA4E52" w:rsidR="00877E5F" w:rsidRPr="00877E5F" w:rsidRDefault="000758A1" w:rsidP="00877E5F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C931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BB7488" w:rsidRPr="00BB7488">
        <w:rPr>
          <w:rFonts w:ascii="Times New Roman" w:hAnsi="Times New Roman" w:cs="Times New Roman"/>
          <w:sz w:val="24"/>
          <w:szCs w:val="24"/>
        </w:rPr>
        <w:t xml:space="preserve">It appears that the word “convenient” in </w:t>
      </w:r>
      <w:r w:rsidR="005D7737">
        <w:rPr>
          <w:rFonts w:ascii="Times New Roman" w:hAnsi="Times New Roman" w:cs="Times New Roman"/>
          <w:sz w:val="24"/>
          <w:szCs w:val="24"/>
        </w:rPr>
        <w:t>r 34 is the magic word.</w:t>
      </w:r>
      <w:r w:rsidR="00BB7488" w:rsidRPr="00BB7488">
        <w:rPr>
          <w:rFonts w:ascii="Times New Roman" w:hAnsi="Times New Roman" w:cs="Times New Roman"/>
          <w:sz w:val="24"/>
          <w:szCs w:val="24"/>
        </w:rPr>
        <w:t xml:space="preserve"> </w:t>
      </w:r>
      <w:r w:rsidR="003F7088" w:rsidRPr="000254E3">
        <w:rPr>
          <w:rFonts w:ascii="Times New Roman" w:hAnsi="Times New Roman" w:cs="Times New Roman"/>
          <w:kern w:val="0"/>
          <w:sz w:val="24"/>
          <w:szCs w:val="24"/>
        </w:rPr>
        <w:t>The paramount test in regard to consolidation of actions is convenience.</w:t>
      </w:r>
      <w:r w:rsidR="003F708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649F4">
        <w:rPr>
          <w:rFonts w:ascii="Times New Roman" w:hAnsi="Times New Roman" w:cs="Times New Roman"/>
          <w:sz w:val="24"/>
          <w:szCs w:val="24"/>
        </w:rPr>
        <w:t xml:space="preserve">The consolidation </w:t>
      </w:r>
      <w:r w:rsidR="00D649F4" w:rsidRPr="00BB7488">
        <w:rPr>
          <w:rFonts w:ascii="Times New Roman" w:hAnsi="Times New Roman" w:cs="Times New Roman"/>
          <w:sz w:val="24"/>
          <w:szCs w:val="24"/>
        </w:rPr>
        <w:t>procedure would</w:t>
      </w:r>
      <w:r w:rsidR="00D649F4" w:rsidRPr="000254E3">
        <w:rPr>
          <w:rFonts w:ascii="Times New Roman" w:hAnsi="Times New Roman" w:cs="Times New Roman"/>
          <w:sz w:val="24"/>
          <w:szCs w:val="24"/>
        </w:rPr>
        <w:t xml:space="preserve"> </w:t>
      </w:r>
      <w:r w:rsidR="00D649F4" w:rsidRPr="00BB7488">
        <w:rPr>
          <w:rFonts w:ascii="Times New Roman" w:hAnsi="Times New Roman" w:cs="Times New Roman"/>
          <w:sz w:val="24"/>
          <w:szCs w:val="24"/>
        </w:rPr>
        <w:t>be convenient if, in all the circumstances</w:t>
      </w:r>
      <w:r w:rsidR="003F7088">
        <w:rPr>
          <w:rFonts w:ascii="Times New Roman" w:hAnsi="Times New Roman" w:cs="Times New Roman"/>
          <w:sz w:val="24"/>
          <w:szCs w:val="24"/>
        </w:rPr>
        <w:t xml:space="preserve"> it is</w:t>
      </w:r>
      <w:r w:rsidR="00D649F4" w:rsidRPr="00BB7488">
        <w:rPr>
          <w:rFonts w:ascii="Times New Roman" w:hAnsi="Times New Roman" w:cs="Times New Roman"/>
          <w:sz w:val="24"/>
          <w:szCs w:val="24"/>
        </w:rPr>
        <w:t xml:space="preserve"> fair to the parties</w:t>
      </w:r>
      <w:r w:rsidR="00D649F4" w:rsidRPr="000254E3">
        <w:rPr>
          <w:rFonts w:ascii="Times New Roman" w:hAnsi="Times New Roman" w:cs="Times New Roman"/>
          <w:sz w:val="24"/>
          <w:szCs w:val="24"/>
        </w:rPr>
        <w:t xml:space="preserve"> concerned.</w:t>
      </w:r>
      <w:r w:rsidR="003F7088" w:rsidRPr="003F708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7088">
        <w:rPr>
          <w:rFonts w:ascii="Times New Roman" w:hAnsi="Times New Roman" w:cs="Times New Roman"/>
          <w:sz w:val="24"/>
          <w:szCs w:val="24"/>
        </w:rPr>
        <w:t xml:space="preserve">See </w:t>
      </w:r>
      <w:r w:rsidR="003F7088" w:rsidRPr="003F7088">
        <w:rPr>
          <w:rFonts w:ascii="Times New Roman" w:hAnsi="Times New Roman" w:cs="Times New Roman"/>
          <w:i/>
          <w:iCs/>
          <w:sz w:val="24"/>
          <w:szCs w:val="24"/>
        </w:rPr>
        <w:t xml:space="preserve">Minister of Agriculture v </w:t>
      </w:r>
      <w:proofErr w:type="spellStart"/>
      <w:r w:rsidR="003F7088" w:rsidRPr="003F7088">
        <w:rPr>
          <w:rFonts w:ascii="Times New Roman" w:hAnsi="Times New Roman" w:cs="Times New Roman"/>
          <w:i/>
          <w:iCs/>
          <w:sz w:val="24"/>
          <w:szCs w:val="24"/>
        </w:rPr>
        <w:t>Tongaat</w:t>
      </w:r>
      <w:proofErr w:type="spellEnd"/>
      <w:r w:rsidR="003F7088" w:rsidRPr="003F7088">
        <w:rPr>
          <w:rFonts w:ascii="Times New Roman" w:hAnsi="Times New Roman" w:cs="Times New Roman"/>
          <w:i/>
          <w:iCs/>
          <w:sz w:val="24"/>
          <w:szCs w:val="24"/>
        </w:rPr>
        <w:t xml:space="preserve"> Group Ltd</w:t>
      </w:r>
      <w:r w:rsidR="003F7088" w:rsidRPr="00BB7488">
        <w:rPr>
          <w:rFonts w:ascii="Times New Roman" w:hAnsi="Times New Roman" w:cs="Times New Roman"/>
          <w:sz w:val="24"/>
          <w:szCs w:val="24"/>
        </w:rPr>
        <w:t xml:space="preserve"> 1976 (2) Sa 357 (D)</w:t>
      </w:r>
      <w:r w:rsidR="003F7088">
        <w:rPr>
          <w:rFonts w:ascii="Times New Roman" w:hAnsi="Times New Roman" w:cs="Times New Roman"/>
          <w:sz w:val="24"/>
          <w:szCs w:val="24"/>
        </w:rPr>
        <w:t xml:space="preserve">. </w:t>
      </w:r>
      <w:r w:rsidR="00BB7488" w:rsidRPr="000254E3">
        <w:rPr>
          <w:rFonts w:ascii="Times New Roman" w:hAnsi="Times New Roman" w:cs="Times New Roman"/>
          <w:kern w:val="0"/>
          <w:sz w:val="24"/>
          <w:szCs w:val="24"/>
        </w:rPr>
        <w:t>The purpose of a consolidation is to ensure that issues which are essentially the same are heard and determined in one trial so as to avoid a multiplicity of trial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 w:rsidR="00BB7488" w:rsidRPr="000254E3">
        <w:rPr>
          <w:rFonts w:ascii="Times New Roman" w:hAnsi="Times New Roman" w:cs="Times New Roman"/>
          <w:kern w:val="0"/>
          <w:sz w:val="24"/>
          <w:szCs w:val="24"/>
        </w:rPr>
        <w:t xml:space="preserve"> with the concomitant disadvantages and prejudice. </w:t>
      </w:r>
      <w:r w:rsidR="00877E5F"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proofErr w:type="spellStart"/>
      <w:r w:rsidR="00877E5F" w:rsidRPr="00877E5F">
        <w:rPr>
          <w:rFonts w:ascii="Times New Roman" w:hAnsi="Times New Roman" w:cs="Times New Roman"/>
          <w:i/>
          <w:iCs/>
          <w:sz w:val="24"/>
          <w:szCs w:val="24"/>
        </w:rPr>
        <w:t>Africom</w:t>
      </w:r>
      <w:proofErr w:type="spellEnd"/>
      <w:r w:rsidR="00877E5F" w:rsidRPr="00877E5F">
        <w:rPr>
          <w:rFonts w:ascii="Times New Roman" w:hAnsi="Times New Roman" w:cs="Times New Roman"/>
          <w:i/>
          <w:iCs/>
          <w:sz w:val="24"/>
          <w:szCs w:val="24"/>
        </w:rPr>
        <w:t xml:space="preserve"> Holdings (Pvt) Ltd v </w:t>
      </w:r>
      <w:proofErr w:type="spellStart"/>
      <w:r w:rsidR="00877E5F" w:rsidRPr="00877E5F">
        <w:rPr>
          <w:rFonts w:ascii="Times New Roman" w:hAnsi="Times New Roman" w:cs="Times New Roman"/>
          <w:i/>
          <w:iCs/>
          <w:sz w:val="24"/>
          <w:szCs w:val="24"/>
        </w:rPr>
        <w:t>Moyo</w:t>
      </w:r>
      <w:proofErr w:type="spellEnd"/>
      <w:r w:rsidR="00877E5F" w:rsidRPr="00877E5F">
        <w:rPr>
          <w:rFonts w:ascii="Times New Roman" w:hAnsi="Times New Roman" w:cs="Times New Roman"/>
          <w:i/>
          <w:iCs/>
          <w:sz w:val="24"/>
          <w:szCs w:val="24"/>
        </w:rPr>
        <w:t xml:space="preserve"> &amp; Ors</w:t>
      </w:r>
      <w:r w:rsidR="00877E5F">
        <w:rPr>
          <w:rFonts w:ascii="Times New Roman" w:hAnsi="Times New Roman" w:cs="Times New Roman"/>
          <w:sz w:val="24"/>
          <w:szCs w:val="24"/>
        </w:rPr>
        <w:t xml:space="preserve"> HH 357/18 DUBE J (as she then was) said: </w:t>
      </w:r>
    </w:p>
    <w:p w14:paraId="08941CA9" w14:textId="1E817D22" w:rsidR="00877E5F" w:rsidRDefault="00877E5F" w:rsidP="00877E5F">
      <w:pPr>
        <w:spacing w:line="276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32F6A">
        <w:rPr>
          <w:rFonts w:ascii="Times New Roman" w:hAnsi="Times New Roman" w:cs="Times New Roman"/>
          <w:sz w:val="24"/>
          <w:szCs w:val="24"/>
        </w:rPr>
        <w:t xml:space="preserve">The primary objective of consolidating matters is to </w:t>
      </w:r>
      <w:r w:rsidR="00B85710">
        <w:rPr>
          <w:rFonts w:ascii="Times New Roman" w:hAnsi="Times New Roman" w:cs="Times New Roman"/>
          <w:sz w:val="24"/>
          <w:szCs w:val="24"/>
        </w:rPr>
        <w:t>a</w:t>
      </w:r>
      <w:r w:rsidR="00532F6A">
        <w:rPr>
          <w:rFonts w:ascii="Times New Roman" w:hAnsi="Times New Roman" w:cs="Times New Roman"/>
          <w:sz w:val="24"/>
          <w:szCs w:val="24"/>
        </w:rPr>
        <w:t>void delays in hearing matters and duplication of trials.</w:t>
      </w:r>
      <w:r w:rsidR="00532F6A">
        <w:t xml:space="preserve"> </w:t>
      </w:r>
      <w:r w:rsidR="00532F6A">
        <w:rPr>
          <w:rFonts w:ascii="Times New Roman" w:hAnsi="Times New Roman" w:cs="Times New Roman"/>
          <w:sz w:val="24"/>
          <w:szCs w:val="24"/>
        </w:rPr>
        <w:t xml:space="preserve">The overriding factor in an application for consolidation is that of convenience.  The court may consolidate matters where it has been shown that the cases sought to be consolidated involve </w:t>
      </w:r>
    </w:p>
    <w:p w14:paraId="4660F0AE" w14:textId="5E4E9AC3" w:rsidR="00532F6A" w:rsidRDefault="00532F6A" w:rsidP="00877E5F">
      <w:pPr>
        <w:spacing w:line="276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same parties,</w:t>
      </w:r>
    </w:p>
    <w:p w14:paraId="0FFE0ED1" w14:textId="5447766F" w:rsidR="00532F6A" w:rsidRDefault="00532F6A" w:rsidP="00877E5F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>
        <w:rPr>
          <w:rFonts w:ascii="Times New Roman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issues to be decided are related or common </w:t>
      </w:r>
    </w:p>
    <w:p w14:paraId="208B25F8" w14:textId="77777777" w:rsidR="00532F6A" w:rsidRDefault="00532F6A" w:rsidP="00877E5F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cases are pending in one court</w:t>
      </w:r>
    </w:p>
    <w:p w14:paraId="153C5DDC" w14:textId="3E7D9A8A" w:rsidR="00532F6A" w:rsidRDefault="00532F6A" w:rsidP="00877E5F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  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the parties have causes that can be joined in a single action.</w:t>
      </w:r>
      <w:r w:rsidR="00877E5F">
        <w:rPr>
          <w:rFonts w:ascii="Times New Roman" w:hAnsi="Times New Roman" w:cs="Times New Roman"/>
          <w:sz w:val="24"/>
          <w:szCs w:val="24"/>
        </w:rPr>
        <w:t>”</w:t>
      </w:r>
    </w:p>
    <w:p w14:paraId="47C6CC35" w14:textId="77777777" w:rsidR="00532F6A" w:rsidRDefault="00532F6A" w:rsidP="00877E5F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DDAEFDB" w14:textId="0D21EC85" w:rsidR="00877E5F" w:rsidRDefault="00877E5F" w:rsidP="0021342F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[15] </w:t>
      </w:r>
      <w:r w:rsidR="0021342F"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r w:rsidR="0021342F" w:rsidRPr="0021342F">
        <w:rPr>
          <w:rFonts w:ascii="Times New Roman" w:hAnsi="Times New Roman" w:cs="Times New Roman"/>
          <w:i/>
          <w:iCs/>
          <w:kern w:val="0"/>
          <w:sz w:val="24"/>
          <w:szCs w:val="24"/>
        </w:rPr>
        <w:t>casu</w:t>
      </w:r>
      <w:r w:rsidR="0021342F">
        <w:rPr>
          <w:rFonts w:ascii="Times New Roman" w:hAnsi="Times New Roman" w:cs="Times New Roman"/>
          <w:kern w:val="0"/>
          <w:sz w:val="24"/>
          <w:szCs w:val="24"/>
        </w:rPr>
        <w:t xml:space="preserve"> in the two matters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that are sought to be consolidated, </w:t>
      </w:r>
      <w:r w:rsidR="0021342F">
        <w:rPr>
          <w:rFonts w:ascii="Times New Roman" w:hAnsi="Times New Roman" w:cs="Times New Roman"/>
          <w:kern w:val="0"/>
          <w:sz w:val="24"/>
          <w:szCs w:val="24"/>
        </w:rPr>
        <w:t xml:space="preserve">the issues for trial; the witnesses; and the legal practitioners for the plaintiffs; and the legal practitioners for the defendant are the same.  In my view it would be convenient for the parties that the two matters be consolidated for trial. </w:t>
      </w:r>
      <w:r w:rsidR="00532F6A">
        <w:rPr>
          <w:rFonts w:ascii="Times New Roman" w:hAnsi="Times New Roman" w:cs="Times New Roman"/>
          <w:kern w:val="0"/>
          <w:sz w:val="24"/>
          <w:szCs w:val="24"/>
        </w:rPr>
        <w:t xml:space="preserve">See </w:t>
      </w:r>
      <w:proofErr w:type="spellStart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>Chakumhara</w:t>
      </w:r>
      <w:proofErr w:type="spellEnd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(nee </w:t>
      </w:r>
      <w:proofErr w:type="spellStart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>Mukwekwe</w:t>
      </w:r>
      <w:proofErr w:type="spellEnd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) v </w:t>
      </w:r>
      <w:proofErr w:type="spellStart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>Bvitira</w:t>
      </w:r>
      <w:proofErr w:type="spellEnd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&amp; </w:t>
      </w:r>
      <w:proofErr w:type="spellStart"/>
      <w:r w:rsidR="00532F6A" w:rsidRPr="00532F6A">
        <w:rPr>
          <w:rFonts w:ascii="Times New Roman" w:hAnsi="Times New Roman" w:cs="Times New Roman"/>
          <w:i/>
          <w:iCs/>
          <w:kern w:val="0"/>
          <w:sz w:val="24"/>
          <w:szCs w:val="24"/>
        </w:rPr>
        <w:t>Anor</w:t>
      </w:r>
      <w:proofErr w:type="spellEnd"/>
      <w:r w:rsidR="00532F6A">
        <w:rPr>
          <w:rFonts w:ascii="Times New Roman" w:hAnsi="Times New Roman" w:cs="Times New Roman"/>
          <w:kern w:val="0"/>
          <w:sz w:val="24"/>
          <w:szCs w:val="24"/>
        </w:rPr>
        <w:t xml:space="preserve"> HH 48/24; </w:t>
      </w:r>
      <w:r>
        <w:rPr>
          <w:rFonts w:ascii="Times New Roman" w:hAnsi="Times New Roman" w:cs="Times New Roman"/>
          <w:i/>
          <w:sz w:val="24"/>
          <w:szCs w:val="24"/>
        </w:rPr>
        <w:t>New Zealand Insurance Co Ltd v Stone</w:t>
      </w:r>
      <w:r>
        <w:rPr>
          <w:rFonts w:ascii="Times New Roman" w:hAnsi="Times New Roman" w:cs="Times New Roman"/>
          <w:sz w:val="24"/>
          <w:szCs w:val="24"/>
        </w:rPr>
        <w:t xml:space="preserve"> 1963 (3) SA 63 at p 69 A-C. </w:t>
      </w:r>
    </w:p>
    <w:p w14:paraId="7ED519BD" w14:textId="77777777" w:rsidR="0021342F" w:rsidRDefault="0021342F" w:rsidP="0021342F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2DDC3BF" w14:textId="01140730" w:rsidR="000A619B" w:rsidRDefault="0021342F" w:rsidP="00DB2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[1</w:t>
      </w:r>
      <w:r w:rsidR="00877E5F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] </w:t>
      </w:r>
      <w:r w:rsidR="000254E3" w:rsidRPr="000254E3">
        <w:rPr>
          <w:rFonts w:ascii="Times New Roman" w:hAnsi="Times New Roman" w:cs="Times New Roman"/>
          <w:sz w:val="24"/>
          <w:szCs w:val="24"/>
        </w:rPr>
        <w:t>Apart from the convenience</w:t>
      </w:r>
      <w:r w:rsidR="00921E1E">
        <w:rPr>
          <w:rFonts w:ascii="Times New Roman" w:hAnsi="Times New Roman" w:cs="Times New Roman"/>
          <w:sz w:val="24"/>
          <w:szCs w:val="24"/>
        </w:rPr>
        <w:t xml:space="preserve"> or inconvenience </w:t>
      </w:r>
      <w:r w:rsidR="000254E3" w:rsidRPr="000254E3">
        <w:rPr>
          <w:rFonts w:ascii="Times New Roman" w:hAnsi="Times New Roman" w:cs="Times New Roman"/>
          <w:sz w:val="24"/>
          <w:szCs w:val="24"/>
        </w:rPr>
        <w:t>of the parties, the convenience of the </w:t>
      </w:r>
      <w:r w:rsidR="000758A1">
        <w:rPr>
          <w:rFonts w:ascii="Times New Roman" w:hAnsi="Times New Roman" w:cs="Times New Roman"/>
          <w:sz w:val="24"/>
          <w:szCs w:val="24"/>
        </w:rPr>
        <w:t>c</w:t>
      </w:r>
      <w:r w:rsidR="000254E3" w:rsidRPr="000254E3">
        <w:rPr>
          <w:rFonts w:ascii="Times New Roman" w:hAnsi="Times New Roman" w:cs="Times New Roman"/>
          <w:sz w:val="24"/>
          <w:szCs w:val="24"/>
        </w:rPr>
        <w:t>ourt should also be considered. It is important to note that</w:t>
      </w:r>
      <w:r>
        <w:rPr>
          <w:rFonts w:ascii="Times New Roman" w:hAnsi="Times New Roman" w:cs="Times New Roman"/>
          <w:sz w:val="24"/>
          <w:szCs w:val="24"/>
        </w:rPr>
        <w:t xml:space="preserve"> in both matters</w:t>
      </w:r>
      <w:r w:rsidR="000254E3" w:rsidRPr="000254E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the same</w:t>
      </w:r>
      <w:r w:rsidR="00594CB8">
        <w:rPr>
          <w:rFonts w:ascii="Times New Roman" w:hAnsi="Times New Roman" w:cs="Times New Roman"/>
          <w:sz w:val="24"/>
          <w:szCs w:val="24"/>
        </w:rPr>
        <w:t xml:space="preserve"> issues will be considered</w:t>
      </w:r>
      <w:r>
        <w:rPr>
          <w:rFonts w:ascii="Times New Roman" w:hAnsi="Times New Roman" w:cs="Times New Roman"/>
          <w:sz w:val="24"/>
          <w:szCs w:val="24"/>
        </w:rPr>
        <w:t xml:space="preserve"> and be determined. Placing the matters before two judges </w:t>
      </w:r>
      <w:r w:rsidR="00594CB8">
        <w:rPr>
          <w:rFonts w:ascii="Times New Roman" w:hAnsi="Times New Roman" w:cs="Times New Roman"/>
          <w:sz w:val="24"/>
          <w:szCs w:val="24"/>
        </w:rPr>
        <w:t xml:space="preserve">might result in conflicting decisions on </w:t>
      </w:r>
      <w:r>
        <w:rPr>
          <w:rFonts w:ascii="Times New Roman" w:hAnsi="Times New Roman" w:cs="Times New Roman"/>
          <w:sz w:val="24"/>
          <w:szCs w:val="24"/>
        </w:rPr>
        <w:t>the same</w:t>
      </w:r>
      <w:r w:rsidR="00594CB8">
        <w:rPr>
          <w:rFonts w:ascii="Times New Roman" w:hAnsi="Times New Roman" w:cs="Times New Roman"/>
          <w:sz w:val="24"/>
          <w:szCs w:val="24"/>
        </w:rPr>
        <w:t xml:space="preserve"> issues. </w:t>
      </w:r>
      <w:r w:rsidR="00DB2C7C">
        <w:rPr>
          <w:rFonts w:ascii="Times New Roman" w:hAnsi="Times New Roman" w:cs="Times New Roman"/>
          <w:sz w:val="24"/>
          <w:szCs w:val="24"/>
        </w:rPr>
        <w:t xml:space="preserve">Two conflicting decisions on the same issues is something that, if possible, must be avoided. </w:t>
      </w:r>
      <w:r w:rsidR="00594CB8">
        <w:rPr>
          <w:rFonts w:ascii="Times New Roman" w:hAnsi="Times New Roman" w:cs="Times New Roman"/>
          <w:sz w:val="24"/>
          <w:szCs w:val="24"/>
        </w:rPr>
        <w:t xml:space="preserve">Again, the plaintiff will call the same witness in both matters, and the defendant will also call the same </w:t>
      </w:r>
      <w:r w:rsidR="000254E3" w:rsidRPr="000254E3">
        <w:rPr>
          <w:rFonts w:ascii="Times New Roman" w:hAnsi="Times New Roman" w:cs="Times New Roman"/>
          <w:sz w:val="24"/>
          <w:szCs w:val="24"/>
        </w:rPr>
        <w:t>witnesses </w:t>
      </w:r>
      <w:r w:rsidR="00594CB8">
        <w:rPr>
          <w:rFonts w:ascii="Times New Roman" w:hAnsi="Times New Roman" w:cs="Times New Roman"/>
          <w:sz w:val="24"/>
          <w:szCs w:val="24"/>
        </w:rPr>
        <w:t xml:space="preserve">in both matters. This would </w:t>
      </w:r>
      <w:r w:rsidR="00594CB8">
        <w:rPr>
          <w:rFonts w:ascii="Times New Roman" w:hAnsi="Times New Roman" w:cs="Times New Roman"/>
          <w:sz w:val="24"/>
          <w:szCs w:val="24"/>
        </w:rPr>
        <w:lastRenderedPageBreak/>
        <w:t>mean that two judges of this court</w:t>
      </w:r>
      <w:r w:rsidR="00DB2C7C">
        <w:rPr>
          <w:rFonts w:ascii="Times New Roman" w:hAnsi="Times New Roman" w:cs="Times New Roman"/>
          <w:sz w:val="24"/>
          <w:szCs w:val="24"/>
        </w:rPr>
        <w:t xml:space="preserve"> presiding over two different courts</w:t>
      </w:r>
      <w:r w:rsidR="00594CB8">
        <w:rPr>
          <w:rFonts w:ascii="Times New Roman" w:hAnsi="Times New Roman" w:cs="Times New Roman"/>
          <w:sz w:val="24"/>
          <w:szCs w:val="24"/>
        </w:rPr>
        <w:t xml:space="preserve"> </w:t>
      </w:r>
      <w:r w:rsidR="00092A4A">
        <w:rPr>
          <w:rFonts w:ascii="Times New Roman" w:hAnsi="Times New Roman" w:cs="Times New Roman"/>
          <w:sz w:val="24"/>
          <w:szCs w:val="24"/>
        </w:rPr>
        <w:t>will have to listen to the same witness</w:t>
      </w:r>
      <w:r w:rsidR="00B672B4">
        <w:rPr>
          <w:rFonts w:ascii="Times New Roman" w:hAnsi="Times New Roman" w:cs="Times New Roman"/>
          <w:sz w:val="24"/>
          <w:szCs w:val="24"/>
        </w:rPr>
        <w:t>es</w:t>
      </w:r>
      <w:r w:rsidR="00092A4A">
        <w:rPr>
          <w:rFonts w:ascii="Times New Roman" w:hAnsi="Times New Roman" w:cs="Times New Roman"/>
          <w:sz w:val="24"/>
          <w:szCs w:val="24"/>
        </w:rPr>
        <w:t xml:space="preserve"> giving basically the same evidence. </w:t>
      </w:r>
      <w:r w:rsidR="00594CB8">
        <w:rPr>
          <w:rFonts w:ascii="Times New Roman" w:hAnsi="Times New Roman" w:cs="Times New Roman"/>
          <w:sz w:val="24"/>
          <w:szCs w:val="24"/>
        </w:rPr>
        <w:t xml:space="preserve"> </w:t>
      </w:r>
      <w:r w:rsidR="00DB2C7C">
        <w:rPr>
          <w:rFonts w:ascii="Times New Roman" w:hAnsi="Times New Roman" w:cs="Times New Roman"/>
          <w:sz w:val="24"/>
          <w:szCs w:val="24"/>
        </w:rPr>
        <w:t>In addition,</w:t>
      </w:r>
      <w:r w:rsidR="00092A4A">
        <w:rPr>
          <w:rFonts w:ascii="Times New Roman" w:hAnsi="Times New Roman" w:cs="Times New Roman"/>
          <w:sz w:val="24"/>
          <w:szCs w:val="24"/>
        </w:rPr>
        <w:t xml:space="preserve"> the two judges may have to consider and make credibility findings of these witnesses</w:t>
      </w:r>
      <w:r w:rsidR="00DB2C7C">
        <w:rPr>
          <w:rFonts w:ascii="Times New Roman" w:hAnsi="Times New Roman" w:cs="Times New Roman"/>
          <w:sz w:val="24"/>
          <w:szCs w:val="24"/>
        </w:rPr>
        <w:t xml:space="preserve"> and </w:t>
      </w:r>
      <w:r w:rsidR="00594CB8">
        <w:rPr>
          <w:rFonts w:ascii="Times New Roman" w:hAnsi="Times New Roman" w:cs="Times New Roman"/>
          <w:sz w:val="24"/>
          <w:szCs w:val="24"/>
        </w:rPr>
        <w:t xml:space="preserve">there is a </w:t>
      </w:r>
      <w:r w:rsidR="00DB2C7C">
        <w:rPr>
          <w:rFonts w:ascii="Times New Roman" w:hAnsi="Times New Roman" w:cs="Times New Roman"/>
          <w:sz w:val="24"/>
          <w:szCs w:val="24"/>
        </w:rPr>
        <w:t>possibility</w:t>
      </w:r>
      <w:r w:rsidR="00594CB8">
        <w:rPr>
          <w:rFonts w:ascii="Times New Roman" w:hAnsi="Times New Roman" w:cs="Times New Roman"/>
          <w:sz w:val="24"/>
          <w:szCs w:val="24"/>
        </w:rPr>
        <w:t xml:space="preserve"> of conflicting credibility findings. </w:t>
      </w:r>
      <w:r w:rsidR="00092A4A">
        <w:rPr>
          <w:rFonts w:ascii="Times New Roman" w:hAnsi="Times New Roman" w:cs="Times New Roman"/>
          <w:sz w:val="24"/>
          <w:szCs w:val="24"/>
        </w:rPr>
        <w:t xml:space="preserve">Even if the two matters are placed before the same </w:t>
      </w:r>
      <w:r w:rsidR="00DB2C7C">
        <w:rPr>
          <w:rFonts w:ascii="Times New Roman" w:hAnsi="Times New Roman" w:cs="Times New Roman"/>
          <w:sz w:val="24"/>
          <w:szCs w:val="24"/>
        </w:rPr>
        <w:t xml:space="preserve">trial </w:t>
      </w:r>
      <w:r w:rsidR="00092A4A">
        <w:rPr>
          <w:rFonts w:ascii="Times New Roman" w:hAnsi="Times New Roman" w:cs="Times New Roman"/>
          <w:sz w:val="24"/>
          <w:szCs w:val="24"/>
        </w:rPr>
        <w:t>judge, it would mean</w:t>
      </w:r>
      <w:r w:rsidR="00D03434">
        <w:rPr>
          <w:rFonts w:ascii="Times New Roman" w:hAnsi="Times New Roman" w:cs="Times New Roman"/>
          <w:sz w:val="24"/>
          <w:szCs w:val="24"/>
        </w:rPr>
        <w:t xml:space="preserve"> </w:t>
      </w:r>
      <w:r w:rsidR="00092A4A">
        <w:rPr>
          <w:rFonts w:ascii="Times New Roman" w:hAnsi="Times New Roman" w:cs="Times New Roman"/>
          <w:sz w:val="24"/>
          <w:szCs w:val="24"/>
        </w:rPr>
        <w:t>th</w:t>
      </w:r>
      <w:r w:rsidR="00DB2C7C">
        <w:rPr>
          <w:rFonts w:ascii="Times New Roman" w:hAnsi="Times New Roman" w:cs="Times New Roman"/>
          <w:sz w:val="24"/>
          <w:szCs w:val="24"/>
        </w:rPr>
        <w:t xml:space="preserve">at </w:t>
      </w:r>
      <w:r w:rsidR="00092A4A">
        <w:rPr>
          <w:rFonts w:ascii="Times New Roman" w:hAnsi="Times New Roman" w:cs="Times New Roman"/>
          <w:sz w:val="24"/>
          <w:szCs w:val="24"/>
        </w:rPr>
        <w:t xml:space="preserve">judge will </w:t>
      </w:r>
      <w:r w:rsidR="00D03434">
        <w:rPr>
          <w:rFonts w:ascii="Times New Roman" w:hAnsi="Times New Roman" w:cs="Times New Roman"/>
          <w:sz w:val="24"/>
          <w:szCs w:val="24"/>
        </w:rPr>
        <w:t xml:space="preserve">consider and determine the same issues twice, and </w:t>
      </w:r>
      <w:r w:rsidR="00092A4A">
        <w:rPr>
          <w:rFonts w:ascii="Times New Roman" w:hAnsi="Times New Roman" w:cs="Times New Roman"/>
          <w:sz w:val="24"/>
          <w:szCs w:val="24"/>
        </w:rPr>
        <w:t>listen to the same witnesses twice</w:t>
      </w:r>
      <w:r w:rsidR="000A619B">
        <w:rPr>
          <w:rFonts w:ascii="Times New Roman" w:hAnsi="Times New Roman" w:cs="Times New Roman"/>
          <w:sz w:val="24"/>
          <w:szCs w:val="24"/>
        </w:rPr>
        <w:t>, and make credibility finding</w:t>
      </w:r>
      <w:r w:rsidR="00FE3B5F">
        <w:rPr>
          <w:rFonts w:ascii="Times New Roman" w:hAnsi="Times New Roman" w:cs="Times New Roman"/>
          <w:sz w:val="24"/>
          <w:szCs w:val="24"/>
        </w:rPr>
        <w:t>s</w:t>
      </w:r>
      <w:r w:rsidR="000A619B">
        <w:rPr>
          <w:rFonts w:ascii="Times New Roman" w:hAnsi="Times New Roman" w:cs="Times New Roman"/>
          <w:sz w:val="24"/>
          <w:szCs w:val="24"/>
        </w:rPr>
        <w:t xml:space="preserve"> on the same witnesses twice. </w:t>
      </w:r>
      <w:r w:rsidR="00D03434">
        <w:rPr>
          <w:rFonts w:ascii="Times New Roman" w:hAnsi="Times New Roman" w:cs="Times New Roman"/>
          <w:sz w:val="24"/>
          <w:szCs w:val="24"/>
        </w:rPr>
        <w:t>Furthermore, the</w:t>
      </w:r>
      <w:r w:rsidR="00092A4A">
        <w:rPr>
          <w:rFonts w:ascii="Times New Roman" w:hAnsi="Times New Roman" w:cs="Times New Roman"/>
          <w:sz w:val="24"/>
          <w:szCs w:val="24"/>
        </w:rPr>
        <w:t xml:space="preserve"> court will have to deploy the same amount of resources</w:t>
      </w:r>
      <w:r w:rsidR="00D03434">
        <w:rPr>
          <w:rFonts w:ascii="Times New Roman" w:hAnsi="Times New Roman" w:cs="Times New Roman"/>
          <w:sz w:val="24"/>
          <w:szCs w:val="24"/>
        </w:rPr>
        <w:t xml:space="preserve"> twice for the purposes </w:t>
      </w:r>
      <w:r w:rsidR="0022280B">
        <w:rPr>
          <w:rFonts w:ascii="Times New Roman" w:hAnsi="Times New Roman" w:cs="Times New Roman"/>
          <w:sz w:val="24"/>
          <w:szCs w:val="24"/>
        </w:rPr>
        <w:t xml:space="preserve">of hearing the same witnesses and </w:t>
      </w:r>
      <w:r w:rsidR="00D03434">
        <w:rPr>
          <w:rFonts w:ascii="Times New Roman" w:hAnsi="Times New Roman" w:cs="Times New Roman"/>
          <w:sz w:val="24"/>
          <w:szCs w:val="24"/>
        </w:rPr>
        <w:t>considering and determining the same issues</w:t>
      </w:r>
      <w:r w:rsidR="000A619B">
        <w:rPr>
          <w:rFonts w:ascii="Times New Roman" w:hAnsi="Times New Roman" w:cs="Times New Roman"/>
          <w:sz w:val="24"/>
          <w:szCs w:val="24"/>
        </w:rPr>
        <w:t xml:space="preserve"> argued by the same legal practitioners. Such would not be convenient to the court.</w:t>
      </w:r>
    </w:p>
    <w:p w14:paraId="45152B0E" w14:textId="77777777" w:rsidR="000A619B" w:rsidRDefault="000A619B" w:rsidP="00DB2C7C">
      <w:pPr>
        <w:rPr>
          <w:rFonts w:ascii="Times New Roman" w:hAnsi="Times New Roman" w:cs="Times New Roman"/>
          <w:sz w:val="24"/>
          <w:szCs w:val="24"/>
        </w:rPr>
      </w:pPr>
    </w:p>
    <w:p w14:paraId="13932284" w14:textId="26DFA5C4" w:rsidR="0021342F" w:rsidRDefault="000A619B" w:rsidP="00DB2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[17] </w:t>
      </w:r>
      <w:r w:rsidR="00DB2C7C">
        <w:rPr>
          <w:rFonts w:ascii="Times New Roman" w:hAnsi="Times New Roman" w:cs="Times New Roman"/>
          <w:sz w:val="24"/>
          <w:szCs w:val="24"/>
        </w:rPr>
        <w:t xml:space="preserve">There is also a </w:t>
      </w:r>
      <w:r w:rsidR="00DB2C7C" w:rsidRPr="000254E3">
        <w:rPr>
          <w:rFonts w:ascii="Times New Roman" w:hAnsi="Times New Roman" w:cs="Times New Roman"/>
          <w:sz w:val="24"/>
          <w:szCs w:val="24"/>
        </w:rPr>
        <w:t>logistical problem</w:t>
      </w:r>
      <w:r w:rsidR="00DB2C7C">
        <w:rPr>
          <w:rFonts w:ascii="Times New Roman" w:hAnsi="Times New Roman" w:cs="Times New Roman"/>
          <w:sz w:val="24"/>
          <w:szCs w:val="24"/>
        </w:rPr>
        <w:t xml:space="preserve"> to consider</w:t>
      </w:r>
      <w:r w:rsidR="00FE3B5F">
        <w:rPr>
          <w:rFonts w:ascii="Times New Roman" w:hAnsi="Times New Roman" w:cs="Times New Roman"/>
          <w:sz w:val="24"/>
          <w:szCs w:val="24"/>
        </w:rPr>
        <w:t xml:space="preserve">. </w:t>
      </w:r>
      <w:r w:rsidR="00DB2C7C">
        <w:rPr>
          <w:rFonts w:ascii="Times New Roman" w:hAnsi="Times New Roman" w:cs="Times New Roman"/>
          <w:sz w:val="24"/>
          <w:szCs w:val="24"/>
        </w:rPr>
        <w:t xml:space="preserve"> </w:t>
      </w:r>
      <w:r w:rsidR="00FE3B5F">
        <w:rPr>
          <w:rFonts w:ascii="Times New Roman" w:hAnsi="Times New Roman" w:cs="Times New Roman"/>
          <w:sz w:val="24"/>
          <w:szCs w:val="24"/>
        </w:rPr>
        <w:t>T</w:t>
      </w:r>
      <w:r w:rsidR="0022280B">
        <w:rPr>
          <w:rFonts w:ascii="Times New Roman" w:hAnsi="Times New Roman" w:cs="Times New Roman"/>
          <w:sz w:val="24"/>
          <w:szCs w:val="24"/>
        </w:rPr>
        <w:t>he court has</w:t>
      </w:r>
      <w:r w:rsidR="00DB2C7C">
        <w:rPr>
          <w:rFonts w:ascii="Times New Roman" w:hAnsi="Times New Roman" w:cs="Times New Roman"/>
          <w:sz w:val="24"/>
          <w:szCs w:val="24"/>
        </w:rPr>
        <w:t xml:space="preserve"> to ensure </w:t>
      </w:r>
      <w:r w:rsidR="00DB2C7C" w:rsidRPr="000254E3">
        <w:rPr>
          <w:rFonts w:ascii="Times New Roman" w:hAnsi="Times New Roman" w:cs="Times New Roman"/>
          <w:sz w:val="24"/>
          <w:szCs w:val="24"/>
        </w:rPr>
        <w:t>that the date</w:t>
      </w:r>
      <w:r w:rsidR="00DB2C7C">
        <w:rPr>
          <w:rFonts w:ascii="Times New Roman" w:hAnsi="Times New Roman" w:cs="Times New Roman"/>
          <w:sz w:val="24"/>
          <w:szCs w:val="24"/>
        </w:rPr>
        <w:t xml:space="preserve"> and time</w:t>
      </w:r>
      <w:r w:rsidR="00DB2C7C" w:rsidRPr="000254E3">
        <w:rPr>
          <w:rFonts w:ascii="Times New Roman" w:hAnsi="Times New Roman" w:cs="Times New Roman"/>
          <w:sz w:val="24"/>
          <w:szCs w:val="24"/>
        </w:rPr>
        <w:t> upon which the</w:t>
      </w:r>
      <w:r w:rsidR="00DB2C7C">
        <w:rPr>
          <w:rFonts w:ascii="Times New Roman" w:hAnsi="Times New Roman" w:cs="Times New Roman"/>
          <w:sz w:val="24"/>
          <w:szCs w:val="24"/>
        </w:rPr>
        <w:t xml:space="preserve"> two matters are set down </w:t>
      </w:r>
      <w:r w:rsidR="00DB2C7C" w:rsidRPr="000254E3">
        <w:rPr>
          <w:rFonts w:ascii="Times New Roman" w:hAnsi="Times New Roman" w:cs="Times New Roman"/>
          <w:sz w:val="24"/>
          <w:szCs w:val="24"/>
        </w:rPr>
        <w:t>do not coincide.  </w:t>
      </w:r>
      <w:r w:rsidR="00DB2C7C">
        <w:rPr>
          <w:rFonts w:ascii="Times New Roman" w:hAnsi="Times New Roman" w:cs="Times New Roman"/>
          <w:sz w:val="24"/>
          <w:szCs w:val="24"/>
        </w:rPr>
        <w:t>This is in</w:t>
      </w:r>
      <w:r w:rsidR="00DB2C7C" w:rsidRPr="000254E3">
        <w:rPr>
          <w:rFonts w:ascii="Times New Roman" w:hAnsi="Times New Roman" w:cs="Times New Roman"/>
          <w:sz w:val="24"/>
          <w:szCs w:val="24"/>
        </w:rPr>
        <w:t> view of the fact that the same </w:t>
      </w:r>
      <w:r w:rsidR="00DB2C7C">
        <w:rPr>
          <w:rFonts w:ascii="Times New Roman" w:hAnsi="Times New Roman" w:cs="Times New Roman"/>
          <w:sz w:val="24"/>
          <w:szCs w:val="24"/>
        </w:rPr>
        <w:t xml:space="preserve">legal practitioners </w:t>
      </w:r>
      <w:r w:rsidR="00DB2C7C" w:rsidRPr="000254E3">
        <w:rPr>
          <w:rFonts w:ascii="Times New Roman" w:hAnsi="Times New Roman" w:cs="Times New Roman"/>
          <w:sz w:val="24"/>
          <w:szCs w:val="24"/>
        </w:rPr>
        <w:t>appear </w:t>
      </w:r>
      <w:r w:rsidR="00DB2C7C">
        <w:rPr>
          <w:rFonts w:ascii="Times New Roman" w:hAnsi="Times New Roman" w:cs="Times New Roman"/>
          <w:sz w:val="24"/>
          <w:szCs w:val="24"/>
        </w:rPr>
        <w:t>for the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="00DB2C7C">
        <w:rPr>
          <w:rFonts w:ascii="Times New Roman" w:hAnsi="Times New Roman" w:cs="Times New Roman"/>
          <w:sz w:val="24"/>
          <w:szCs w:val="24"/>
        </w:rPr>
        <w:t xml:space="preserve"> and the same legal practitioners appear for the defendant. </w:t>
      </w:r>
      <w:r w:rsidR="00C93150">
        <w:rPr>
          <w:rFonts w:ascii="Times New Roman" w:hAnsi="Times New Roman" w:cs="Times New Roman"/>
          <w:sz w:val="24"/>
          <w:szCs w:val="24"/>
        </w:rPr>
        <w:t>T</w:t>
      </w:r>
      <w:r w:rsidR="00DB2C7C">
        <w:rPr>
          <w:rFonts w:ascii="Times New Roman" w:hAnsi="Times New Roman" w:cs="Times New Roman"/>
          <w:sz w:val="24"/>
          <w:szCs w:val="24"/>
        </w:rPr>
        <w:t xml:space="preserve">he same witnesses would testify for the plaintiffs in both matters and the same witnesses would testify for the defendant in both matters. </w:t>
      </w:r>
      <w:r w:rsidR="000742AB">
        <w:rPr>
          <w:rFonts w:ascii="Times New Roman" w:hAnsi="Times New Roman" w:cs="Times New Roman"/>
          <w:sz w:val="24"/>
          <w:szCs w:val="24"/>
        </w:rPr>
        <w:t xml:space="preserve">Again, such would not be convenient to the court. </w:t>
      </w:r>
    </w:p>
    <w:p w14:paraId="5B893222" w14:textId="77777777" w:rsidR="00D03434" w:rsidRDefault="00D03434" w:rsidP="000254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33F916" w14:textId="2B5B4D07" w:rsidR="00921E1E" w:rsidRPr="0022280B" w:rsidRDefault="00D03434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0742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] Having regard to all the circumstances of </w:t>
      </w:r>
      <w:r w:rsidR="00DB2C7C">
        <w:rPr>
          <w:rFonts w:ascii="Times New Roman" w:hAnsi="Times New Roman" w:cs="Times New Roman"/>
          <w:sz w:val="24"/>
          <w:szCs w:val="24"/>
        </w:rPr>
        <w:t>the two matters</w:t>
      </w:r>
      <w:r>
        <w:rPr>
          <w:rFonts w:ascii="Times New Roman" w:hAnsi="Times New Roman" w:cs="Times New Roman"/>
          <w:sz w:val="24"/>
          <w:szCs w:val="24"/>
        </w:rPr>
        <w:t xml:space="preserve">, I am of the view that the convenience </w:t>
      </w:r>
      <w:r w:rsidR="00B43398">
        <w:rPr>
          <w:rFonts w:ascii="Times New Roman" w:hAnsi="Times New Roman" w:cs="Times New Roman"/>
          <w:sz w:val="24"/>
          <w:szCs w:val="24"/>
        </w:rPr>
        <w:t xml:space="preserve">occasioned by a consolidated trial </w:t>
      </w:r>
      <w:r w:rsidR="00B43398" w:rsidRPr="000742AB">
        <w:rPr>
          <w:rFonts w:ascii="Times New Roman" w:hAnsi="Times New Roman" w:cs="Times New Roman"/>
          <w:sz w:val="24"/>
          <w:szCs w:val="24"/>
          <w:u w:val="single"/>
        </w:rPr>
        <w:t>far outweighs</w:t>
      </w:r>
      <w:r w:rsidR="00B43398">
        <w:rPr>
          <w:rFonts w:ascii="Times New Roman" w:hAnsi="Times New Roman" w:cs="Times New Roman"/>
          <w:sz w:val="24"/>
          <w:szCs w:val="24"/>
        </w:rPr>
        <w:t xml:space="preserve"> any prejudice, or potential prejudice, or inconvenience which the defendant may suffer if such consolidation of trials is directed. </w:t>
      </w:r>
      <w:r w:rsidR="00743074">
        <w:rPr>
          <w:rFonts w:ascii="Times New Roman" w:hAnsi="Times New Roman" w:cs="Times New Roman"/>
          <w:sz w:val="24"/>
          <w:szCs w:val="24"/>
        </w:rPr>
        <w:t>In fact, this is a text-book case for a consolidation</w:t>
      </w:r>
      <w:r w:rsidR="00921E1E">
        <w:rPr>
          <w:rFonts w:ascii="Times New Roman" w:hAnsi="Times New Roman" w:cs="Times New Roman"/>
          <w:sz w:val="24"/>
          <w:szCs w:val="24"/>
        </w:rPr>
        <w:t xml:space="preserve"> for trial</w:t>
      </w:r>
      <w:r w:rsidR="00743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8F48B" w14:textId="77777777" w:rsidR="00921E1E" w:rsidRDefault="00921E1E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920166A" w14:textId="39E7AA31" w:rsidR="007C47BD" w:rsidRPr="007C47BD" w:rsidRDefault="007C47BD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7C47BD">
        <w:rPr>
          <w:rFonts w:ascii="Times New Roman" w:hAnsi="Times New Roman" w:cs="Times New Roman"/>
          <w:sz w:val="24"/>
          <w:szCs w:val="24"/>
          <w:u w:val="single"/>
        </w:rPr>
        <w:t xml:space="preserve">Disposition </w:t>
      </w:r>
    </w:p>
    <w:p w14:paraId="25DCB1EC" w14:textId="6EE58439" w:rsidR="007C47BD" w:rsidRDefault="007C47BD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circumstances, I direct</w:t>
      </w:r>
      <w:r w:rsidR="00074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terms of r 49(10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742AB">
        <w:rPr>
          <w:rFonts w:ascii="Times New Roman" w:hAnsi="Times New Roman" w:cs="Times New Roman"/>
          <w:sz w:val="24"/>
          <w:szCs w:val="24"/>
        </w:rPr>
        <w:t xml:space="preserve">of the High Court Rules, 2021 that </w:t>
      </w:r>
      <w:r>
        <w:rPr>
          <w:rFonts w:ascii="Times New Roman" w:hAnsi="Times New Roman" w:cs="Times New Roman"/>
          <w:sz w:val="24"/>
          <w:szCs w:val="24"/>
        </w:rPr>
        <w:t xml:space="preserve">the two cases i.e., </w:t>
      </w:r>
      <w:r w:rsidRPr="007C47BD">
        <w:rPr>
          <w:rFonts w:ascii="Times New Roman" w:hAnsi="Times New Roman" w:cs="Times New Roman"/>
          <w:i/>
          <w:iCs/>
          <w:sz w:val="24"/>
          <w:szCs w:val="24"/>
        </w:rPr>
        <w:t>Spencer’s Creek (Private) Ltd v ZIMNAT General Insurance</w:t>
      </w:r>
      <w:r>
        <w:rPr>
          <w:rFonts w:ascii="Times New Roman" w:hAnsi="Times New Roman" w:cs="Times New Roman"/>
          <w:sz w:val="24"/>
          <w:szCs w:val="24"/>
        </w:rPr>
        <w:t xml:space="preserve"> HC 1801/22 </w:t>
      </w:r>
      <w:r w:rsidRPr="007C47BD">
        <w:rPr>
          <w:rFonts w:ascii="Times New Roman" w:hAnsi="Times New Roman" w:cs="Times New Roman"/>
          <w:i/>
          <w:iCs/>
          <w:sz w:val="24"/>
          <w:szCs w:val="24"/>
        </w:rPr>
        <w:t xml:space="preserve">and Africa </w:t>
      </w:r>
      <w:proofErr w:type="spellStart"/>
      <w:r w:rsidRPr="007C47BD">
        <w:rPr>
          <w:rFonts w:ascii="Times New Roman" w:hAnsi="Times New Roman" w:cs="Times New Roman"/>
          <w:i/>
          <w:iCs/>
          <w:sz w:val="24"/>
          <w:szCs w:val="24"/>
        </w:rPr>
        <w:t>Albida</w:t>
      </w:r>
      <w:proofErr w:type="spellEnd"/>
      <w:r w:rsidRPr="007C47BD">
        <w:rPr>
          <w:rFonts w:ascii="Times New Roman" w:hAnsi="Times New Roman" w:cs="Times New Roman"/>
          <w:i/>
          <w:iCs/>
          <w:sz w:val="24"/>
          <w:szCs w:val="24"/>
        </w:rPr>
        <w:t xml:space="preserve"> Tourism (Private) Limited and Victoria Falls Safari Lodge Hotel (Private) Limited v ZIMNAT General Insurance </w:t>
      </w:r>
      <w:r>
        <w:rPr>
          <w:rFonts w:ascii="Times New Roman" w:hAnsi="Times New Roman" w:cs="Times New Roman"/>
          <w:sz w:val="24"/>
          <w:szCs w:val="24"/>
        </w:rPr>
        <w:t xml:space="preserve">HC 1800/22 be consolidated for the purposes of trial. </w:t>
      </w:r>
    </w:p>
    <w:p w14:paraId="7CD2BD70" w14:textId="77777777" w:rsidR="003D0E06" w:rsidRDefault="003D0E06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B7F0043" w14:textId="77777777" w:rsidR="003D0E06" w:rsidRDefault="003D0E06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209561" w14:textId="77777777" w:rsidR="00867A1C" w:rsidRDefault="00867A1C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05B1FC" w14:textId="77777777" w:rsidR="000742AB" w:rsidRDefault="000742AB" w:rsidP="00D034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748DB2" w14:textId="1EE16818" w:rsidR="003D0E06" w:rsidRDefault="003D0E06" w:rsidP="005F4E1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E06">
        <w:rPr>
          <w:rFonts w:ascii="Times New Roman" w:hAnsi="Times New Roman" w:cs="Times New Roman"/>
          <w:i/>
          <w:iCs/>
          <w:sz w:val="24"/>
          <w:szCs w:val="24"/>
        </w:rPr>
        <w:t>Webb Low &amp; Barry Inc. Ben Baron &amp; Partners</w:t>
      </w:r>
      <w:r>
        <w:rPr>
          <w:rFonts w:ascii="Times New Roman" w:hAnsi="Times New Roman" w:cs="Times New Roman"/>
          <w:sz w:val="24"/>
          <w:szCs w:val="24"/>
        </w:rPr>
        <w:t xml:space="preserve">, plaintiffs’ legal practitioners  </w:t>
      </w:r>
    </w:p>
    <w:p w14:paraId="1DDC3EE3" w14:textId="754BA8F6" w:rsidR="003D0E06" w:rsidRPr="00B43398" w:rsidRDefault="003D0E06" w:rsidP="005F4E1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4E16">
        <w:rPr>
          <w:rFonts w:ascii="Times New Roman" w:hAnsi="Times New Roman" w:cs="Times New Roman"/>
          <w:i/>
          <w:iCs/>
          <w:sz w:val="24"/>
          <w:szCs w:val="24"/>
        </w:rPr>
        <w:lastRenderedPageBreak/>
        <w:t>A</w:t>
      </w:r>
      <w:r w:rsidR="005F4E16" w:rsidRPr="005F4E16">
        <w:rPr>
          <w:rFonts w:ascii="Times New Roman" w:hAnsi="Times New Roman" w:cs="Times New Roman"/>
          <w:i/>
          <w:iCs/>
          <w:sz w:val="24"/>
          <w:szCs w:val="24"/>
        </w:rPr>
        <w:t>therstone</w:t>
      </w:r>
      <w:proofErr w:type="spellEnd"/>
      <w:r w:rsidR="005F4E16" w:rsidRPr="005F4E16">
        <w:rPr>
          <w:rFonts w:ascii="Times New Roman" w:hAnsi="Times New Roman" w:cs="Times New Roman"/>
          <w:i/>
          <w:iCs/>
          <w:sz w:val="24"/>
          <w:szCs w:val="24"/>
        </w:rPr>
        <w:t xml:space="preserve"> &amp; cook</w:t>
      </w:r>
      <w:r w:rsidR="005F4E16">
        <w:rPr>
          <w:rFonts w:ascii="Times New Roman" w:hAnsi="Times New Roman" w:cs="Times New Roman"/>
          <w:sz w:val="24"/>
          <w:szCs w:val="24"/>
        </w:rPr>
        <w:t xml:space="preserve">, defendant’s legal practitioners </w:t>
      </w:r>
    </w:p>
    <w:sectPr w:rsidR="003D0E06" w:rsidRPr="00B433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D66DD" w14:textId="77777777" w:rsidR="007136A2" w:rsidRDefault="007136A2" w:rsidP="007136A2">
      <w:pPr>
        <w:spacing w:line="240" w:lineRule="auto"/>
      </w:pPr>
      <w:r>
        <w:separator/>
      </w:r>
    </w:p>
  </w:endnote>
  <w:endnote w:type="continuationSeparator" w:id="0">
    <w:p w14:paraId="14483034" w14:textId="77777777" w:rsidR="007136A2" w:rsidRDefault="007136A2" w:rsidP="00713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DECD6" w14:textId="77777777" w:rsidR="007136A2" w:rsidRDefault="007136A2" w:rsidP="007136A2">
      <w:pPr>
        <w:spacing w:line="240" w:lineRule="auto"/>
      </w:pPr>
      <w:r>
        <w:separator/>
      </w:r>
    </w:p>
  </w:footnote>
  <w:footnote w:type="continuationSeparator" w:id="0">
    <w:p w14:paraId="782FE1E2" w14:textId="77777777" w:rsidR="007136A2" w:rsidRDefault="007136A2" w:rsidP="00713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5912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ABEDCA" w14:textId="77777777" w:rsidR="007136A2" w:rsidRDefault="007136A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E97">
          <w:rPr>
            <w:noProof/>
          </w:rPr>
          <w:t>7</w:t>
        </w:r>
        <w:r>
          <w:rPr>
            <w:noProof/>
          </w:rPr>
          <w:fldChar w:fldCharType="end"/>
        </w:r>
      </w:p>
      <w:p w14:paraId="55DC6288" w14:textId="77777777" w:rsidR="007136A2" w:rsidRDefault="007136A2">
        <w:pPr>
          <w:pStyle w:val="Header"/>
          <w:jc w:val="right"/>
          <w:rPr>
            <w:noProof/>
          </w:rPr>
        </w:pPr>
        <w:r>
          <w:rPr>
            <w:noProof/>
          </w:rPr>
          <w:t>HB 23/24</w:t>
        </w:r>
      </w:p>
      <w:p w14:paraId="2DB09370" w14:textId="77777777" w:rsidR="00132E97" w:rsidRDefault="007136A2">
        <w:pPr>
          <w:pStyle w:val="Header"/>
          <w:jc w:val="right"/>
          <w:rPr>
            <w:noProof/>
          </w:rPr>
        </w:pPr>
        <w:r>
          <w:rPr>
            <w:noProof/>
          </w:rPr>
          <w:t>HC 1801/22</w:t>
        </w:r>
      </w:p>
      <w:p w14:paraId="1559043B" w14:textId="4BDF1F5E" w:rsidR="007136A2" w:rsidRDefault="00132E97">
        <w:pPr>
          <w:pStyle w:val="Header"/>
          <w:jc w:val="right"/>
        </w:pPr>
        <w:r>
          <w:rPr>
            <w:noProof/>
          </w:rPr>
          <w:t>Hc 1800/22</w:t>
        </w:r>
      </w:p>
    </w:sdtContent>
  </w:sdt>
  <w:p w14:paraId="651EA94C" w14:textId="77777777" w:rsidR="007136A2" w:rsidRDefault="007136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5B54"/>
    <w:multiLevelType w:val="hybridMultilevel"/>
    <w:tmpl w:val="DB8AD428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1864"/>
    <w:multiLevelType w:val="hybridMultilevel"/>
    <w:tmpl w:val="9094F16A"/>
    <w:lvl w:ilvl="0" w:tplc="41F4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88"/>
    <w:rsid w:val="000254E3"/>
    <w:rsid w:val="000742AB"/>
    <w:rsid w:val="000758A1"/>
    <w:rsid w:val="00092A4A"/>
    <w:rsid w:val="000A619B"/>
    <w:rsid w:val="000C4906"/>
    <w:rsid w:val="00111C7B"/>
    <w:rsid w:val="00122601"/>
    <w:rsid w:val="00132E97"/>
    <w:rsid w:val="001546FE"/>
    <w:rsid w:val="00166985"/>
    <w:rsid w:val="001815D5"/>
    <w:rsid w:val="00203155"/>
    <w:rsid w:val="0021342F"/>
    <w:rsid w:val="0022280B"/>
    <w:rsid w:val="00280941"/>
    <w:rsid w:val="002A6841"/>
    <w:rsid w:val="002B7EFC"/>
    <w:rsid w:val="00394C7B"/>
    <w:rsid w:val="003D0E06"/>
    <w:rsid w:val="003F7088"/>
    <w:rsid w:val="004717FB"/>
    <w:rsid w:val="00487EB9"/>
    <w:rsid w:val="004B6194"/>
    <w:rsid w:val="004C67B0"/>
    <w:rsid w:val="004D1873"/>
    <w:rsid w:val="004E065D"/>
    <w:rsid w:val="004E2DEF"/>
    <w:rsid w:val="00532F6A"/>
    <w:rsid w:val="00594CB8"/>
    <w:rsid w:val="005B4B4F"/>
    <w:rsid w:val="005D7737"/>
    <w:rsid w:val="005F4E16"/>
    <w:rsid w:val="00623B05"/>
    <w:rsid w:val="007136A2"/>
    <w:rsid w:val="00743074"/>
    <w:rsid w:val="007C47BD"/>
    <w:rsid w:val="007E00DF"/>
    <w:rsid w:val="00867A1C"/>
    <w:rsid w:val="00877E5F"/>
    <w:rsid w:val="008D445D"/>
    <w:rsid w:val="00913A58"/>
    <w:rsid w:val="00921E1E"/>
    <w:rsid w:val="009D2835"/>
    <w:rsid w:val="00A113E8"/>
    <w:rsid w:val="00A71991"/>
    <w:rsid w:val="00AB3FCE"/>
    <w:rsid w:val="00B43398"/>
    <w:rsid w:val="00B672B4"/>
    <w:rsid w:val="00B85710"/>
    <w:rsid w:val="00B86AD9"/>
    <w:rsid w:val="00BB7488"/>
    <w:rsid w:val="00C83444"/>
    <w:rsid w:val="00C93150"/>
    <w:rsid w:val="00CE4997"/>
    <w:rsid w:val="00D03434"/>
    <w:rsid w:val="00D06349"/>
    <w:rsid w:val="00D649F4"/>
    <w:rsid w:val="00D950CE"/>
    <w:rsid w:val="00DB1DEF"/>
    <w:rsid w:val="00DB2C7C"/>
    <w:rsid w:val="00E13BE1"/>
    <w:rsid w:val="00E43E0A"/>
    <w:rsid w:val="00E877E0"/>
    <w:rsid w:val="00EF7607"/>
    <w:rsid w:val="00FC4BAF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03E6"/>
  <w15:chartTrackingRefBased/>
  <w15:docId w15:val="{3B22B4E0-B0D1-4619-BE17-C302BA0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anob">
    <w:name w:val="aranob"/>
    <w:basedOn w:val="DefaultParagraphFont"/>
    <w:rsid w:val="004E065D"/>
  </w:style>
  <w:style w:type="character" w:styleId="Hyperlink">
    <w:name w:val="Hyperlink"/>
    <w:basedOn w:val="DefaultParagraphFont"/>
    <w:uiPriority w:val="99"/>
    <w:semiHidden/>
    <w:unhideWhenUsed/>
    <w:rsid w:val="004E06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7FB"/>
    <w:pPr>
      <w:ind w:left="720"/>
      <w:contextualSpacing/>
    </w:pPr>
  </w:style>
  <w:style w:type="paragraph" w:styleId="NoSpacing">
    <w:name w:val="No Spacing"/>
    <w:uiPriority w:val="1"/>
    <w:qFormat/>
    <w:rsid w:val="00111C7B"/>
    <w:pPr>
      <w:keepLines/>
      <w:spacing w:before="100" w:beforeAutospacing="1" w:after="100" w:afterAutospacing="1" w:line="240" w:lineRule="auto"/>
      <w:contextualSpacing/>
      <w:jc w:val="left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36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6A2"/>
  </w:style>
  <w:style w:type="paragraph" w:styleId="Footer">
    <w:name w:val="footer"/>
    <w:basedOn w:val="Normal"/>
    <w:link w:val="FooterChar"/>
    <w:uiPriority w:val="99"/>
    <w:unhideWhenUsed/>
    <w:rsid w:val="007136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6A2"/>
  </w:style>
  <w:style w:type="paragraph" w:styleId="BalloonText">
    <w:name w:val="Balloon Text"/>
    <w:basedOn w:val="Normal"/>
    <w:link w:val="BalloonTextChar"/>
    <w:uiPriority w:val="99"/>
    <w:semiHidden/>
    <w:unhideWhenUsed/>
    <w:rsid w:val="007136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7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Dube-Banda</dc:creator>
  <cp:keywords/>
  <dc:description/>
  <cp:lastModifiedBy>usr</cp:lastModifiedBy>
  <cp:revision>23</cp:revision>
  <cp:lastPrinted>2024-02-20T09:35:00Z</cp:lastPrinted>
  <dcterms:created xsi:type="dcterms:W3CDTF">2024-02-13T16:39:00Z</dcterms:created>
  <dcterms:modified xsi:type="dcterms:W3CDTF">2024-02-20T09:36:00Z</dcterms:modified>
</cp:coreProperties>
</file>